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8.xml" ContentType="application/vnd.openxmlformats-officedocument.drawingml.chart+xml"/>
  <Override PartName="/word/drawings/drawing2.xml" ContentType="application/vnd.openxmlformats-officedocument.drawingml.chartshapes+xml"/>
  <Override PartName="/word/charts/chart9.xml" ContentType="application/vnd.openxmlformats-officedocument.drawingml.chart+xml"/>
  <Override PartName="/word/drawings/drawing3.xml" ContentType="application/vnd.openxmlformats-officedocument.drawingml.chartshapes+xml"/>
  <Override PartName="/word/charts/chart10.xml" ContentType="application/vnd.openxmlformats-officedocument.drawingml.chart+xml"/>
  <Override PartName="/word/drawings/drawing4.xml" ContentType="application/vnd.openxmlformats-officedocument.drawingml.chartshapes+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drawings/drawing5.xml" ContentType="application/vnd.openxmlformats-officedocument.drawingml.chartshap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845" w:rsidRPr="007F5722" w:rsidRDefault="00C42F5E" w:rsidP="00E71845">
      <w:pPr>
        <w:tabs>
          <w:tab w:val="left" w:pos="1134"/>
        </w:tabs>
        <w:spacing w:after="0" w:line="360" w:lineRule="auto"/>
        <w:jc w:val="center"/>
        <w:rPr>
          <w:rFonts w:ascii="Times New Roman" w:hAnsi="Times New Roman" w:cs="Times New Roman"/>
          <w:b/>
          <w:sz w:val="28"/>
          <w:szCs w:val="28"/>
        </w:rPr>
      </w:pPr>
      <w:r w:rsidRPr="007F5722">
        <w:rPr>
          <w:rFonts w:ascii="Times New Roman" w:hAnsi="Times New Roman" w:cs="Times New Roman"/>
          <w:b/>
          <w:sz w:val="28"/>
          <w:szCs w:val="28"/>
        </w:rPr>
        <w:t>МІНІСТЕРСТВО ОХОРОНИ ЗДОРОВ’</w:t>
      </w:r>
      <w:r w:rsidR="00E71845" w:rsidRPr="007F5722">
        <w:rPr>
          <w:rFonts w:ascii="Times New Roman" w:hAnsi="Times New Roman" w:cs="Times New Roman"/>
          <w:b/>
          <w:sz w:val="28"/>
          <w:szCs w:val="28"/>
        </w:rPr>
        <w:t>Я УКРАЇНИ</w:t>
      </w:r>
    </w:p>
    <w:p w:rsidR="00E71845" w:rsidRPr="007F5722" w:rsidRDefault="00E71845" w:rsidP="00E71845">
      <w:pPr>
        <w:tabs>
          <w:tab w:val="left" w:pos="1134"/>
        </w:tabs>
        <w:spacing w:after="0" w:line="360" w:lineRule="auto"/>
        <w:jc w:val="center"/>
        <w:rPr>
          <w:rFonts w:ascii="Times New Roman" w:hAnsi="Times New Roman" w:cs="Times New Roman"/>
          <w:b/>
          <w:sz w:val="28"/>
          <w:szCs w:val="28"/>
        </w:rPr>
      </w:pPr>
      <w:r w:rsidRPr="007F5722">
        <w:rPr>
          <w:rFonts w:ascii="Times New Roman" w:hAnsi="Times New Roman" w:cs="Times New Roman"/>
          <w:b/>
          <w:sz w:val="28"/>
          <w:szCs w:val="28"/>
        </w:rPr>
        <w:t>ХАРКІВСЬКИЙ НАЦІОНАЛЬНИЙ МЕДИЧНИЙ УНІВЕРСИТЕТ</w:t>
      </w:r>
    </w:p>
    <w:p w:rsidR="00E71845" w:rsidRPr="007F5722" w:rsidRDefault="00E71845" w:rsidP="00E71845">
      <w:pPr>
        <w:tabs>
          <w:tab w:val="left" w:pos="1134"/>
        </w:tabs>
        <w:spacing w:after="0" w:line="360" w:lineRule="auto"/>
        <w:jc w:val="center"/>
        <w:rPr>
          <w:rFonts w:ascii="Times New Roman" w:hAnsi="Times New Roman" w:cs="Times New Roman"/>
          <w:b/>
          <w:sz w:val="28"/>
          <w:szCs w:val="28"/>
        </w:rPr>
      </w:pPr>
    </w:p>
    <w:p w:rsidR="00E71845" w:rsidRPr="007F5722" w:rsidRDefault="00E71845" w:rsidP="00E71845">
      <w:pPr>
        <w:tabs>
          <w:tab w:val="left" w:pos="1134"/>
        </w:tabs>
        <w:spacing w:after="0" w:line="360" w:lineRule="auto"/>
        <w:jc w:val="right"/>
        <w:rPr>
          <w:rFonts w:ascii="Times New Roman" w:hAnsi="Times New Roman" w:cs="Times New Roman"/>
          <w:sz w:val="28"/>
          <w:szCs w:val="28"/>
        </w:rPr>
      </w:pPr>
      <w:r w:rsidRPr="007F5722">
        <w:rPr>
          <w:rFonts w:ascii="Times New Roman" w:hAnsi="Times New Roman" w:cs="Times New Roman"/>
          <w:sz w:val="28"/>
          <w:szCs w:val="28"/>
        </w:rPr>
        <w:t xml:space="preserve">Кваліфікаційна наукова </w:t>
      </w:r>
    </w:p>
    <w:p w:rsidR="00E71845" w:rsidRPr="007F5722" w:rsidRDefault="00E71845" w:rsidP="00E71845">
      <w:pPr>
        <w:tabs>
          <w:tab w:val="left" w:pos="1134"/>
        </w:tabs>
        <w:spacing w:after="0" w:line="360" w:lineRule="auto"/>
        <w:jc w:val="right"/>
        <w:rPr>
          <w:rFonts w:ascii="Times New Roman" w:hAnsi="Times New Roman" w:cs="Times New Roman"/>
          <w:sz w:val="28"/>
          <w:szCs w:val="28"/>
        </w:rPr>
      </w:pPr>
      <w:r w:rsidRPr="007F5722">
        <w:rPr>
          <w:rFonts w:ascii="Times New Roman" w:hAnsi="Times New Roman" w:cs="Times New Roman"/>
          <w:sz w:val="28"/>
          <w:szCs w:val="28"/>
        </w:rPr>
        <w:t>праця на правах рукопису</w:t>
      </w:r>
    </w:p>
    <w:p w:rsidR="00E71845" w:rsidRPr="007F5722" w:rsidRDefault="00E71845" w:rsidP="00E71845">
      <w:pPr>
        <w:tabs>
          <w:tab w:val="left" w:pos="1134"/>
        </w:tabs>
        <w:spacing w:after="0" w:line="360" w:lineRule="auto"/>
        <w:jc w:val="center"/>
        <w:rPr>
          <w:rFonts w:ascii="Times New Roman" w:hAnsi="Times New Roman" w:cs="Times New Roman"/>
          <w:b/>
          <w:sz w:val="28"/>
          <w:szCs w:val="28"/>
        </w:rPr>
      </w:pPr>
    </w:p>
    <w:p w:rsidR="00E71845" w:rsidRPr="007F5722" w:rsidRDefault="00E71845" w:rsidP="00E71845">
      <w:pPr>
        <w:tabs>
          <w:tab w:val="left" w:pos="1134"/>
        </w:tabs>
        <w:spacing w:after="0" w:line="360" w:lineRule="auto"/>
        <w:jc w:val="center"/>
        <w:rPr>
          <w:rFonts w:ascii="Times New Roman" w:hAnsi="Times New Roman" w:cs="Times New Roman"/>
          <w:sz w:val="28"/>
          <w:szCs w:val="28"/>
        </w:rPr>
      </w:pPr>
      <w:r w:rsidRPr="007F5722">
        <w:rPr>
          <w:rFonts w:ascii="Times New Roman" w:hAnsi="Times New Roman" w:cs="Times New Roman"/>
          <w:sz w:val="28"/>
          <w:szCs w:val="28"/>
        </w:rPr>
        <w:t>КИСИЛЕНКО Катерина Володимирівна</w:t>
      </w:r>
    </w:p>
    <w:p w:rsidR="00E71845" w:rsidRPr="007F5722" w:rsidRDefault="00E71845" w:rsidP="00E71845">
      <w:pPr>
        <w:tabs>
          <w:tab w:val="left" w:pos="1134"/>
        </w:tabs>
        <w:spacing w:after="0" w:line="360" w:lineRule="auto"/>
        <w:rPr>
          <w:rFonts w:ascii="Times New Roman" w:hAnsi="Times New Roman" w:cs="Times New Roman"/>
          <w:sz w:val="28"/>
          <w:szCs w:val="28"/>
        </w:rPr>
      </w:pPr>
    </w:p>
    <w:p w:rsidR="00E71845" w:rsidRPr="007F5722" w:rsidRDefault="00E71845" w:rsidP="000B5F47">
      <w:pPr>
        <w:tabs>
          <w:tab w:val="left" w:pos="1134"/>
        </w:tabs>
        <w:spacing w:after="0" w:line="360" w:lineRule="auto"/>
        <w:jc w:val="right"/>
        <w:rPr>
          <w:rFonts w:ascii="Times New Roman" w:hAnsi="Times New Roman" w:cs="Times New Roman"/>
          <w:sz w:val="28"/>
          <w:szCs w:val="28"/>
        </w:rPr>
      </w:pPr>
      <w:r w:rsidRPr="007F5722">
        <w:rPr>
          <w:rFonts w:ascii="Times New Roman" w:hAnsi="Times New Roman" w:cs="Times New Roman"/>
          <w:sz w:val="28"/>
          <w:szCs w:val="28"/>
        </w:rPr>
        <w:t xml:space="preserve">УДК: 616.12 – </w:t>
      </w:r>
      <w:r w:rsidR="000B5F47">
        <w:rPr>
          <w:rFonts w:ascii="Times New Roman" w:hAnsi="Times New Roman" w:cs="Times New Roman"/>
          <w:sz w:val="28"/>
          <w:szCs w:val="28"/>
        </w:rPr>
        <w:t>008.</w:t>
      </w:r>
      <w:r w:rsidRPr="007F5722">
        <w:rPr>
          <w:rFonts w:ascii="Times New Roman" w:hAnsi="Times New Roman" w:cs="Times New Roman"/>
          <w:sz w:val="28"/>
          <w:szCs w:val="28"/>
        </w:rPr>
        <w:t>331.1 – 056.257: 616.13 – 004.6: 57. 083.3 (043.3)</w:t>
      </w:r>
    </w:p>
    <w:p w:rsidR="00E71845" w:rsidRPr="007F5722" w:rsidRDefault="00E71845" w:rsidP="00E71845">
      <w:pPr>
        <w:tabs>
          <w:tab w:val="left" w:pos="1134"/>
        </w:tabs>
        <w:spacing w:after="0" w:line="360" w:lineRule="auto"/>
        <w:jc w:val="center"/>
        <w:rPr>
          <w:rFonts w:ascii="Times New Roman" w:hAnsi="Times New Roman" w:cs="Times New Roman"/>
          <w:b/>
          <w:sz w:val="28"/>
          <w:szCs w:val="28"/>
        </w:rPr>
      </w:pPr>
    </w:p>
    <w:p w:rsidR="00E71845" w:rsidRPr="007F5722" w:rsidRDefault="00E71845" w:rsidP="00E71845">
      <w:pPr>
        <w:tabs>
          <w:tab w:val="left" w:pos="1134"/>
        </w:tabs>
        <w:spacing w:after="0" w:line="360" w:lineRule="auto"/>
        <w:jc w:val="center"/>
        <w:rPr>
          <w:rFonts w:ascii="Times New Roman" w:hAnsi="Times New Roman" w:cs="Times New Roman"/>
          <w:b/>
          <w:sz w:val="28"/>
          <w:szCs w:val="28"/>
        </w:rPr>
      </w:pPr>
      <w:r w:rsidRPr="007F5722">
        <w:rPr>
          <w:rFonts w:ascii="Times New Roman" w:hAnsi="Times New Roman" w:cs="Times New Roman"/>
          <w:b/>
          <w:sz w:val="28"/>
          <w:szCs w:val="28"/>
        </w:rPr>
        <w:t>ДИСЕРТАЦІЯ</w:t>
      </w:r>
    </w:p>
    <w:p w:rsidR="00E71845" w:rsidRPr="007F5722" w:rsidRDefault="00E71845" w:rsidP="00E71845">
      <w:pPr>
        <w:tabs>
          <w:tab w:val="left" w:pos="1134"/>
        </w:tabs>
        <w:spacing w:after="0" w:line="360" w:lineRule="auto"/>
        <w:jc w:val="center"/>
        <w:rPr>
          <w:rFonts w:ascii="Times New Roman" w:hAnsi="Times New Roman" w:cs="Times New Roman"/>
          <w:sz w:val="28"/>
          <w:szCs w:val="28"/>
        </w:rPr>
      </w:pPr>
      <w:r w:rsidRPr="007F5722">
        <w:rPr>
          <w:rFonts w:ascii="Times New Roman" w:hAnsi="Times New Roman" w:cs="Times New Roman"/>
          <w:sz w:val="28"/>
          <w:szCs w:val="28"/>
        </w:rPr>
        <w:t xml:space="preserve">РОЛЬ ІНТЕРЛЕЙКІНУ-22 В ФОРМУВАННІ АТЕРОГЕННОГО РИЗИКУ У ХВОРИХ НА ГІПЕРТОНІЧНУ ХВОРОБУ З ОЖИРІННЯМ </w:t>
      </w:r>
    </w:p>
    <w:p w:rsidR="000B5F47" w:rsidRDefault="000B5F47" w:rsidP="00E71845">
      <w:pPr>
        <w:tabs>
          <w:tab w:val="left" w:pos="1134"/>
        </w:tabs>
        <w:spacing w:after="0" w:line="360" w:lineRule="auto"/>
        <w:jc w:val="center"/>
        <w:rPr>
          <w:rFonts w:ascii="Times New Roman" w:hAnsi="Times New Roman" w:cs="Times New Roman"/>
          <w:sz w:val="28"/>
          <w:szCs w:val="28"/>
        </w:rPr>
      </w:pPr>
    </w:p>
    <w:p w:rsidR="00E71845" w:rsidRPr="007F5722" w:rsidRDefault="00E71845" w:rsidP="00E71845">
      <w:pPr>
        <w:tabs>
          <w:tab w:val="left" w:pos="1134"/>
        </w:tabs>
        <w:spacing w:after="0" w:line="360" w:lineRule="auto"/>
        <w:jc w:val="center"/>
        <w:rPr>
          <w:rFonts w:ascii="Times New Roman" w:hAnsi="Times New Roman" w:cs="Times New Roman"/>
          <w:sz w:val="28"/>
          <w:szCs w:val="28"/>
        </w:rPr>
      </w:pPr>
      <w:r w:rsidRPr="007F5722">
        <w:rPr>
          <w:rFonts w:ascii="Times New Roman" w:hAnsi="Times New Roman" w:cs="Times New Roman"/>
          <w:sz w:val="28"/>
          <w:szCs w:val="28"/>
        </w:rPr>
        <w:t>14.01.02 – внутрішні хвороби</w:t>
      </w:r>
    </w:p>
    <w:p w:rsidR="00E71845" w:rsidRPr="007F5722" w:rsidRDefault="00E71845" w:rsidP="00E71845">
      <w:pPr>
        <w:tabs>
          <w:tab w:val="left" w:pos="1134"/>
        </w:tabs>
        <w:spacing w:after="0" w:line="360" w:lineRule="auto"/>
        <w:jc w:val="center"/>
        <w:rPr>
          <w:rFonts w:ascii="Times New Roman" w:hAnsi="Times New Roman" w:cs="Times New Roman"/>
          <w:sz w:val="28"/>
          <w:szCs w:val="28"/>
        </w:rPr>
      </w:pPr>
    </w:p>
    <w:p w:rsidR="00E71845" w:rsidRPr="007F5722" w:rsidRDefault="00E71845" w:rsidP="00E71845">
      <w:pPr>
        <w:tabs>
          <w:tab w:val="left" w:pos="1134"/>
        </w:tabs>
        <w:spacing w:after="0" w:line="360" w:lineRule="auto"/>
        <w:jc w:val="center"/>
        <w:rPr>
          <w:rFonts w:ascii="Times New Roman" w:hAnsi="Times New Roman" w:cs="Times New Roman"/>
          <w:sz w:val="28"/>
          <w:szCs w:val="28"/>
        </w:rPr>
      </w:pPr>
      <w:r w:rsidRPr="007F5722">
        <w:rPr>
          <w:rFonts w:ascii="Times New Roman" w:hAnsi="Times New Roman" w:cs="Times New Roman"/>
          <w:sz w:val="28"/>
          <w:szCs w:val="28"/>
        </w:rPr>
        <w:t>Подається на здобуття наукового ступеня кандидата медичних наук</w:t>
      </w:r>
    </w:p>
    <w:p w:rsidR="00E71845" w:rsidRPr="007F5722" w:rsidRDefault="00E71845" w:rsidP="00E71845">
      <w:pPr>
        <w:tabs>
          <w:tab w:val="left" w:pos="1134"/>
        </w:tabs>
        <w:spacing w:after="0" w:line="360" w:lineRule="auto"/>
        <w:jc w:val="center"/>
        <w:rPr>
          <w:rFonts w:ascii="Times New Roman" w:hAnsi="Times New Roman" w:cs="Times New Roman"/>
          <w:sz w:val="28"/>
          <w:szCs w:val="28"/>
        </w:rPr>
      </w:pPr>
    </w:p>
    <w:p w:rsidR="00E71845" w:rsidRPr="007F5722" w:rsidRDefault="00E71845" w:rsidP="00E71845">
      <w:pPr>
        <w:tabs>
          <w:tab w:val="left" w:pos="1134"/>
        </w:tabs>
        <w:spacing w:after="0" w:line="360" w:lineRule="auto"/>
        <w:jc w:val="both"/>
        <w:rPr>
          <w:rFonts w:ascii="Times New Roman" w:hAnsi="Times New Roman" w:cs="Times New Roman"/>
          <w:sz w:val="28"/>
          <w:szCs w:val="28"/>
        </w:rPr>
      </w:pPr>
      <w:r w:rsidRPr="007F5722">
        <w:rPr>
          <w:rFonts w:ascii="Times New Roman" w:hAnsi="Times New Roman" w:cs="Times New Roman"/>
          <w:sz w:val="28"/>
          <w:szCs w:val="28"/>
        </w:rPr>
        <w:t xml:space="preserve">Дисертація містить результати власних досліджень. Використання ідей, результатів і текстів інших авторів мають посилання на відповідне джерело </w:t>
      </w:r>
    </w:p>
    <w:p w:rsidR="00E71845" w:rsidRPr="007F5722" w:rsidRDefault="000B5F47" w:rsidP="00E71845">
      <w:p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______________Кисиленко К. В.</w:t>
      </w:r>
    </w:p>
    <w:p w:rsidR="00E71845" w:rsidRPr="007F5722" w:rsidRDefault="00E71845" w:rsidP="00E71845">
      <w:pPr>
        <w:spacing w:after="0" w:line="360" w:lineRule="auto"/>
        <w:ind w:right="-2"/>
        <w:rPr>
          <w:rFonts w:ascii="Times New Roman" w:eastAsia="Times New Roman" w:hAnsi="Times New Roman" w:cs="Times New Roman"/>
          <w:sz w:val="28"/>
          <w:szCs w:val="28"/>
          <w:lang w:eastAsia="ru-RU"/>
        </w:rPr>
      </w:pPr>
    </w:p>
    <w:p w:rsidR="00E71845" w:rsidRPr="007F5722" w:rsidRDefault="00E71845" w:rsidP="00E71845">
      <w:pPr>
        <w:spacing w:after="0" w:line="360" w:lineRule="auto"/>
        <w:ind w:right="-2"/>
        <w:rPr>
          <w:rFonts w:ascii="Times New Roman" w:eastAsia="Times New Roman" w:hAnsi="Times New Roman" w:cs="Times New Roman"/>
          <w:sz w:val="28"/>
          <w:szCs w:val="28"/>
          <w:lang w:eastAsia="ru-RU"/>
        </w:rPr>
      </w:pPr>
    </w:p>
    <w:p w:rsidR="00E71845" w:rsidRPr="007F5722" w:rsidRDefault="00E71845" w:rsidP="00E71845">
      <w:pPr>
        <w:spacing w:after="0" w:line="360" w:lineRule="auto"/>
        <w:ind w:right="-2"/>
        <w:rPr>
          <w:rFonts w:ascii="Times New Roman" w:eastAsia="Times New Roman" w:hAnsi="Times New Roman" w:cs="Times New Roman"/>
          <w:sz w:val="28"/>
          <w:szCs w:val="28"/>
          <w:lang w:eastAsia="ru-RU"/>
        </w:rPr>
      </w:pPr>
    </w:p>
    <w:p w:rsidR="00E71845" w:rsidRPr="007F5722" w:rsidRDefault="00E71845" w:rsidP="00E71845">
      <w:pPr>
        <w:spacing w:after="0" w:line="360" w:lineRule="auto"/>
        <w:ind w:right="-2"/>
        <w:rPr>
          <w:rFonts w:ascii="Times New Roman" w:eastAsia="Times New Roman" w:hAnsi="Times New Roman" w:cs="Times New Roman"/>
          <w:sz w:val="28"/>
          <w:szCs w:val="28"/>
          <w:lang w:eastAsia="ru-RU"/>
        </w:rPr>
      </w:pPr>
    </w:p>
    <w:p w:rsidR="00E71845" w:rsidRPr="007F5722" w:rsidRDefault="00E71845" w:rsidP="00E71845">
      <w:pPr>
        <w:spacing w:after="0" w:line="360" w:lineRule="auto"/>
        <w:ind w:right="-2"/>
        <w:rPr>
          <w:rFonts w:ascii="Times New Roman" w:eastAsia="Times New Roman" w:hAnsi="Times New Roman" w:cs="Times New Roman"/>
          <w:sz w:val="28"/>
          <w:szCs w:val="28"/>
          <w:lang w:eastAsia="ru-RU"/>
        </w:rPr>
      </w:pPr>
      <w:r w:rsidRPr="007F5722">
        <w:rPr>
          <w:rFonts w:ascii="Times New Roman" w:eastAsia="Times New Roman" w:hAnsi="Times New Roman" w:cs="Times New Roman"/>
          <w:sz w:val="28"/>
          <w:szCs w:val="28"/>
          <w:lang w:eastAsia="ru-RU"/>
        </w:rPr>
        <w:t>Науковий керівник:</w:t>
      </w:r>
      <w:r w:rsidR="000B5F47">
        <w:rPr>
          <w:rFonts w:ascii="Times New Roman" w:eastAsia="Times New Roman" w:hAnsi="Times New Roman" w:cs="Times New Roman"/>
          <w:sz w:val="28"/>
          <w:szCs w:val="28"/>
          <w:lang w:eastAsia="ru-RU"/>
        </w:rPr>
        <w:t xml:space="preserve"> Ковальова Ольга Миколаївна, доктор медичних наук, професорка</w:t>
      </w:r>
    </w:p>
    <w:p w:rsidR="00E71845" w:rsidRPr="007F5722" w:rsidRDefault="00E71845" w:rsidP="00512976">
      <w:pPr>
        <w:tabs>
          <w:tab w:val="left" w:pos="1134"/>
        </w:tabs>
        <w:spacing w:after="0" w:line="360" w:lineRule="auto"/>
        <w:rPr>
          <w:rFonts w:ascii="Times New Roman" w:hAnsi="Times New Roman" w:cs="Times New Roman"/>
          <w:sz w:val="28"/>
          <w:szCs w:val="28"/>
        </w:rPr>
      </w:pPr>
    </w:p>
    <w:p w:rsidR="00512976" w:rsidRPr="007F5722" w:rsidRDefault="00793DD5" w:rsidP="00E71845">
      <w:pPr>
        <w:tabs>
          <w:tab w:val="left" w:pos="1134"/>
        </w:tabs>
        <w:spacing w:after="0" w:line="360" w:lineRule="auto"/>
        <w:jc w:val="center"/>
        <w:rPr>
          <w:rFonts w:ascii="Times New Roman" w:hAnsi="Times New Roman" w:cs="Times New Roman"/>
          <w:sz w:val="28"/>
          <w:szCs w:val="28"/>
        </w:rPr>
        <w:sectPr w:rsidR="00512976" w:rsidRPr="007F5722" w:rsidSect="00DD2C3A">
          <w:headerReference w:type="default" r:id="rId8"/>
          <w:pgSz w:w="11906" w:h="16838"/>
          <w:pgMar w:top="1134" w:right="850" w:bottom="1134" w:left="1701" w:header="708" w:footer="708" w:gutter="0"/>
          <w:cols w:space="708"/>
          <w:titlePg/>
          <w:docGrid w:linePitch="360"/>
        </w:sectPr>
      </w:pPr>
      <w:r>
        <w:rPr>
          <w:rFonts w:ascii="Times New Roman" w:hAnsi="Times New Roman" w:cs="Times New Roman"/>
          <w:sz w:val="28"/>
          <w:szCs w:val="28"/>
        </w:rPr>
        <w:t>Харків - 2021</w:t>
      </w:r>
    </w:p>
    <w:p w:rsidR="00E71845" w:rsidRPr="007F5722" w:rsidRDefault="00E71845" w:rsidP="00512976">
      <w:pPr>
        <w:tabs>
          <w:tab w:val="left" w:pos="1134"/>
        </w:tabs>
        <w:spacing w:after="0" w:line="360" w:lineRule="auto"/>
        <w:jc w:val="center"/>
        <w:rPr>
          <w:rFonts w:ascii="Times New Roman" w:hAnsi="Times New Roman" w:cs="Times New Roman"/>
          <w:b/>
          <w:sz w:val="28"/>
          <w:szCs w:val="28"/>
        </w:rPr>
      </w:pPr>
      <w:r w:rsidRPr="007F5722">
        <w:rPr>
          <w:rFonts w:ascii="Times New Roman" w:hAnsi="Times New Roman" w:cs="Times New Roman"/>
          <w:b/>
          <w:sz w:val="28"/>
          <w:szCs w:val="28"/>
        </w:rPr>
        <w:lastRenderedPageBreak/>
        <w:t>АНОТАЦІЯ</w:t>
      </w:r>
    </w:p>
    <w:p w:rsidR="00E71845" w:rsidRPr="007F5722" w:rsidRDefault="00E71845" w:rsidP="00E71845">
      <w:pPr>
        <w:tabs>
          <w:tab w:val="left" w:pos="1134"/>
        </w:tabs>
        <w:spacing w:after="0" w:line="360" w:lineRule="auto"/>
        <w:jc w:val="both"/>
        <w:rPr>
          <w:rFonts w:ascii="Times New Roman" w:hAnsi="Times New Roman" w:cs="Times New Roman"/>
          <w:sz w:val="28"/>
          <w:szCs w:val="28"/>
        </w:rPr>
      </w:pPr>
      <w:r w:rsidRPr="007F5722">
        <w:rPr>
          <w:rFonts w:ascii="Times New Roman" w:hAnsi="Times New Roman" w:cs="Times New Roman"/>
          <w:i/>
          <w:sz w:val="28"/>
          <w:szCs w:val="28"/>
        </w:rPr>
        <w:tab/>
        <w:t>Кисиленко К. В.</w:t>
      </w:r>
      <w:r w:rsidRPr="007F5722">
        <w:rPr>
          <w:rFonts w:ascii="Times New Roman" w:hAnsi="Times New Roman" w:cs="Times New Roman"/>
          <w:sz w:val="28"/>
          <w:szCs w:val="28"/>
        </w:rPr>
        <w:t xml:space="preserve"> Роль інтерлейкіну-22 в формуванні атерогенного ризику у хворих на гіпертонічну хворобу з ожирінням. — Кваліфікаційна наукова праця на правах рукопису.</w:t>
      </w:r>
    </w:p>
    <w:p w:rsidR="00E71845" w:rsidRPr="007F5722" w:rsidRDefault="00E71845" w:rsidP="00E606B1">
      <w:pPr>
        <w:tabs>
          <w:tab w:val="left" w:pos="1134"/>
        </w:tabs>
        <w:spacing w:after="0" w:line="360" w:lineRule="auto"/>
        <w:ind w:firstLine="680"/>
        <w:jc w:val="both"/>
        <w:rPr>
          <w:rFonts w:ascii="Times New Roman" w:hAnsi="Times New Roman" w:cs="Times New Roman"/>
          <w:sz w:val="28"/>
          <w:szCs w:val="28"/>
        </w:rPr>
      </w:pPr>
    </w:p>
    <w:p w:rsidR="007C0B93" w:rsidRPr="007F5722" w:rsidRDefault="00E71845" w:rsidP="00E606B1">
      <w:pPr>
        <w:spacing w:after="0" w:line="360" w:lineRule="auto"/>
        <w:ind w:firstLine="709"/>
        <w:jc w:val="both"/>
        <w:rPr>
          <w:rFonts w:ascii="Times New Roman" w:hAnsi="Times New Roman" w:cs="Times New Roman"/>
          <w:sz w:val="28"/>
          <w:szCs w:val="28"/>
        </w:rPr>
      </w:pPr>
      <w:r w:rsidRPr="007F5722">
        <w:rPr>
          <w:rFonts w:ascii="Times New Roman" w:hAnsi="Times New Roman" w:cs="Times New Roman"/>
          <w:sz w:val="28"/>
          <w:szCs w:val="28"/>
        </w:rPr>
        <w:t>Дисертація на здобуття наукового ступеня кандидата медичних</w:t>
      </w:r>
      <w:r w:rsidR="00AD7FE1" w:rsidRPr="007F5722">
        <w:rPr>
          <w:rFonts w:ascii="Times New Roman" w:hAnsi="Times New Roman" w:cs="Times New Roman"/>
          <w:sz w:val="28"/>
          <w:szCs w:val="28"/>
        </w:rPr>
        <w:t xml:space="preserve"> наук за спеціальністю 14.01.02 — </w:t>
      </w:r>
      <w:r w:rsidRPr="007F5722">
        <w:rPr>
          <w:rFonts w:ascii="Times New Roman" w:hAnsi="Times New Roman" w:cs="Times New Roman"/>
          <w:sz w:val="28"/>
          <w:szCs w:val="28"/>
        </w:rPr>
        <w:t xml:space="preserve">внутрішні хвороби. — Харківський національний медичний університет МОЗ України, Харків, </w:t>
      </w:r>
      <w:r w:rsidR="00793DD5">
        <w:rPr>
          <w:rFonts w:ascii="Times New Roman" w:hAnsi="Times New Roman" w:cs="Times New Roman"/>
          <w:sz w:val="28"/>
          <w:szCs w:val="28"/>
        </w:rPr>
        <w:t>2021</w:t>
      </w:r>
      <w:r w:rsidRPr="007F5722">
        <w:rPr>
          <w:rFonts w:ascii="Times New Roman" w:hAnsi="Times New Roman" w:cs="Times New Roman"/>
          <w:sz w:val="28"/>
          <w:szCs w:val="28"/>
        </w:rPr>
        <w:t>.</w:t>
      </w:r>
    </w:p>
    <w:p w:rsidR="00E71845" w:rsidRPr="007F5722" w:rsidRDefault="00E71845" w:rsidP="00046E43">
      <w:pPr>
        <w:spacing w:after="0" w:line="360" w:lineRule="auto"/>
        <w:ind w:firstLine="709"/>
        <w:jc w:val="both"/>
        <w:rPr>
          <w:sz w:val="28"/>
          <w:szCs w:val="28"/>
        </w:rPr>
      </w:pPr>
      <w:r w:rsidRPr="007F5722">
        <w:rPr>
          <w:rFonts w:ascii="Times New Roman" w:hAnsi="Times New Roman" w:cs="Times New Roman"/>
          <w:sz w:val="28"/>
          <w:szCs w:val="28"/>
        </w:rPr>
        <w:t xml:space="preserve">Дисертація присвячена оптимізації ранньої діагностики та прогнозування </w:t>
      </w:r>
      <w:r w:rsidR="00AD7FE1" w:rsidRPr="007F5722">
        <w:rPr>
          <w:rFonts w:ascii="Times New Roman" w:hAnsi="Times New Roman" w:cs="Times New Roman"/>
          <w:sz w:val="28"/>
          <w:szCs w:val="28"/>
        </w:rPr>
        <w:t>дисліпідемії</w:t>
      </w:r>
      <w:r w:rsidRPr="007F5722">
        <w:rPr>
          <w:rFonts w:ascii="Times New Roman" w:hAnsi="Times New Roman" w:cs="Times New Roman"/>
          <w:sz w:val="28"/>
          <w:szCs w:val="28"/>
        </w:rPr>
        <w:t xml:space="preserve"> та предикторів атеросклерозу на підставі визначення плазматичного рівня інтелейкіну-22</w:t>
      </w:r>
      <w:r w:rsidR="00B275E4" w:rsidRPr="007F5722">
        <w:rPr>
          <w:rFonts w:ascii="Times New Roman" w:hAnsi="Times New Roman" w:cs="Times New Roman"/>
          <w:sz w:val="28"/>
          <w:szCs w:val="28"/>
        </w:rPr>
        <w:t xml:space="preserve"> (ІЛ-22)</w:t>
      </w:r>
      <w:r w:rsidRPr="007F5722">
        <w:rPr>
          <w:rFonts w:ascii="Times New Roman" w:hAnsi="Times New Roman" w:cs="Times New Roman"/>
          <w:sz w:val="28"/>
          <w:szCs w:val="28"/>
        </w:rPr>
        <w:t>, аполіпопротеїну В</w:t>
      </w:r>
      <w:r w:rsidR="00B275E4" w:rsidRPr="007F5722">
        <w:rPr>
          <w:rFonts w:ascii="Times New Roman" w:hAnsi="Times New Roman" w:cs="Times New Roman"/>
          <w:sz w:val="28"/>
          <w:szCs w:val="28"/>
        </w:rPr>
        <w:t xml:space="preserve"> (Апо В)</w:t>
      </w:r>
      <w:r w:rsidRPr="007F5722">
        <w:rPr>
          <w:rFonts w:ascii="Times New Roman" w:hAnsi="Times New Roman" w:cs="Times New Roman"/>
          <w:sz w:val="28"/>
          <w:szCs w:val="28"/>
        </w:rPr>
        <w:t xml:space="preserve">, показників ліпідного </w:t>
      </w:r>
      <w:r w:rsidR="00AD7FE1" w:rsidRPr="007F5722">
        <w:rPr>
          <w:rFonts w:ascii="Times New Roman" w:hAnsi="Times New Roman" w:cs="Times New Roman"/>
          <w:sz w:val="28"/>
          <w:szCs w:val="28"/>
        </w:rPr>
        <w:t>спектру натще та постпрандіал</w:t>
      </w:r>
      <w:r w:rsidR="00CB6D06" w:rsidRPr="007F5722">
        <w:rPr>
          <w:rFonts w:ascii="Times New Roman" w:hAnsi="Times New Roman" w:cs="Times New Roman"/>
          <w:sz w:val="28"/>
          <w:szCs w:val="28"/>
        </w:rPr>
        <w:t>ь</w:t>
      </w:r>
      <w:r w:rsidR="00AD7FE1" w:rsidRPr="007F5722">
        <w:rPr>
          <w:rFonts w:ascii="Times New Roman" w:hAnsi="Times New Roman" w:cs="Times New Roman"/>
          <w:sz w:val="28"/>
          <w:szCs w:val="28"/>
        </w:rPr>
        <w:t>но</w:t>
      </w:r>
      <w:r w:rsidRPr="007F5722">
        <w:rPr>
          <w:rFonts w:ascii="Times New Roman" w:hAnsi="Times New Roman" w:cs="Times New Roman"/>
          <w:sz w:val="28"/>
          <w:szCs w:val="28"/>
        </w:rPr>
        <w:t xml:space="preserve"> у комплексі з оцінкою структурно-функціональних змін</w:t>
      </w:r>
      <w:r w:rsidR="00046E43" w:rsidRPr="007F5722">
        <w:rPr>
          <w:rFonts w:ascii="Times New Roman" w:hAnsi="Times New Roman" w:cs="Times New Roman"/>
          <w:sz w:val="28"/>
          <w:szCs w:val="28"/>
        </w:rPr>
        <w:t xml:space="preserve"> серця та судин у хворих на гіпертонічну хворобу (ГХ) з ожирінням.</w:t>
      </w:r>
    </w:p>
    <w:p w:rsidR="00E71845" w:rsidRPr="007F5722" w:rsidRDefault="00E71845" w:rsidP="00046E43">
      <w:pPr>
        <w:spacing w:after="0" w:line="360" w:lineRule="auto"/>
        <w:ind w:firstLine="709"/>
        <w:jc w:val="both"/>
        <w:rPr>
          <w:rStyle w:val="a3"/>
          <w:rFonts w:ascii="Times New Roman" w:hAnsi="Times New Roman" w:cs="Times New Roman"/>
          <w:b w:val="0"/>
          <w:sz w:val="28"/>
          <w:szCs w:val="28"/>
        </w:rPr>
      </w:pPr>
      <w:r w:rsidRPr="007F5722">
        <w:rPr>
          <w:rStyle w:val="a3"/>
          <w:rFonts w:ascii="Times New Roman" w:hAnsi="Times New Roman" w:cs="Times New Roman"/>
          <w:b w:val="0"/>
          <w:sz w:val="28"/>
          <w:szCs w:val="28"/>
        </w:rPr>
        <w:t>Для вирішення постав</w:t>
      </w:r>
      <w:r w:rsidR="00E606B1" w:rsidRPr="007F5722">
        <w:rPr>
          <w:rStyle w:val="a3"/>
          <w:rFonts w:ascii="Times New Roman" w:hAnsi="Times New Roman" w:cs="Times New Roman"/>
          <w:b w:val="0"/>
          <w:sz w:val="28"/>
          <w:szCs w:val="28"/>
        </w:rPr>
        <w:t xml:space="preserve">лених завдань було </w:t>
      </w:r>
      <w:r w:rsidR="00C91231" w:rsidRPr="007F5722">
        <w:rPr>
          <w:rStyle w:val="a3"/>
          <w:rFonts w:ascii="Times New Roman" w:hAnsi="Times New Roman" w:cs="Times New Roman"/>
          <w:b w:val="0"/>
          <w:sz w:val="28"/>
          <w:szCs w:val="28"/>
        </w:rPr>
        <w:t>обстежено 121 пацієнт</w:t>
      </w:r>
      <w:r w:rsidR="005A618C" w:rsidRPr="007F5722">
        <w:rPr>
          <w:rStyle w:val="a3"/>
          <w:rFonts w:ascii="Times New Roman" w:hAnsi="Times New Roman" w:cs="Times New Roman"/>
          <w:b w:val="0"/>
          <w:sz w:val="28"/>
          <w:szCs w:val="28"/>
        </w:rPr>
        <w:t>, з них 96</w:t>
      </w:r>
      <w:r w:rsidRPr="007F5722">
        <w:rPr>
          <w:rStyle w:val="a3"/>
          <w:rFonts w:ascii="Times New Roman" w:hAnsi="Times New Roman" w:cs="Times New Roman"/>
          <w:b w:val="0"/>
          <w:sz w:val="28"/>
          <w:szCs w:val="28"/>
        </w:rPr>
        <w:t xml:space="preserve"> пацієнт</w:t>
      </w:r>
      <w:r w:rsidR="00E606B1" w:rsidRPr="007F5722">
        <w:rPr>
          <w:rStyle w:val="a3"/>
          <w:rFonts w:ascii="Times New Roman" w:hAnsi="Times New Roman" w:cs="Times New Roman"/>
          <w:b w:val="0"/>
          <w:sz w:val="28"/>
          <w:szCs w:val="28"/>
        </w:rPr>
        <w:t>ів</w:t>
      </w:r>
      <w:r w:rsidRPr="007F5722">
        <w:rPr>
          <w:rStyle w:val="a3"/>
          <w:rFonts w:ascii="Times New Roman" w:hAnsi="Times New Roman" w:cs="Times New Roman"/>
          <w:b w:val="0"/>
          <w:sz w:val="28"/>
          <w:szCs w:val="28"/>
        </w:rPr>
        <w:t xml:space="preserve"> з ГХ та надл</w:t>
      </w:r>
      <w:r w:rsidR="005605BC" w:rsidRPr="007F5722">
        <w:rPr>
          <w:rStyle w:val="a3"/>
          <w:rFonts w:ascii="Times New Roman" w:hAnsi="Times New Roman" w:cs="Times New Roman"/>
          <w:b w:val="0"/>
          <w:sz w:val="28"/>
          <w:szCs w:val="28"/>
        </w:rPr>
        <w:t>ишковою масою тіла/ожир</w:t>
      </w:r>
      <w:r w:rsidR="005A618C" w:rsidRPr="007F5722">
        <w:rPr>
          <w:rStyle w:val="a3"/>
          <w:rFonts w:ascii="Times New Roman" w:hAnsi="Times New Roman" w:cs="Times New Roman"/>
          <w:b w:val="0"/>
          <w:sz w:val="28"/>
          <w:szCs w:val="28"/>
        </w:rPr>
        <w:t>інням (62</w:t>
      </w:r>
      <w:r w:rsidR="005605BC" w:rsidRPr="007F5722">
        <w:rPr>
          <w:rStyle w:val="a3"/>
          <w:rFonts w:ascii="Times New Roman" w:hAnsi="Times New Roman" w:cs="Times New Roman"/>
          <w:b w:val="0"/>
          <w:sz w:val="28"/>
          <w:szCs w:val="28"/>
        </w:rPr>
        <w:t xml:space="preserve"> </w:t>
      </w:r>
      <w:r w:rsidR="005A618C" w:rsidRPr="007F5722">
        <w:rPr>
          <w:rStyle w:val="a3"/>
          <w:rFonts w:ascii="Times New Roman" w:hAnsi="Times New Roman" w:cs="Times New Roman"/>
          <w:b w:val="0"/>
          <w:sz w:val="28"/>
          <w:szCs w:val="28"/>
        </w:rPr>
        <w:t>жінки, 34 чоловіки), 25</w:t>
      </w:r>
      <w:r w:rsidR="00C91231" w:rsidRPr="007F5722">
        <w:rPr>
          <w:rStyle w:val="a3"/>
          <w:rFonts w:ascii="Times New Roman" w:hAnsi="Times New Roman" w:cs="Times New Roman"/>
          <w:b w:val="0"/>
          <w:sz w:val="28"/>
          <w:szCs w:val="28"/>
        </w:rPr>
        <w:t xml:space="preserve"> пацієнтів хворих на</w:t>
      </w:r>
      <w:r w:rsidR="005A618C" w:rsidRPr="007F5722">
        <w:rPr>
          <w:rStyle w:val="a3"/>
          <w:rFonts w:ascii="Times New Roman" w:hAnsi="Times New Roman" w:cs="Times New Roman"/>
          <w:b w:val="0"/>
          <w:sz w:val="28"/>
          <w:szCs w:val="28"/>
        </w:rPr>
        <w:t xml:space="preserve"> ГХ </w:t>
      </w:r>
      <w:r w:rsidR="00C91231" w:rsidRPr="007F5722">
        <w:rPr>
          <w:rStyle w:val="a3"/>
          <w:rFonts w:ascii="Times New Roman" w:hAnsi="Times New Roman" w:cs="Times New Roman"/>
          <w:b w:val="0"/>
          <w:sz w:val="28"/>
          <w:szCs w:val="28"/>
        </w:rPr>
        <w:t xml:space="preserve">з нормальною масою тіла </w:t>
      </w:r>
      <w:r w:rsidR="005A618C" w:rsidRPr="007F5722">
        <w:rPr>
          <w:rStyle w:val="a3"/>
          <w:rFonts w:ascii="Times New Roman" w:hAnsi="Times New Roman" w:cs="Times New Roman"/>
          <w:b w:val="0"/>
          <w:sz w:val="28"/>
          <w:szCs w:val="28"/>
        </w:rPr>
        <w:t>(13 жінок, 12</w:t>
      </w:r>
      <w:r w:rsidRPr="007F5722">
        <w:rPr>
          <w:rStyle w:val="a3"/>
          <w:rFonts w:ascii="Times New Roman" w:hAnsi="Times New Roman" w:cs="Times New Roman"/>
          <w:b w:val="0"/>
          <w:sz w:val="28"/>
          <w:szCs w:val="28"/>
        </w:rPr>
        <w:t xml:space="preserve"> чоловіків), що склали групу порівняння, та 12 практично здорових осіб</w:t>
      </w:r>
      <w:r w:rsidR="005605BC" w:rsidRPr="007F5722">
        <w:t xml:space="preserve"> </w:t>
      </w:r>
      <w:r w:rsidR="00C91231" w:rsidRPr="007F5722">
        <w:rPr>
          <w:rFonts w:ascii="Times New Roman" w:hAnsi="Times New Roman" w:cs="Times New Roman"/>
          <w:sz w:val="28"/>
          <w:szCs w:val="28"/>
        </w:rPr>
        <w:t>співставних</w:t>
      </w:r>
      <w:r w:rsidR="005605BC" w:rsidRPr="007F5722">
        <w:rPr>
          <w:rFonts w:ascii="Times New Roman" w:hAnsi="Times New Roman" w:cs="Times New Roman"/>
          <w:sz w:val="28"/>
          <w:szCs w:val="28"/>
        </w:rPr>
        <w:t xml:space="preserve"> за віком і статтю</w:t>
      </w:r>
      <w:r w:rsidRPr="007F5722">
        <w:rPr>
          <w:rStyle w:val="a3"/>
          <w:rFonts w:ascii="Times New Roman" w:hAnsi="Times New Roman" w:cs="Times New Roman"/>
          <w:b w:val="0"/>
          <w:sz w:val="28"/>
          <w:szCs w:val="28"/>
        </w:rPr>
        <w:t>, які становили групу контролю.</w:t>
      </w:r>
    </w:p>
    <w:p w:rsidR="00974A2E" w:rsidRPr="007F5722" w:rsidRDefault="00C91231" w:rsidP="005F2DD9">
      <w:pPr>
        <w:spacing w:after="0" w:line="360" w:lineRule="auto"/>
        <w:ind w:firstLine="709"/>
        <w:jc w:val="both"/>
        <w:rPr>
          <w:rStyle w:val="a3"/>
          <w:rFonts w:ascii="Times New Roman" w:hAnsi="Times New Roman" w:cs="Times New Roman"/>
          <w:b w:val="0"/>
          <w:sz w:val="28"/>
          <w:szCs w:val="28"/>
        </w:rPr>
      </w:pPr>
      <w:r w:rsidRPr="007F5722">
        <w:rPr>
          <w:rFonts w:ascii="Times New Roman" w:hAnsi="Times New Roman" w:cs="Times New Roman"/>
          <w:bCs/>
          <w:sz w:val="28"/>
          <w:szCs w:val="28"/>
        </w:rPr>
        <w:t xml:space="preserve">У 2,5% пацієнтів </w:t>
      </w:r>
      <w:r w:rsidR="00F70D9D" w:rsidRPr="007F5722">
        <w:rPr>
          <w:rFonts w:ascii="Times New Roman" w:hAnsi="Times New Roman" w:cs="Times New Roman"/>
          <w:bCs/>
          <w:sz w:val="28"/>
          <w:szCs w:val="28"/>
        </w:rPr>
        <w:t xml:space="preserve">мала місце ГХ 1 ст., у 22,3% - </w:t>
      </w:r>
      <w:r w:rsidR="005F2DD9" w:rsidRPr="007F5722">
        <w:rPr>
          <w:rFonts w:ascii="Times New Roman" w:hAnsi="Times New Roman" w:cs="Times New Roman"/>
          <w:bCs/>
          <w:sz w:val="28"/>
          <w:szCs w:val="28"/>
        </w:rPr>
        <w:t xml:space="preserve">ГХ 2 ст. та у 75,2% - ГХ 3 ст. </w:t>
      </w:r>
      <w:r w:rsidR="005A618C" w:rsidRPr="007F5722">
        <w:rPr>
          <w:rFonts w:ascii="Times New Roman" w:hAnsi="Times New Roman" w:cs="Times New Roman"/>
          <w:bCs/>
          <w:sz w:val="28"/>
          <w:szCs w:val="28"/>
        </w:rPr>
        <w:t>При розподілі хворих в залежності від індексу маси тіла (ІМТ) першу клінічну групу склали 47 хворих</w:t>
      </w:r>
      <w:r w:rsidR="00AD7FE1" w:rsidRPr="007F5722">
        <w:rPr>
          <w:rFonts w:ascii="Times New Roman" w:hAnsi="Times New Roman" w:cs="Times New Roman"/>
          <w:bCs/>
          <w:sz w:val="28"/>
          <w:szCs w:val="28"/>
        </w:rPr>
        <w:t xml:space="preserve"> на ГХ з надмірною масою</w:t>
      </w:r>
      <w:r w:rsidR="005A618C" w:rsidRPr="007F5722">
        <w:rPr>
          <w:rFonts w:ascii="Times New Roman" w:hAnsi="Times New Roman" w:cs="Times New Roman"/>
          <w:bCs/>
          <w:sz w:val="28"/>
          <w:szCs w:val="28"/>
        </w:rPr>
        <w:t xml:space="preserve"> </w:t>
      </w:r>
      <w:r w:rsidR="00F70D9D" w:rsidRPr="007F5722">
        <w:rPr>
          <w:rFonts w:ascii="Times New Roman" w:hAnsi="Times New Roman" w:cs="Times New Roman"/>
          <w:bCs/>
          <w:sz w:val="28"/>
          <w:szCs w:val="28"/>
        </w:rPr>
        <w:t xml:space="preserve">тіла </w:t>
      </w:r>
      <w:r w:rsidR="005A618C" w:rsidRPr="007F5722">
        <w:rPr>
          <w:rFonts w:ascii="Times New Roman" w:hAnsi="Times New Roman" w:cs="Times New Roman"/>
          <w:bCs/>
          <w:sz w:val="28"/>
          <w:szCs w:val="28"/>
        </w:rPr>
        <w:t>(ІМТ = 25-30 кг/м</w:t>
      </w:r>
      <w:r w:rsidR="005A618C" w:rsidRPr="007F5722">
        <w:rPr>
          <w:rFonts w:ascii="Times New Roman" w:hAnsi="Times New Roman" w:cs="Times New Roman"/>
          <w:bCs/>
          <w:sz w:val="28"/>
          <w:szCs w:val="28"/>
          <w:vertAlign w:val="superscript"/>
        </w:rPr>
        <w:t>2</w:t>
      </w:r>
      <w:r w:rsidR="00974A2E" w:rsidRPr="007F5722">
        <w:rPr>
          <w:rFonts w:ascii="Times New Roman" w:hAnsi="Times New Roman" w:cs="Times New Roman"/>
          <w:bCs/>
          <w:sz w:val="28"/>
          <w:szCs w:val="28"/>
        </w:rPr>
        <w:t>), другу – 30</w:t>
      </w:r>
      <w:r w:rsidR="005A618C" w:rsidRPr="007F5722">
        <w:rPr>
          <w:rFonts w:ascii="Times New Roman" w:hAnsi="Times New Roman" w:cs="Times New Roman"/>
          <w:bCs/>
          <w:sz w:val="28"/>
          <w:szCs w:val="28"/>
        </w:rPr>
        <w:t xml:space="preserve"> хворих на ГХ з супутнім ожирінням 1 ст. (ІМТ = 30-34,9 кг/м</w:t>
      </w:r>
      <w:r w:rsidR="005A618C" w:rsidRPr="007F5722">
        <w:rPr>
          <w:rFonts w:ascii="Times New Roman" w:hAnsi="Times New Roman" w:cs="Times New Roman"/>
          <w:bCs/>
          <w:sz w:val="28"/>
          <w:szCs w:val="28"/>
          <w:vertAlign w:val="superscript"/>
        </w:rPr>
        <w:t>2</w:t>
      </w:r>
      <w:r w:rsidR="00974A2E" w:rsidRPr="007F5722">
        <w:rPr>
          <w:rFonts w:ascii="Times New Roman" w:hAnsi="Times New Roman" w:cs="Times New Roman"/>
          <w:bCs/>
          <w:sz w:val="28"/>
          <w:szCs w:val="28"/>
        </w:rPr>
        <w:t>), третю – 19</w:t>
      </w:r>
      <w:r w:rsidR="005A618C" w:rsidRPr="007F5722">
        <w:rPr>
          <w:rFonts w:ascii="Times New Roman" w:hAnsi="Times New Roman" w:cs="Times New Roman"/>
          <w:bCs/>
          <w:sz w:val="28"/>
          <w:szCs w:val="28"/>
        </w:rPr>
        <w:t xml:space="preserve"> хворих на ГХ з супутнім ожирінням 2-3 ст. (ІМТ &gt; 35 кг/м</w:t>
      </w:r>
      <w:r w:rsidR="005A618C" w:rsidRPr="007F5722">
        <w:rPr>
          <w:rFonts w:ascii="Times New Roman" w:hAnsi="Times New Roman" w:cs="Times New Roman"/>
          <w:bCs/>
          <w:sz w:val="28"/>
          <w:szCs w:val="28"/>
          <w:vertAlign w:val="superscript"/>
        </w:rPr>
        <w:t>2</w:t>
      </w:r>
      <w:r w:rsidR="005A618C" w:rsidRPr="007F5722">
        <w:rPr>
          <w:rFonts w:ascii="Times New Roman" w:hAnsi="Times New Roman" w:cs="Times New Roman"/>
          <w:bCs/>
          <w:sz w:val="28"/>
          <w:szCs w:val="28"/>
        </w:rPr>
        <w:t>). Групу по</w:t>
      </w:r>
      <w:r w:rsidR="00974A2E" w:rsidRPr="007F5722">
        <w:rPr>
          <w:rFonts w:ascii="Times New Roman" w:hAnsi="Times New Roman" w:cs="Times New Roman"/>
          <w:bCs/>
          <w:sz w:val="28"/>
          <w:szCs w:val="28"/>
        </w:rPr>
        <w:t>рівняння склали 25</w:t>
      </w:r>
      <w:r w:rsidR="005A618C" w:rsidRPr="007F5722">
        <w:rPr>
          <w:rFonts w:ascii="Times New Roman" w:hAnsi="Times New Roman" w:cs="Times New Roman"/>
          <w:bCs/>
          <w:sz w:val="28"/>
          <w:szCs w:val="28"/>
        </w:rPr>
        <w:t xml:space="preserve"> хворих на ГХ з нормальною масою тіла (ІМТ&lt;25 кг/м</w:t>
      </w:r>
      <w:r w:rsidR="005A618C" w:rsidRPr="007F5722">
        <w:rPr>
          <w:rFonts w:ascii="Times New Roman" w:hAnsi="Times New Roman" w:cs="Times New Roman"/>
          <w:bCs/>
          <w:sz w:val="28"/>
          <w:szCs w:val="28"/>
          <w:vertAlign w:val="superscript"/>
        </w:rPr>
        <w:t>2</w:t>
      </w:r>
      <w:r w:rsidR="005A618C" w:rsidRPr="007F5722">
        <w:rPr>
          <w:rFonts w:ascii="Times New Roman" w:hAnsi="Times New Roman" w:cs="Times New Roman"/>
          <w:bCs/>
          <w:sz w:val="28"/>
          <w:szCs w:val="28"/>
        </w:rPr>
        <w:t>).</w:t>
      </w:r>
      <w:r w:rsidR="005F2DD9" w:rsidRPr="007F5722">
        <w:rPr>
          <w:rFonts w:ascii="Times New Roman" w:hAnsi="Times New Roman" w:cs="Times New Roman"/>
          <w:bCs/>
          <w:sz w:val="28"/>
          <w:szCs w:val="28"/>
        </w:rPr>
        <w:t xml:space="preserve"> </w:t>
      </w:r>
      <w:r w:rsidR="00974A2E" w:rsidRPr="007F5722">
        <w:rPr>
          <w:rFonts w:ascii="Times New Roman" w:hAnsi="Times New Roman" w:cs="Times New Roman"/>
          <w:bCs/>
          <w:sz w:val="28"/>
          <w:szCs w:val="28"/>
        </w:rPr>
        <w:t xml:space="preserve">Також хворі були розподілені в залежності від наявності абдомінального ожиріння (АО), </w:t>
      </w:r>
      <w:r w:rsidR="00F70D9D" w:rsidRPr="007F5722">
        <w:rPr>
          <w:rFonts w:ascii="Times New Roman" w:hAnsi="Times New Roman" w:cs="Times New Roman"/>
          <w:sz w:val="28"/>
          <w:szCs w:val="28"/>
        </w:rPr>
        <w:t>яке діагностували при окружності</w:t>
      </w:r>
      <w:r w:rsidR="00974A2E" w:rsidRPr="007F5722">
        <w:rPr>
          <w:rFonts w:ascii="Times New Roman" w:hAnsi="Times New Roman" w:cs="Times New Roman"/>
          <w:sz w:val="28"/>
          <w:szCs w:val="28"/>
        </w:rPr>
        <w:t xml:space="preserve"> талії (ОТ) для чоловіків більше 102 см, а для жінок більше 88 см.</w:t>
      </w:r>
    </w:p>
    <w:p w:rsidR="005605BC" w:rsidRPr="007F5722" w:rsidRDefault="005605BC" w:rsidP="00046E43">
      <w:pPr>
        <w:spacing w:after="0" w:line="360" w:lineRule="auto"/>
        <w:ind w:firstLine="709"/>
        <w:jc w:val="both"/>
        <w:rPr>
          <w:rFonts w:ascii="Times New Roman" w:hAnsi="Times New Roman" w:cs="Times New Roman"/>
          <w:bCs/>
          <w:sz w:val="28"/>
          <w:szCs w:val="28"/>
        </w:rPr>
      </w:pPr>
      <w:r w:rsidRPr="007F5722">
        <w:rPr>
          <w:rFonts w:ascii="Times New Roman" w:hAnsi="Times New Roman" w:cs="Times New Roman"/>
          <w:bCs/>
          <w:sz w:val="28"/>
          <w:szCs w:val="28"/>
        </w:rPr>
        <w:t>Усім пацієнтам було проведено стандартне комплексне клінічне обстеження, виміряні антропометричні показники (</w:t>
      </w:r>
      <w:r w:rsidR="00524836" w:rsidRPr="007F5722">
        <w:rPr>
          <w:rFonts w:ascii="Times New Roman" w:hAnsi="Times New Roman" w:cs="Times New Roman"/>
          <w:bCs/>
          <w:sz w:val="28"/>
          <w:szCs w:val="28"/>
        </w:rPr>
        <w:t xml:space="preserve">зріст, </w:t>
      </w:r>
      <w:r w:rsidR="00F70D9D" w:rsidRPr="007F5722">
        <w:rPr>
          <w:rFonts w:ascii="Times New Roman" w:hAnsi="Times New Roman" w:cs="Times New Roman"/>
          <w:bCs/>
          <w:sz w:val="28"/>
          <w:szCs w:val="28"/>
        </w:rPr>
        <w:t>маса тіла</w:t>
      </w:r>
      <w:r w:rsidR="00524836" w:rsidRPr="007F5722">
        <w:rPr>
          <w:rFonts w:ascii="Times New Roman" w:hAnsi="Times New Roman" w:cs="Times New Roman"/>
          <w:bCs/>
          <w:sz w:val="28"/>
          <w:szCs w:val="28"/>
        </w:rPr>
        <w:t>, ОТ</w:t>
      </w:r>
      <w:r w:rsidR="00F70D9D" w:rsidRPr="007F5722">
        <w:rPr>
          <w:rFonts w:ascii="Times New Roman" w:hAnsi="Times New Roman" w:cs="Times New Roman"/>
          <w:bCs/>
          <w:sz w:val="28"/>
          <w:szCs w:val="28"/>
        </w:rPr>
        <w:t xml:space="preserve"> та </w:t>
      </w:r>
      <w:r w:rsidR="00F70D9D" w:rsidRPr="007F5722">
        <w:rPr>
          <w:rFonts w:ascii="Times New Roman" w:hAnsi="Times New Roman" w:cs="Times New Roman"/>
          <w:bCs/>
          <w:sz w:val="28"/>
          <w:szCs w:val="28"/>
        </w:rPr>
        <w:lastRenderedPageBreak/>
        <w:t>окружність</w:t>
      </w:r>
      <w:r w:rsidRPr="007F5722">
        <w:rPr>
          <w:rFonts w:ascii="Times New Roman" w:hAnsi="Times New Roman" w:cs="Times New Roman"/>
          <w:bCs/>
          <w:sz w:val="28"/>
          <w:szCs w:val="28"/>
        </w:rPr>
        <w:t xml:space="preserve"> стегон</w:t>
      </w:r>
      <w:r w:rsidR="00524836" w:rsidRPr="007F5722">
        <w:rPr>
          <w:rFonts w:ascii="Times New Roman" w:hAnsi="Times New Roman" w:cs="Times New Roman"/>
          <w:bCs/>
          <w:sz w:val="28"/>
          <w:szCs w:val="28"/>
        </w:rPr>
        <w:t xml:space="preserve"> (ОС)</w:t>
      </w:r>
      <w:r w:rsidRPr="007F5722">
        <w:rPr>
          <w:rFonts w:ascii="Times New Roman" w:hAnsi="Times New Roman" w:cs="Times New Roman"/>
          <w:bCs/>
          <w:sz w:val="28"/>
          <w:szCs w:val="28"/>
        </w:rPr>
        <w:t>). Визначення параметрів ліпідного спектру проводилося ферментативним методом з використанням стандартних наборів з подальшим розрахунком холестерину ліпопротеїдів низької щільності (ХС ЛПНЩ), холестерину ліпопротеїдів дуже низької щільності (ХС ЛПДНЩ), коефіцієнту атерогенності (КА) та ХС не-ЛПВЩ.</w:t>
      </w:r>
      <w:r w:rsidR="00981DE6" w:rsidRPr="007F5722">
        <w:rPr>
          <w:rFonts w:ascii="Times New Roman" w:hAnsi="Times New Roman" w:cs="Times New Roman"/>
          <w:bCs/>
          <w:sz w:val="28"/>
          <w:szCs w:val="28"/>
        </w:rPr>
        <w:t xml:space="preserve"> </w:t>
      </w:r>
      <w:r w:rsidR="00F70D9D" w:rsidRPr="007F5722">
        <w:rPr>
          <w:rFonts w:ascii="Times New Roman" w:hAnsi="Times New Roman" w:cs="Times New Roman"/>
          <w:bCs/>
          <w:sz w:val="28"/>
          <w:szCs w:val="28"/>
        </w:rPr>
        <w:t>Рівень Апо В визначали імуноферментним методом з використанням набору Assay Max® Human Apolipoprotein B ELISA Kit.</w:t>
      </w:r>
    </w:p>
    <w:p w:rsidR="00F70D9D" w:rsidRPr="007F5722" w:rsidRDefault="00793DD5" w:rsidP="00046E4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Показники ліпідного профілю</w:t>
      </w:r>
      <w:r w:rsidR="00D80A94" w:rsidRPr="007F5722">
        <w:rPr>
          <w:rFonts w:ascii="Times New Roman" w:hAnsi="Times New Roman" w:cs="Times New Roman"/>
          <w:bCs/>
          <w:sz w:val="28"/>
          <w:szCs w:val="28"/>
        </w:rPr>
        <w:t xml:space="preserve"> вивчали не тільки натще, а також постпрандіально через 6 годин після жирового навантаження (ЖН) згідно модифіковано</w:t>
      </w:r>
      <w:r>
        <w:rPr>
          <w:rFonts w:ascii="Times New Roman" w:hAnsi="Times New Roman" w:cs="Times New Roman"/>
          <w:bCs/>
          <w:sz w:val="28"/>
          <w:szCs w:val="28"/>
        </w:rPr>
        <w:t>ї методики J. R. Patsch</w:t>
      </w:r>
      <w:r w:rsidR="00D80A94" w:rsidRPr="007F5722">
        <w:rPr>
          <w:rFonts w:ascii="Times New Roman" w:hAnsi="Times New Roman" w:cs="Times New Roman"/>
          <w:bCs/>
          <w:sz w:val="28"/>
          <w:szCs w:val="28"/>
        </w:rPr>
        <w:t xml:space="preserve"> – вживання натщесерце 20,0% вершків в середньому 644,58±16,25 г (з розрахунку 65,0 г емульгованого жиру на 1,0 м</w:t>
      </w:r>
      <w:r w:rsidR="00D80A94" w:rsidRPr="007F5722">
        <w:rPr>
          <w:rFonts w:ascii="Times New Roman" w:hAnsi="Times New Roman" w:cs="Times New Roman"/>
          <w:bCs/>
          <w:sz w:val="28"/>
          <w:szCs w:val="28"/>
          <w:vertAlign w:val="superscript"/>
        </w:rPr>
        <w:t>2</w:t>
      </w:r>
      <w:r w:rsidR="00D80A94" w:rsidRPr="007F5722">
        <w:rPr>
          <w:rFonts w:ascii="Times New Roman" w:hAnsi="Times New Roman" w:cs="Times New Roman"/>
          <w:bCs/>
          <w:sz w:val="28"/>
          <w:szCs w:val="28"/>
        </w:rPr>
        <w:t xml:space="preserve"> поверхні тіла) з 50,0 г білого хліба, калорійність близько 1300,0 ккал. У нашій роботі постпрандіальні показники визначали саме через 6 годин, тому що цей період є найінформативнішим, бо приріст тригліцеридів (ТГ) та ХС ЛПНЩ у ранню постпрандіальну фазу є фізіологічним і супроводжується досить швидкою нормалізацією показників ліпідного спектру у здорових осіб. </w:t>
      </w:r>
    </w:p>
    <w:p w:rsidR="005605BC" w:rsidRPr="007F5722" w:rsidRDefault="005605BC" w:rsidP="00046E43">
      <w:pPr>
        <w:spacing w:after="0" w:line="360" w:lineRule="auto"/>
        <w:ind w:firstLine="709"/>
        <w:jc w:val="both"/>
        <w:rPr>
          <w:rFonts w:ascii="Times New Roman" w:hAnsi="Times New Roman" w:cs="Times New Roman"/>
          <w:sz w:val="28"/>
          <w:szCs w:val="28"/>
        </w:rPr>
      </w:pPr>
      <w:r w:rsidRPr="007F5722">
        <w:rPr>
          <w:rFonts w:ascii="Times New Roman" w:hAnsi="Times New Roman" w:cs="Times New Roman"/>
          <w:sz w:val="28"/>
          <w:szCs w:val="28"/>
        </w:rPr>
        <w:t>Визначення рівня вмісту ІЛ-22 у плазмі крові проводили імуноферментним методом із застосуванням набору Bender Medsystems® Human IL-22 Platinum ELISA.</w:t>
      </w:r>
    </w:p>
    <w:p w:rsidR="005F2DD9" w:rsidRPr="007F5722" w:rsidRDefault="00974A2E" w:rsidP="009B6D33">
      <w:pPr>
        <w:spacing w:after="0" w:line="360" w:lineRule="auto"/>
        <w:ind w:firstLine="709"/>
        <w:jc w:val="both"/>
        <w:rPr>
          <w:rFonts w:ascii="Times New Roman" w:hAnsi="Times New Roman" w:cs="Times New Roman"/>
          <w:sz w:val="28"/>
          <w:szCs w:val="28"/>
        </w:rPr>
      </w:pPr>
      <w:r w:rsidRPr="007F5722">
        <w:rPr>
          <w:rFonts w:ascii="Times New Roman" w:hAnsi="Times New Roman" w:cs="Times New Roman"/>
          <w:sz w:val="28"/>
          <w:szCs w:val="28"/>
        </w:rPr>
        <w:t xml:space="preserve">Додатково хворим проводилося ультразвукове дослідження </w:t>
      </w:r>
      <w:r w:rsidR="005F2DD9" w:rsidRPr="007F5722">
        <w:rPr>
          <w:rFonts w:ascii="Times New Roman" w:hAnsi="Times New Roman" w:cs="Times New Roman"/>
          <w:sz w:val="28"/>
          <w:szCs w:val="28"/>
        </w:rPr>
        <w:t xml:space="preserve">(УЗД) серця та загальних </w:t>
      </w:r>
      <w:r w:rsidRPr="007F5722">
        <w:rPr>
          <w:rFonts w:ascii="Times New Roman" w:hAnsi="Times New Roman" w:cs="Times New Roman"/>
          <w:sz w:val="28"/>
          <w:szCs w:val="28"/>
        </w:rPr>
        <w:t>сонних артерій</w:t>
      </w:r>
      <w:r w:rsidR="00DD2C3A" w:rsidRPr="007F5722">
        <w:rPr>
          <w:rFonts w:ascii="Times New Roman" w:hAnsi="Times New Roman" w:cs="Times New Roman"/>
          <w:sz w:val="28"/>
          <w:szCs w:val="28"/>
          <w:lang w:val="ru-RU"/>
        </w:rPr>
        <w:t xml:space="preserve"> (З</w:t>
      </w:r>
      <w:r w:rsidR="00DD2C3A" w:rsidRPr="007F5722">
        <w:rPr>
          <w:rFonts w:ascii="Times New Roman" w:hAnsi="Times New Roman" w:cs="Times New Roman"/>
          <w:sz w:val="28"/>
          <w:szCs w:val="28"/>
        </w:rPr>
        <w:t>СА</w:t>
      </w:r>
      <w:r w:rsidR="00DD2C3A" w:rsidRPr="007F5722">
        <w:rPr>
          <w:rFonts w:ascii="Times New Roman" w:hAnsi="Times New Roman" w:cs="Times New Roman"/>
          <w:sz w:val="28"/>
          <w:szCs w:val="28"/>
          <w:lang w:val="ru-RU"/>
        </w:rPr>
        <w:t>)</w:t>
      </w:r>
      <w:r w:rsidRPr="007F5722">
        <w:rPr>
          <w:rFonts w:ascii="Times New Roman" w:hAnsi="Times New Roman" w:cs="Times New Roman"/>
          <w:sz w:val="28"/>
          <w:szCs w:val="28"/>
        </w:rPr>
        <w:t xml:space="preserve">. </w:t>
      </w:r>
      <w:r w:rsidR="009B6D33" w:rsidRPr="007F5722">
        <w:rPr>
          <w:rFonts w:ascii="Times New Roman" w:hAnsi="Times New Roman" w:cs="Times New Roman"/>
          <w:sz w:val="28"/>
          <w:szCs w:val="28"/>
        </w:rPr>
        <w:t>За допомогою</w:t>
      </w:r>
      <w:r w:rsidR="005F2DD9" w:rsidRPr="007F5722">
        <w:rPr>
          <w:rFonts w:ascii="Times New Roman" w:hAnsi="Times New Roman" w:cs="Times New Roman"/>
          <w:sz w:val="28"/>
          <w:szCs w:val="28"/>
        </w:rPr>
        <w:t xml:space="preserve"> УЗД серця визначали </w:t>
      </w:r>
      <w:r w:rsidR="009B6D33" w:rsidRPr="007F5722">
        <w:rPr>
          <w:rFonts w:ascii="Times New Roman" w:hAnsi="Times New Roman" w:cs="Times New Roman"/>
          <w:bCs/>
          <w:sz w:val="28"/>
          <w:szCs w:val="28"/>
        </w:rPr>
        <w:t>структурно-функціональний стан міокарда лівого шлуночка та визначали певний варіант ремоделювання відповідно до маси міокарда лівого шлуночка, розмірів його порожнини та товщини стінок.</w:t>
      </w:r>
    </w:p>
    <w:p w:rsidR="00974A2E" w:rsidRPr="007F5722" w:rsidRDefault="00974A2E" w:rsidP="00046E43">
      <w:pPr>
        <w:spacing w:after="0" w:line="360" w:lineRule="auto"/>
        <w:ind w:firstLine="709"/>
        <w:jc w:val="both"/>
        <w:rPr>
          <w:rFonts w:ascii="Times New Roman" w:hAnsi="Times New Roman" w:cs="Times New Roman"/>
          <w:sz w:val="28"/>
          <w:szCs w:val="28"/>
        </w:rPr>
      </w:pPr>
      <w:r w:rsidRPr="007F5722">
        <w:rPr>
          <w:rFonts w:ascii="Times New Roman" w:hAnsi="Times New Roman" w:cs="Times New Roman"/>
          <w:sz w:val="28"/>
          <w:szCs w:val="28"/>
        </w:rPr>
        <w:t xml:space="preserve">Товщину комплексу інтима-медіа (КІМ) вимірювали в середній третині ЗСА по задній стінці за методикою P. Pignoli, як відстань між характерною ехозоною, що утворена поверхнями просвіт-інтима та медіа-адвентиція у поперечному перетині. Там же вимірювали діаметр просвіту ЗСА, а також оцінювали швидкісні характеристики кровотоку. Розраховували відносну товщину стінок та масу артеріального сегменту, згідно з рекомендаціями </w:t>
      </w:r>
      <w:r w:rsidRPr="007F5722">
        <w:rPr>
          <w:rFonts w:ascii="Times New Roman" w:hAnsi="Times New Roman" w:cs="Times New Roman"/>
          <w:sz w:val="28"/>
          <w:szCs w:val="28"/>
        </w:rPr>
        <w:lastRenderedPageBreak/>
        <w:t>Європейського товариства кардіологів. Тип ремоделювання ЗСА оцінювався згідно класифікації, яка була запропонована О.В. Агафоновим та співавт.</w:t>
      </w:r>
    </w:p>
    <w:p w:rsidR="005F2DD9" w:rsidRPr="007F5722" w:rsidRDefault="005605BC" w:rsidP="005F2DD9">
      <w:pPr>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Статистич</w:t>
      </w:r>
      <w:r w:rsidR="00974A2E" w:rsidRPr="007F5722">
        <w:rPr>
          <w:rFonts w:ascii="Times New Roman" w:eastAsia="Times New Roman" w:hAnsi="Times New Roman" w:cs="Times New Roman"/>
          <w:color w:val="000000"/>
          <w:sz w:val="28"/>
          <w:szCs w:val="28"/>
        </w:rPr>
        <w:t xml:space="preserve">ний аналіз отриманих даних проводили </w:t>
      </w:r>
      <w:r w:rsidRPr="007F5722">
        <w:rPr>
          <w:rFonts w:ascii="Times New Roman" w:eastAsia="Times New Roman" w:hAnsi="Times New Roman" w:cs="Times New Roman"/>
          <w:color w:val="000000"/>
          <w:sz w:val="28"/>
          <w:szCs w:val="28"/>
        </w:rPr>
        <w:t>з використанням непараметричного критерію Манна-Уїтні, рангового дисперсійного аналізу Краскела-Уолліса, коефіцієнта рангової кореляції Спірмена</w:t>
      </w:r>
      <w:r w:rsidR="00851F45" w:rsidRPr="007F5722">
        <w:rPr>
          <w:rFonts w:ascii="Times New Roman" w:eastAsia="Times New Roman" w:hAnsi="Times New Roman" w:cs="Times New Roman"/>
          <w:color w:val="000000"/>
          <w:sz w:val="28"/>
          <w:szCs w:val="28"/>
        </w:rPr>
        <w:t xml:space="preserve"> та метода кластерного аналізу за методом К-середніх</w:t>
      </w:r>
      <w:r w:rsidRPr="007F5722">
        <w:rPr>
          <w:rFonts w:ascii="Times New Roman" w:eastAsia="Times New Roman" w:hAnsi="Times New Roman" w:cs="Times New Roman"/>
          <w:color w:val="000000"/>
          <w:sz w:val="28"/>
          <w:szCs w:val="28"/>
        </w:rPr>
        <w:t>. Результати представлені у вигляді Ме (Q25;Q75), де Ме – медіана (50-й процентиль), Q25 і Q75 – 25-й і 75-й процентилі (нижній і верхній квартилі відповідно).</w:t>
      </w:r>
    </w:p>
    <w:p w:rsidR="005F2DD9" w:rsidRPr="007F5722" w:rsidRDefault="00E37B7F" w:rsidP="005F2DD9">
      <w:pPr>
        <w:spacing w:after="0" w:line="360" w:lineRule="auto"/>
        <w:ind w:firstLine="709"/>
        <w:jc w:val="both"/>
        <w:rPr>
          <w:rFonts w:ascii="Times New Roman" w:hAnsi="Times New Roman"/>
          <w:sz w:val="28"/>
          <w:szCs w:val="28"/>
        </w:rPr>
      </w:pPr>
      <w:r w:rsidRPr="007F5722">
        <w:rPr>
          <w:rFonts w:ascii="Times New Roman" w:hAnsi="Times New Roman" w:cs="Times New Roman"/>
          <w:sz w:val="28"/>
          <w:szCs w:val="28"/>
        </w:rPr>
        <w:t>У ході виконання дисертаці</w:t>
      </w:r>
      <w:r w:rsidR="006C52A0" w:rsidRPr="007F5722">
        <w:rPr>
          <w:rFonts w:ascii="Times New Roman" w:hAnsi="Times New Roman" w:cs="Times New Roman"/>
          <w:sz w:val="28"/>
          <w:szCs w:val="28"/>
        </w:rPr>
        <w:t>йної роботи</w:t>
      </w:r>
      <w:r w:rsidRPr="007F5722">
        <w:rPr>
          <w:rFonts w:ascii="Times New Roman" w:hAnsi="Times New Roman" w:cs="Times New Roman"/>
          <w:sz w:val="28"/>
          <w:szCs w:val="28"/>
        </w:rPr>
        <w:t xml:space="preserve"> встановлено, що</w:t>
      </w:r>
      <w:r w:rsidR="005F2DD9" w:rsidRPr="007F5722">
        <w:rPr>
          <w:rFonts w:ascii="Times New Roman" w:hAnsi="Times New Roman" w:cs="Times New Roman"/>
          <w:bCs/>
          <w:iCs/>
          <w:sz w:val="28"/>
          <w:szCs w:val="28"/>
        </w:rPr>
        <w:t xml:space="preserve"> вміст інтерлейкіну-22 достовірно вищий у хворих на </w:t>
      </w:r>
      <w:r w:rsidR="00DD2C3A" w:rsidRPr="007F5722">
        <w:rPr>
          <w:rFonts w:ascii="Times New Roman" w:hAnsi="Times New Roman" w:cs="Times New Roman"/>
          <w:bCs/>
          <w:iCs/>
          <w:sz w:val="28"/>
          <w:szCs w:val="28"/>
        </w:rPr>
        <w:t>ГХ</w:t>
      </w:r>
      <w:r w:rsidR="005F2DD9" w:rsidRPr="007F5722">
        <w:rPr>
          <w:rFonts w:ascii="Times New Roman" w:hAnsi="Times New Roman" w:cs="Times New Roman"/>
          <w:bCs/>
          <w:iCs/>
          <w:sz w:val="28"/>
          <w:szCs w:val="28"/>
        </w:rPr>
        <w:t xml:space="preserve"> за наявності надмірної маси тіла (28,64 (27,49; 28,94) пг/мл) та ожиріння (40,05 (35,23; 53,02) пг/мл) порівняно з пацієнтами з нормальною масою тіла (23,14 (22,47; 23,76) пг/мл) та групою контролю (19,81 (18,77; 20,15) пг/мл; </w:t>
      </w:r>
      <w:r w:rsidR="005F2DD9" w:rsidRPr="007F5722">
        <w:rPr>
          <w:rFonts w:ascii="Times New Roman" w:hAnsi="Times New Roman" w:cs="Times New Roman"/>
          <w:bCs/>
          <w:iCs/>
          <w:sz w:val="28"/>
          <w:szCs w:val="28"/>
          <w:lang w:val="en-US"/>
        </w:rPr>
        <w:t>p</w:t>
      </w:r>
      <w:r w:rsidR="005F2DD9" w:rsidRPr="007F5722">
        <w:rPr>
          <w:rFonts w:ascii="Times New Roman" w:hAnsi="Times New Roman" w:cs="Times New Roman"/>
          <w:bCs/>
          <w:iCs/>
          <w:sz w:val="28"/>
          <w:szCs w:val="28"/>
        </w:rPr>
        <w:t xml:space="preserve">&lt;0,05). Рівень </w:t>
      </w:r>
      <w:r w:rsidR="00DD2C3A" w:rsidRPr="007F5722">
        <w:rPr>
          <w:rFonts w:ascii="Times New Roman" w:hAnsi="Times New Roman" w:cs="Times New Roman"/>
          <w:bCs/>
          <w:iCs/>
          <w:sz w:val="28"/>
          <w:szCs w:val="28"/>
        </w:rPr>
        <w:t>ІЛ</w:t>
      </w:r>
      <w:r w:rsidR="00793DD5">
        <w:rPr>
          <w:rFonts w:ascii="Times New Roman" w:hAnsi="Times New Roman" w:cs="Times New Roman"/>
          <w:bCs/>
          <w:iCs/>
          <w:sz w:val="28"/>
          <w:szCs w:val="28"/>
        </w:rPr>
        <w:t>-22 у плазмі</w:t>
      </w:r>
      <w:r w:rsidR="005F2DD9" w:rsidRPr="007F5722">
        <w:rPr>
          <w:rFonts w:ascii="Times New Roman" w:hAnsi="Times New Roman" w:cs="Times New Roman"/>
          <w:bCs/>
          <w:iCs/>
          <w:sz w:val="28"/>
          <w:szCs w:val="28"/>
        </w:rPr>
        <w:t xml:space="preserve"> крові у хворих на </w:t>
      </w:r>
      <w:r w:rsidR="00DD2C3A" w:rsidRPr="007F5722">
        <w:rPr>
          <w:rFonts w:ascii="Times New Roman" w:hAnsi="Times New Roman" w:cs="Times New Roman"/>
          <w:bCs/>
          <w:iCs/>
          <w:sz w:val="28"/>
          <w:szCs w:val="28"/>
        </w:rPr>
        <w:t>ГХ</w:t>
      </w:r>
      <w:r w:rsidR="005F2DD9" w:rsidRPr="007F5722">
        <w:rPr>
          <w:rFonts w:ascii="Times New Roman" w:hAnsi="Times New Roman" w:cs="Times New Roman"/>
          <w:bCs/>
          <w:iCs/>
          <w:sz w:val="28"/>
          <w:szCs w:val="28"/>
        </w:rPr>
        <w:t xml:space="preserve"> в поєднанні з </w:t>
      </w:r>
      <w:r w:rsidR="00DD2C3A" w:rsidRPr="007F5722">
        <w:rPr>
          <w:rFonts w:ascii="Times New Roman" w:hAnsi="Times New Roman" w:cs="Times New Roman"/>
          <w:bCs/>
          <w:iCs/>
          <w:sz w:val="28"/>
          <w:szCs w:val="28"/>
        </w:rPr>
        <w:t>АО</w:t>
      </w:r>
      <w:r w:rsidR="005F2DD9" w:rsidRPr="007F5722">
        <w:rPr>
          <w:rFonts w:ascii="Times New Roman" w:hAnsi="Times New Roman" w:cs="Times New Roman"/>
          <w:bCs/>
          <w:iCs/>
          <w:sz w:val="28"/>
          <w:szCs w:val="28"/>
        </w:rPr>
        <w:t xml:space="preserve"> (30,82 (28,43; 49,26) пг/мл) достовірно перевищує рівень хворих без ознак </w:t>
      </w:r>
      <w:r w:rsidR="00DD2C3A" w:rsidRPr="007F5722">
        <w:rPr>
          <w:rFonts w:ascii="Times New Roman" w:hAnsi="Times New Roman" w:cs="Times New Roman"/>
          <w:bCs/>
          <w:iCs/>
          <w:sz w:val="28"/>
          <w:szCs w:val="28"/>
        </w:rPr>
        <w:t>АО</w:t>
      </w:r>
      <w:r w:rsidR="005F2DD9" w:rsidRPr="007F5722">
        <w:rPr>
          <w:rFonts w:ascii="Times New Roman" w:hAnsi="Times New Roman" w:cs="Times New Roman"/>
          <w:bCs/>
          <w:iCs/>
          <w:sz w:val="28"/>
          <w:szCs w:val="28"/>
        </w:rPr>
        <w:t xml:space="preserve"> (26,95 (23,22; 29,61) пг/мл; (р&lt;0,05)), та рівень контрольної групи (19,81 (18,77; 20,15) пг/мл; (р&lt;0,05)).</w:t>
      </w:r>
      <w:r w:rsidR="005F2DD9" w:rsidRPr="007F5722">
        <w:rPr>
          <w:rFonts w:ascii="Times New Roman" w:hAnsi="Times New Roman"/>
          <w:sz w:val="28"/>
          <w:szCs w:val="28"/>
        </w:rPr>
        <w:t xml:space="preserve"> Отримані результати підтверджують припущення про те, що зб</w:t>
      </w:r>
      <w:r w:rsidR="00793DD5">
        <w:rPr>
          <w:rFonts w:ascii="Times New Roman" w:hAnsi="Times New Roman"/>
          <w:sz w:val="28"/>
          <w:szCs w:val="28"/>
        </w:rPr>
        <w:t>ільшений вміст ІЛ-22 у плазмі</w:t>
      </w:r>
      <w:r w:rsidR="005F2DD9" w:rsidRPr="007F5722">
        <w:rPr>
          <w:rFonts w:ascii="Times New Roman" w:hAnsi="Times New Roman"/>
          <w:sz w:val="28"/>
          <w:szCs w:val="28"/>
        </w:rPr>
        <w:t xml:space="preserve"> крові асоціюється зі зростанням рівня</w:t>
      </w:r>
      <w:r w:rsidR="00DD2C3A" w:rsidRPr="007F5722">
        <w:rPr>
          <w:rFonts w:ascii="Times New Roman" w:hAnsi="Times New Roman"/>
          <w:sz w:val="28"/>
          <w:szCs w:val="28"/>
        </w:rPr>
        <w:t xml:space="preserve"> артеріального тиску</w:t>
      </w:r>
      <w:r w:rsidR="005F2DD9" w:rsidRPr="007F5722">
        <w:rPr>
          <w:rFonts w:ascii="Times New Roman" w:hAnsi="Times New Roman"/>
          <w:sz w:val="28"/>
          <w:szCs w:val="28"/>
        </w:rPr>
        <w:t xml:space="preserve"> </w:t>
      </w:r>
      <w:r w:rsidR="00DD2C3A" w:rsidRPr="007F5722">
        <w:rPr>
          <w:rFonts w:ascii="Times New Roman" w:hAnsi="Times New Roman"/>
          <w:sz w:val="28"/>
          <w:szCs w:val="28"/>
        </w:rPr>
        <w:t>(</w:t>
      </w:r>
      <w:r w:rsidR="005F2DD9" w:rsidRPr="007F5722">
        <w:rPr>
          <w:rFonts w:ascii="Times New Roman" w:hAnsi="Times New Roman"/>
          <w:sz w:val="28"/>
          <w:szCs w:val="28"/>
        </w:rPr>
        <w:t>АТ</w:t>
      </w:r>
      <w:r w:rsidR="00DD2C3A" w:rsidRPr="007F5722">
        <w:rPr>
          <w:rFonts w:ascii="Times New Roman" w:hAnsi="Times New Roman"/>
          <w:sz w:val="28"/>
          <w:szCs w:val="28"/>
        </w:rPr>
        <w:t>)</w:t>
      </w:r>
      <w:r w:rsidR="005F2DD9" w:rsidRPr="007F5722">
        <w:rPr>
          <w:rFonts w:ascii="Times New Roman" w:hAnsi="Times New Roman"/>
          <w:sz w:val="28"/>
          <w:szCs w:val="28"/>
        </w:rPr>
        <w:t xml:space="preserve"> та маси тіла хворих на ГХ.</w:t>
      </w:r>
    </w:p>
    <w:p w:rsidR="005F2DD9" w:rsidRPr="007F5722" w:rsidRDefault="005F2DD9" w:rsidP="005F2DD9">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bCs/>
          <w:iCs/>
          <w:sz w:val="28"/>
          <w:szCs w:val="28"/>
        </w:rPr>
        <w:t>За результатами дослідження</w:t>
      </w:r>
      <w:r w:rsidR="00246DE0" w:rsidRPr="007F5722">
        <w:rPr>
          <w:rFonts w:ascii="Times New Roman" w:hAnsi="Times New Roman" w:cs="Times New Roman"/>
          <w:bCs/>
          <w:iCs/>
          <w:sz w:val="28"/>
          <w:szCs w:val="28"/>
        </w:rPr>
        <w:t xml:space="preserve"> у</w:t>
      </w:r>
      <w:r w:rsidRPr="007F5722">
        <w:rPr>
          <w:rFonts w:ascii="Times New Roman" w:hAnsi="Times New Roman" w:cs="Times New Roman"/>
          <w:bCs/>
          <w:iCs/>
          <w:sz w:val="28"/>
          <w:szCs w:val="28"/>
        </w:rPr>
        <w:t xml:space="preserve"> хворих на </w:t>
      </w:r>
      <w:r w:rsidR="00DD2C3A" w:rsidRPr="007F5722">
        <w:rPr>
          <w:rFonts w:ascii="Times New Roman" w:hAnsi="Times New Roman" w:cs="Times New Roman"/>
          <w:bCs/>
          <w:iCs/>
          <w:sz w:val="28"/>
          <w:szCs w:val="28"/>
        </w:rPr>
        <w:t>ГХ</w:t>
      </w:r>
      <w:r w:rsidRPr="007F5722">
        <w:rPr>
          <w:rFonts w:ascii="Times New Roman" w:hAnsi="Times New Roman" w:cs="Times New Roman"/>
          <w:bCs/>
          <w:iCs/>
          <w:sz w:val="28"/>
          <w:szCs w:val="28"/>
        </w:rPr>
        <w:t xml:space="preserve"> виявлено базальну дисліпідемію: </w:t>
      </w:r>
      <w:r w:rsidRPr="007F5722">
        <w:rPr>
          <w:rFonts w:ascii="Times New Roman" w:hAnsi="Times New Roman" w:cs="Times New Roman"/>
          <w:sz w:val="28"/>
          <w:szCs w:val="28"/>
        </w:rPr>
        <w:t>гіперхолестерин</w:t>
      </w:r>
      <w:r w:rsidR="00DD2C3A" w:rsidRPr="007F5722">
        <w:rPr>
          <w:rFonts w:ascii="Times New Roman" w:hAnsi="Times New Roman" w:cs="Times New Roman"/>
          <w:sz w:val="28"/>
          <w:szCs w:val="28"/>
        </w:rPr>
        <w:t>емію у 37,9</w:t>
      </w:r>
      <w:r w:rsidR="00246DE0" w:rsidRPr="007F5722">
        <w:rPr>
          <w:rFonts w:ascii="Times New Roman" w:hAnsi="Times New Roman" w:cs="Times New Roman"/>
          <w:sz w:val="28"/>
          <w:szCs w:val="28"/>
        </w:rPr>
        <w:t xml:space="preserve"> </w:t>
      </w:r>
      <w:r w:rsidR="00DD2C3A" w:rsidRPr="007F5722">
        <w:rPr>
          <w:rFonts w:ascii="Times New Roman" w:hAnsi="Times New Roman" w:cs="Times New Roman"/>
          <w:sz w:val="28"/>
          <w:szCs w:val="28"/>
        </w:rPr>
        <w:t>% випадках, гіпертриг</w:t>
      </w:r>
      <w:r w:rsidRPr="007F5722">
        <w:rPr>
          <w:rFonts w:ascii="Times New Roman" w:hAnsi="Times New Roman" w:cs="Times New Roman"/>
          <w:sz w:val="28"/>
          <w:szCs w:val="28"/>
        </w:rPr>
        <w:t>ліцеридемію – 10,3</w:t>
      </w:r>
      <w:r w:rsidR="00246DE0" w:rsidRPr="007F5722">
        <w:rPr>
          <w:rFonts w:ascii="Times New Roman" w:hAnsi="Times New Roman" w:cs="Times New Roman"/>
          <w:sz w:val="28"/>
          <w:szCs w:val="28"/>
        </w:rPr>
        <w:t xml:space="preserve"> </w:t>
      </w:r>
      <w:r w:rsidRPr="007F5722">
        <w:rPr>
          <w:rFonts w:ascii="Times New Roman" w:hAnsi="Times New Roman" w:cs="Times New Roman"/>
          <w:sz w:val="28"/>
          <w:szCs w:val="28"/>
        </w:rPr>
        <w:t xml:space="preserve">%, гіпоальфахолестеринемію </w:t>
      </w:r>
      <w:r w:rsidRPr="007F5722">
        <w:rPr>
          <w:rFonts w:ascii="Times New Roman" w:eastAsia="Times New Roman" w:hAnsi="Times New Roman" w:cs="Times New Roman"/>
          <w:color w:val="000000"/>
          <w:sz w:val="28"/>
          <w:szCs w:val="28"/>
        </w:rPr>
        <w:t>мали 27,6 % хворих (з них 87,5 % жінки та 12,5 % чоловіки)</w:t>
      </w:r>
      <w:r w:rsidRPr="007F5722">
        <w:rPr>
          <w:rFonts w:ascii="Times New Roman" w:hAnsi="Times New Roman" w:cs="Times New Roman"/>
          <w:sz w:val="28"/>
          <w:szCs w:val="28"/>
        </w:rPr>
        <w:t xml:space="preserve">, збільшення вмісту </w:t>
      </w:r>
      <w:r w:rsidR="00246DE0" w:rsidRPr="007F5722">
        <w:rPr>
          <w:rFonts w:ascii="Times New Roman" w:hAnsi="Times New Roman" w:cs="Times New Roman"/>
          <w:sz w:val="28"/>
          <w:szCs w:val="28"/>
        </w:rPr>
        <w:t>ХС ЛПНЩ – 27,6%</w:t>
      </w:r>
      <w:r w:rsidRPr="007F5722">
        <w:rPr>
          <w:rFonts w:ascii="Times New Roman" w:hAnsi="Times New Roman" w:cs="Times New Roman"/>
          <w:bCs/>
          <w:iCs/>
          <w:sz w:val="28"/>
          <w:szCs w:val="28"/>
        </w:rPr>
        <w:t xml:space="preserve">, а також порушення толерантності метаболізму ліпідів у постпрандіальний період </w:t>
      </w:r>
      <w:r w:rsidRPr="007F5722">
        <w:rPr>
          <w:rFonts w:ascii="Times New Roman" w:hAnsi="Times New Roman" w:cs="Times New Roman"/>
          <w:sz w:val="28"/>
          <w:szCs w:val="28"/>
        </w:rPr>
        <w:t>гіперхолестеринемію у 38,9</w:t>
      </w:r>
      <w:r w:rsidR="00246DE0" w:rsidRPr="007F5722">
        <w:rPr>
          <w:rFonts w:ascii="Times New Roman" w:hAnsi="Times New Roman" w:cs="Times New Roman"/>
          <w:sz w:val="28"/>
          <w:szCs w:val="28"/>
        </w:rPr>
        <w:t xml:space="preserve"> </w:t>
      </w:r>
      <w:r w:rsidRPr="007F5722">
        <w:rPr>
          <w:rFonts w:ascii="Times New Roman" w:hAnsi="Times New Roman" w:cs="Times New Roman"/>
          <w:sz w:val="28"/>
          <w:szCs w:val="28"/>
        </w:rPr>
        <w:t xml:space="preserve">% пацієнтів, гіпертригліцеридемію – у 70 % пацієнтів, гіпоальфахолестеринемію – </w:t>
      </w:r>
      <w:r w:rsidRPr="007F5722">
        <w:rPr>
          <w:rFonts w:ascii="Times New Roman" w:eastAsia="Times New Roman" w:hAnsi="Times New Roman" w:cs="Times New Roman"/>
          <w:color w:val="000000"/>
          <w:sz w:val="28"/>
          <w:szCs w:val="28"/>
        </w:rPr>
        <w:t>у 33,3 % пацієнтів (серед яких 88,9 % жінки та 11,1 % чоловіки)</w:t>
      </w:r>
      <w:r w:rsidRPr="007F5722">
        <w:rPr>
          <w:rFonts w:ascii="Times New Roman" w:hAnsi="Times New Roman" w:cs="Times New Roman"/>
          <w:sz w:val="28"/>
          <w:szCs w:val="28"/>
        </w:rPr>
        <w:t>, збільшення рівню ХС ЛПНЩ – 36,4%, що підтверджує діагностич</w:t>
      </w:r>
      <w:r w:rsidR="00BF32B5" w:rsidRPr="007F5722">
        <w:rPr>
          <w:rFonts w:ascii="Times New Roman" w:hAnsi="Times New Roman" w:cs="Times New Roman"/>
          <w:sz w:val="28"/>
          <w:szCs w:val="28"/>
        </w:rPr>
        <w:t>не значення проведення стандарт</w:t>
      </w:r>
      <w:r w:rsidRPr="007F5722">
        <w:rPr>
          <w:rFonts w:ascii="Times New Roman" w:hAnsi="Times New Roman" w:cs="Times New Roman"/>
          <w:sz w:val="28"/>
          <w:szCs w:val="28"/>
        </w:rPr>
        <w:t xml:space="preserve">ного тесту жирового навантаження </w:t>
      </w:r>
      <w:r w:rsidR="00BF32B5" w:rsidRPr="007F5722">
        <w:rPr>
          <w:rFonts w:ascii="Times New Roman" w:hAnsi="Times New Roman" w:cs="Times New Roman"/>
          <w:sz w:val="28"/>
          <w:szCs w:val="28"/>
        </w:rPr>
        <w:t xml:space="preserve">з метою визначення прихованих атерогенних дисліпідемій. </w:t>
      </w:r>
    </w:p>
    <w:p w:rsidR="005F2DD9" w:rsidRPr="007F5722" w:rsidRDefault="005F2DD9" w:rsidP="00BF32B5">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bCs/>
          <w:iCs/>
          <w:sz w:val="28"/>
          <w:szCs w:val="28"/>
        </w:rPr>
        <w:lastRenderedPageBreak/>
        <w:t>У хворих на гіпертонічну хворобу за наявності ожиріння відзначено максимальні значення інтерлейкіну-22 - 30,25(28,64;40,05) пг/мл у взаємозв’язку з несприятливими змінами параметрів ліпідної панелі, а саме зростанням проатерогенних фракцій (</w:t>
      </w:r>
      <w:r w:rsidR="00793DD5">
        <w:rPr>
          <w:rFonts w:ascii="Times New Roman" w:hAnsi="Times New Roman" w:cs="Times New Roman"/>
          <w:bCs/>
          <w:iCs/>
          <w:sz w:val="28"/>
          <w:szCs w:val="28"/>
        </w:rPr>
        <w:t>з</w:t>
      </w:r>
      <w:r w:rsidR="00246DE0" w:rsidRPr="007F5722">
        <w:rPr>
          <w:rFonts w:ascii="Times New Roman" w:hAnsi="Times New Roman" w:cs="Times New Roman"/>
          <w:bCs/>
          <w:iCs/>
          <w:sz w:val="28"/>
          <w:szCs w:val="28"/>
        </w:rPr>
        <w:t>агальний холестерин (</w:t>
      </w:r>
      <w:r w:rsidRPr="007F5722">
        <w:rPr>
          <w:rFonts w:ascii="Times New Roman" w:hAnsi="Times New Roman" w:cs="Times New Roman"/>
          <w:bCs/>
          <w:iCs/>
          <w:sz w:val="28"/>
          <w:szCs w:val="28"/>
        </w:rPr>
        <w:t>ЗХС</w:t>
      </w:r>
      <w:r w:rsidR="00246DE0" w:rsidRPr="007F5722">
        <w:rPr>
          <w:rFonts w:ascii="Times New Roman" w:hAnsi="Times New Roman" w:cs="Times New Roman"/>
          <w:bCs/>
          <w:iCs/>
          <w:sz w:val="28"/>
          <w:szCs w:val="28"/>
        </w:rPr>
        <w:t>)</w:t>
      </w:r>
      <w:r w:rsidRPr="007F5722">
        <w:rPr>
          <w:rFonts w:ascii="Times New Roman" w:hAnsi="Times New Roman" w:cs="Times New Roman"/>
          <w:bCs/>
          <w:iCs/>
          <w:sz w:val="28"/>
          <w:szCs w:val="28"/>
        </w:rPr>
        <w:t xml:space="preserve"> – 6,3 (5,5;7,2) ммоль/л; ТГ – 2,1 (1,9;2,5) ммоль/л; ХС ЛПНЩ – 4,1 (3,5; 4,9) ммоль/л) та зниженням антиатерогенних фракцій ліпідів (</w:t>
      </w:r>
      <w:r w:rsidR="00246DE0" w:rsidRPr="007F5722">
        <w:rPr>
          <w:rFonts w:ascii="Times New Roman" w:hAnsi="Times New Roman" w:cs="Times New Roman"/>
          <w:bCs/>
          <w:iCs/>
          <w:sz w:val="28"/>
          <w:szCs w:val="28"/>
        </w:rPr>
        <w:t>холестерин ліпопротеїдів високої щільності (</w:t>
      </w:r>
      <w:r w:rsidRPr="007F5722">
        <w:rPr>
          <w:rFonts w:ascii="Times New Roman" w:hAnsi="Times New Roman" w:cs="Times New Roman"/>
          <w:bCs/>
          <w:iCs/>
          <w:sz w:val="28"/>
          <w:szCs w:val="28"/>
        </w:rPr>
        <w:t>ХС ЛПВЩ</w:t>
      </w:r>
      <w:r w:rsidR="00246DE0" w:rsidRPr="007F5722">
        <w:rPr>
          <w:rFonts w:ascii="Times New Roman" w:hAnsi="Times New Roman" w:cs="Times New Roman"/>
          <w:bCs/>
          <w:iCs/>
          <w:sz w:val="28"/>
          <w:szCs w:val="28"/>
        </w:rPr>
        <w:t>)</w:t>
      </w:r>
      <w:r w:rsidRPr="007F5722">
        <w:rPr>
          <w:rFonts w:ascii="Times New Roman" w:hAnsi="Times New Roman" w:cs="Times New Roman"/>
          <w:bCs/>
          <w:iCs/>
          <w:sz w:val="28"/>
          <w:szCs w:val="28"/>
        </w:rPr>
        <w:t xml:space="preserve"> – 1,09 (0,87; 1,3) ммоль/л) порівняно з хворими на гіпертонічну хворобу з нормальною масою тіла та контрольною групою.</w:t>
      </w:r>
    </w:p>
    <w:p w:rsidR="00BF32B5" w:rsidRPr="007F5722" w:rsidRDefault="00BF32B5" w:rsidP="00BF32B5">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Встановлено залучення ІЛ-22 до розвитку гіпертрофії міокарду</w:t>
      </w:r>
      <w:r w:rsidR="00246DE0" w:rsidRPr="007F5722">
        <w:rPr>
          <w:rFonts w:ascii="Times New Roman" w:hAnsi="Times New Roman" w:cs="Times New Roman"/>
          <w:sz w:val="28"/>
          <w:szCs w:val="28"/>
        </w:rPr>
        <w:t xml:space="preserve"> лівого шлуночку</w:t>
      </w:r>
      <w:r w:rsidRPr="007F5722">
        <w:rPr>
          <w:rFonts w:ascii="Times New Roman" w:hAnsi="Times New Roman" w:cs="Times New Roman"/>
          <w:sz w:val="28"/>
          <w:szCs w:val="28"/>
        </w:rPr>
        <w:t xml:space="preserve"> </w:t>
      </w:r>
      <w:r w:rsidR="00246DE0" w:rsidRPr="007F5722">
        <w:rPr>
          <w:rFonts w:ascii="Times New Roman" w:hAnsi="Times New Roman" w:cs="Times New Roman"/>
          <w:sz w:val="28"/>
          <w:szCs w:val="28"/>
        </w:rPr>
        <w:t>(ГМ</w:t>
      </w:r>
      <w:r w:rsidRPr="007F5722">
        <w:rPr>
          <w:rFonts w:ascii="Times New Roman" w:hAnsi="Times New Roman" w:cs="Times New Roman"/>
          <w:sz w:val="28"/>
          <w:szCs w:val="28"/>
        </w:rPr>
        <w:t>ЛШ</w:t>
      </w:r>
      <w:r w:rsidR="00246DE0" w:rsidRPr="007F5722">
        <w:rPr>
          <w:rFonts w:ascii="Times New Roman" w:hAnsi="Times New Roman" w:cs="Times New Roman"/>
          <w:sz w:val="28"/>
          <w:szCs w:val="28"/>
        </w:rPr>
        <w:t>)</w:t>
      </w:r>
      <w:r w:rsidRPr="007F5722">
        <w:rPr>
          <w:rFonts w:ascii="Times New Roman" w:hAnsi="Times New Roman" w:cs="Times New Roman"/>
          <w:sz w:val="28"/>
          <w:szCs w:val="28"/>
        </w:rPr>
        <w:t xml:space="preserve"> на що вказували отримані нами дані щодо достовірно вищого рівню</w:t>
      </w:r>
      <w:r w:rsidRPr="007F5722">
        <w:rPr>
          <w:rFonts w:ascii="Times New Roman" w:hAnsi="Times New Roman" w:cs="Times New Roman"/>
          <w:sz w:val="28"/>
        </w:rPr>
        <w:t xml:space="preserve"> ІЛ-22 у хворих з гіпертрофічними типами ремоделювання, а саме концентрична гіпертрофія й ексцентрична гіпертрофія порівняно з хворими з наявністю нормальної геометрії </w:t>
      </w:r>
      <w:r w:rsidR="00246DE0" w:rsidRPr="007F5722">
        <w:rPr>
          <w:rFonts w:ascii="Times New Roman" w:hAnsi="Times New Roman" w:cs="Times New Roman"/>
          <w:sz w:val="28"/>
        </w:rPr>
        <w:t>лівого шлуночка (</w:t>
      </w:r>
      <w:r w:rsidRPr="007F5722">
        <w:rPr>
          <w:rFonts w:ascii="Times New Roman" w:hAnsi="Times New Roman" w:cs="Times New Roman"/>
          <w:sz w:val="28"/>
        </w:rPr>
        <w:t>ЛШ</w:t>
      </w:r>
      <w:r w:rsidR="00246DE0" w:rsidRPr="007F5722">
        <w:rPr>
          <w:rFonts w:ascii="Times New Roman" w:hAnsi="Times New Roman" w:cs="Times New Roman"/>
          <w:sz w:val="28"/>
        </w:rPr>
        <w:t>)</w:t>
      </w:r>
      <w:r w:rsidRPr="007F5722">
        <w:rPr>
          <w:rFonts w:ascii="Times New Roman" w:hAnsi="Times New Roman" w:cs="Times New Roman"/>
          <w:sz w:val="28"/>
        </w:rPr>
        <w:t xml:space="preserve"> та концентричного ремоделювання. Встановлено достовірні кореляційні зв’язки між ІЛ-22 та </w:t>
      </w:r>
      <w:r w:rsidR="00246DE0" w:rsidRPr="007F5722">
        <w:rPr>
          <w:rFonts w:ascii="Times New Roman" w:hAnsi="Times New Roman" w:cs="Times New Roman"/>
          <w:sz w:val="28"/>
        </w:rPr>
        <w:t>масою міокарда лівого шлуночка (</w:t>
      </w:r>
      <w:r w:rsidRPr="007F5722">
        <w:rPr>
          <w:rFonts w:ascii="Times New Roman" w:hAnsi="Times New Roman" w:cs="Times New Roman"/>
          <w:sz w:val="28"/>
        </w:rPr>
        <w:t>ММЛШ</w:t>
      </w:r>
      <w:r w:rsidR="00246DE0" w:rsidRPr="007F5722">
        <w:rPr>
          <w:rFonts w:ascii="Times New Roman" w:hAnsi="Times New Roman" w:cs="Times New Roman"/>
          <w:sz w:val="28"/>
        </w:rPr>
        <w:t>)</w:t>
      </w:r>
      <w:r w:rsidRPr="007F5722">
        <w:rPr>
          <w:rFonts w:ascii="Times New Roman" w:hAnsi="Times New Roman" w:cs="Times New Roman"/>
          <w:sz w:val="28"/>
        </w:rPr>
        <w:t xml:space="preserve"> (</w:t>
      </w:r>
      <w:r w:rsidRPr="007F5722">
        <w:rPr>
          <w:rFonts w:ascii="Times New Roman" w:hAnsi="Times New Roman" w:cs="Times New Roman"/>
          <w:sz w:val="28"/>
          <w:lang w:val="en-US"/>
        </w:rPr>
        <w:t>R</w:t>
      </w:r>
      <w:r w:rsidRPr="007F5722">
        <w:rPr>
          <w:rFonts w:ascii="Times New Roman" w:hAnsi="Times New Roman" w:cs="Times New Roman"/>
          <w:sz w:val="28"/>
        </w:rPr>
        <w:t xml:space="preserve">=0,4305; </w:t>
      </w:r>
      <w:r w:rsidRPr="007F5722">
        <w:rPr>
          <w:rFonts w:ascii="Times New Roman" w:hAnsi="Times New Roman" w:cs="Times New Roman"/>
          <w:sz w:val="28"/>
          <w:lang w:val="en-US"/>
        </w:rPr>
        <w:t>p</w:t>
      </w:r>
      <w:r w:rsidRPr="007F5722">
        <w:rPr>
          <w:rFonts w:ascii="Times New Roman" w:hAnsi="Times New Roman" w:cs="Times New Roman"/>
          <w:sz w:val="28"/>
        </w:rPr>
        <w:t xml:space="preserve">&lt;0,040) у хворих на ГХ з надмірною масою тіла; між ІЛ-22 </w:t>
      </w:r>
      <w:r w:rsidR="0055152F" w:rsidRPr="007F5722">
        <w:rPr>
          <w:rFonts w:ascii="Times New Roman" w:hAnsi="Times New Roman" w:cs="Times New Roman"/>
          <w:sz w:val="28"/>
        </w:rPr>
        <w:t>та</w:t>
      </w:r>
      <w:r w:rsidR="00364A3A" w:rsidRPr="007F5722">
        <w:rPr>
          <w:rFonts w:ascii="Times New Roman" w:hAnsi="Times New Roman" w:cs="Times New Roman"/>
          <w:sz w:val="28"/>
        </w:rPr>
        <w:t xml:space="preserve"> </w:t>
      </w:r>
      <w:r w:rsidR="00793DD5">
        <w:rPr>
          <w:rFonts w:ascii="Times New Roman" w:hAnsi="Times New Roman" w:cs="Times New Roman"/>
          <w:sz w:val="28"/>
          <w:szCs w:val="28"/>
        </w:rPr>
        <w:t>товщиною</w:t>
      </w:r>
      <w:r w:rsidR="00364A3A" w:rsidRPr="007F5722">
        <w:rPr>
          <w:rFonts w:ascii="Times New Roman" w:hAnsi="Times New Roman" w:cs="Times New Roman"/>
          <w:sz w:val="28"/>
          <w:szCs w:val="28"/>
        </w:rPr>
        <w:t xml:space="preserve"> задньої стінки лівого шлуночка</w:t>
      </w:r>
      <w:r w:rsidR="0055152F" w:rsidRPr="007F5722">
        <w:rPr>
          <w:rFonts w:ascii="Times New Roman" w:hAnsi="Times New Roman" w:cs="Times New Roman"/>
          <w:sz w:val="28"/>
        </w:rPr>
        <w:t xml:space="preserve"> </w:t>
      </w:r>
      <w:r w:rsidR="00364A3A" w:rsidRPr="007F5722">
        <w:rPr>
          <w:rFonts w:ascii="Times New Roman" w:hAnsi="Times New Roman" w:cs="Times New Roman"/>
          <w:sz w:val="28"/>
        </w:rPr>
        <w:t>(</w:t>
      </w:r>
      <w:r w:rsidRPr="007F5722">
        <w:rPr>
          <w:rFonts w:ascii="Times New Roman" w:hAnsi="Times New Roman" w:cs="Times New Roman"/>
          <w:sz w:val="28"/>
        </w:rPr>
        <w:t>ТЗСЛШ</w:t>
      </w:r>
      <w:r w:rsidR="00364A3A" w:rsidRPr="007F5722">
        <w:rPr>
          <w:rFonts w:ascii="Times New Roman" w:hAnsi="Times New Roman" w:cs="Times New Roman"/>
          <w:sz w:val="28"/>
        </w:rPr>
        <w:t>)</w:t>
      </w:r>
      <w:r w:rsidRPr="007F5722">
        <w:rPr>
          <w:rFonts w:ascii="Times New Roman" w:hAnsi="Times New Roman" w:cs="Times New Roman"/>
          <w:sz w:val="28"/>
        </w:rPr>
        <w:t xml:space="preserve"> (</w:t>
      </w:r>
      <w:r w:rsidRPr="007F5722">
        <w:rPr>
          <w:rFonts w:ascii="Times New Roman" w:hAnsi="Times New Roman" w:cs="Times New Roman"/>
          <w:sz w:val="28"/>
          <w:lang w:val="en-US"/>
        </w:rPr>
        <w:t>R</w:t>
      </w:r>
      <w:r w:rsidRPr="007F5722">
        <w:rPr>
          <w:rFonts w:ascii="Times New Roman" w:hAnsi="Times New Roman" w:cs="Times New Roman"/>
          <w:sz w:val="28"/>
        </w:rPr>
        <w:t xml:space="preserve">=0,4496; </w:t>
      </w:r>
      <w:r w:rsidRPr="007F5722">
        <w:rPr>
          <w:rFonts w:ascii="Times New Roman" w:hAnsi="Times New Roman" w:cs="Times New Roman"/>
          <w:sz w:val="28"/>
          <w:lang w:val="en-US"/>
        </w:rPr>
        <w:t>p</w:t>
      </w:r>
      <w:r w:rsidRPr="007F5722">
        <w:rPr>
          <w:rFonts w:ascii="Times New Roman" w:hAnsi="Times New Roman" w:cs="Times New Roman"/>
          <w:sz w:val="28"/>
        </w:rPr>
        <w:t>&lt;0,028), ММЛШ (</w:t>
      </w:r>
      <w:r w:rsidRPr="007F5722">
        <w:rPr>
          <w:rFonts w:ascii="Times New Roman" w:hAnsi="Times New Roman" w:cs="Times New Roman"/>
          <w:sz w:val="28"/>
          <w:lang w:val="en-US"/>
        </w:rPr>
        <w:t>R</w:t>
      </w:r>
      <w:r w:rsidRPr="007F5722">
        <w:rPr>
          <w:rFonts w:ascii="Times New Roman" w:hAnsi="Times New Roman" w:cs="Times New Roman"/>
          <w:sz w:val="28"/>
        </w:rPr>
        <w:t xml:space="preserve">=0,5091; </w:t>
      </w:r>
      <w:r w:rsidRPr="007F5722">
        <w:rPr>
          <w:rFonts w:ascii="Times New Roman" w:hAnsi="Times New Roman" w:cs="Times New Roman"/>
          <w:sz w:val="28"/>
          <w:lang w:val="en-US"/>
        </w:rPr>
        <w:t>p</w:t>
      </w:r>
      <w:r w:rsidRPr="007F5722">
        <w:rPr>
          <w:rFonts w:ascii="Times New Roman" w:hAnsi="Times New Roman" w:cs="Times New Roman"/>
          <w:sz w:val="28"/>
        </w:rPr>
        <w:t xml:space="preserve">&lt;0,011) та </w:t>
      </w:r>
      <w:r w:rsidR="00246DE0" w:rsidRPr="007F5722">
        <w:rPr>
          <w:rFonts w:ascii="Times New Roman" w:hAnsi="Times New Roman" w:cs="Times New Roman"/>
          <w:sz w:val="28"/>
        </w:rPr>
        <w:t>індексом маси міокарда лівого шлуночка за зростом (</w:t>
      </w:r>
      <w:r w:rsidRPr="007F5722">
        <w:rPr>
          <w:rFonts w:ascii="Times New Roman" w:hAnsi="Times New Roman" w:cs="Times New Roman"/>
          <w:sz w:val="28"/>
        </w:rPr>
        <w:t>ІММЛШз</w:t>
      </w:r>
      <w:r w:rsidRPr="007F5722">
        <w:rPr>
          <w:rFonts w:ascii="Times New Roman" w:hAnsi="Times New Roman" w:cs="Times New Roman"/>
          <w:sz w:val="28"/>
          <w:vertAlign w:val="superscript"/>
        </w:rPr>
        <w:t>2,7</w:t>
      </w:r>
      <w:r w:rsidR="00246DE0" w:rsidRPr="007F5722">
        <w:rPr>
          <w:rFonts w:ascii="Times New Roman" w:hAnsi="Times New Roman" w:cs="Times New Roman"/>
          <w:sz w:val="28"/>
        </w:rPr>
        <w:t>)</w:t>
      </w:r>
      <w:r w:rsidRPr="007F5722">
        <w:rPr>
          <w:rFonts w:ascii="Times New Roman" w:hAnsi="Times New Roman" w:cs="Times New Roman"/>
          <w:sz w:val="28"/>
        </w:rPr>
        <w:t xml:space="preserve">  (</w:t>
      </w:r>
      <w:r w:rsidRPr="007F5722">
        <w:rPr>
          <w:rFonts w:ascii="Times New Roman" w:hAnsi="Times New Roman" w:cs="Times New Roman"/>
          <w:sz w:val="28"/>
          <w:lang w:val="en-US"/>
        </w:rPr>
        <w:t>R</w:t>
      </w:r>
      <w:r w:rsidRPr="007F5722">
        <w:rPr>
          <w:rFonts w:ascii="Times New Roman" w:hAnsi="Times New Roman" w:cs="Times New Roman"/>
          <w:sz w:val="28"/>
        </w:rPr>
        <w:t xml:space="preserve">=0,4329; </w:t>
      </w:r>
      <w:r w:rsidRPr="007F5722">
        <w:rPr>
          <w:rFonts w:ascii="Times New Roman" w:hAnsi="Times New Roman" w:cs="Times New Roman"/>
          <w:sz w:val="28"/>
          <w:lang w:val="en-US"/>
        </w:rPr>
        <w:t>p</w:t>
      </w:r>
      <w:r w:rsidRPr="007F5722">
        <w:rPr>
          <w:rFonts w:ascii="Times New Roman" w:hAnsi="Times New Roman" w:cs="Times New Roman"/>
          <w:sz w:val="28"/>
        </w:rPr>
        <w:t>&lt;0,035) у хворих на ГХ з ожирінням.</w:t>
      </w:r>
    </w:p>
    <w:p w:rsidR="006C52A0" w:rsidRPr="007F5722" w:rsidRDefault="006C52A0" w:rsidP="00BF32B5">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Проведений кластер</w:t>
      </w:r>
      <w:r w:rsidR="00E91D1B" w:rsidRPr="007F5722">
        <w:rPr>
          <w:rFonts w:ascii="Times New Roman" w:hAnsi="Times New Roman" w:cs="Times New Roman"/>
          <w:sz w:val="28"/>
          <w:szCs w:val="28"/>
        </w:rPr>
        <w:t>ний аналіз виявив вірогідний зв’</w:t>
      </w:r>
      <w:r w:rsidRPr="007F5722">
        <w:rPr>
          <w:rFonts w:ascii="Times New Roman" w:hAnsi="Times New Roman" w:cs="Times New Roman"/>
          <w:sz w:val="28"/>
          <w:szCs w:val="28"/>
        </w:rPr>
        <w:t>язок між особливостями розподілу рівнів ІЛ-22 та Апо В і характером структурно-функціональних змін ЗСА, а саме формуванням концентричної гіпертрофії ЗСА та концентричного ремоделювання у хворих з найвищими показниками гіперінтерлейкінемії та гіперхолестеринемії. На основі встановлених нами клінічних особливостей ремоделювання ЗСА у хворих на ГХ, можно припустити, що ІЛ-22 залучено до розвитку ендотеліальної дисфункції та атерогенезу у хворих при коморбідності ГХ та ожиріння, а Апо В є учасником ліпідних порушень, виконуючи роль транспортера збільшених атерогенних фракцій.</w:t>
      </w:r>
    </w:p>
    <w:p w:rsidR="006C52A0" w:rsidRPr="007F5722" w:rsidRDefault="006C52A0" w:rsidP="00BE1549">
      <w:pPr>
        <w:spacing w:line="360" w:lineRule="auto"/>
        <w:ind w:firstLine="709"/>
        <w:jc w:val="both"/>
        <w:rPr>
          <w:rFonts w:ascii="Times New Roman" w:hAnsi="Times New Roman" w:cs="Times New Roman"/>
          <w:sz w:val="28"/>
          <w:szCs w:val="28"/>
        </w:rPr>
      </w:pPr>
      <w:r w:rsidRPr="007F5722">
        <w:rPr>
          <w:rFonts w:ascii="Times New Roman" w:hAnsi="Times New Roman" w:cs="Times New Roman"/>
          <w:sz w:val="28"/>
          <w:szCs w:val="28"/>
        </w:rPr>
        <w:lastRenderedPageBreak/>
        <w:t xml:space="preserve">Ключові </w:t>
      </w:r>
      <w:r w:rsidR="00BE1549">
        <w:rPr>
          <w:rFonts w:ascii="Times New Roman" w:hAnsi="Times New Roman"/>
          <w:sz w:val="28"/>
          <w:szCs w:val="28"/>
        </w:rPr>
        <w:t>гіпертонічна хвороба, ожиріння, інтерлейкін-22, ліпідний</w:t>
      </w:r>
      <w:r w:rsidR="00BE1549" w:rsidRPr="0028684F">
        <w:rPr>
          <w:rFonts w:ascii="Times New Roman" w:hAnsi="Times New Roman"/>
          <w:sz w:val="28"/>
          <w:szCs w:val="28"/>
        </w:rPr>
        <w:t xml:space="preserve"> </w:t>
      </w:r>
      <w:r w:rsidR="00BE1549">
        <w:rPr>
          <w:rFonts w:ascii="Times New Roman" w:hAnsi="Times New Roman"/>
          <w:sz w:val="28"/>
          <w:szCs w:val="28"/>
        </w:rPr>
        <w:t>спектр натще та постпрандіально,</w:t>
      </w:r>
      <w:r w:rsidR="00BE1549" w:rsidRPr="00525A38">
        <w:rPr>
          <w:rFonts w:ascii="Times New Roman" w:hAnsi="Times New Roman"/>
          <w:sz w:val="28"/>
          <w:szCs w:val="28"/>
        </w:rPr>
        <w:t xml:space="preserve"> </w:t>
      </w:r>
      <w:r w:rsidR="00BE1549">
        <w:rPr>
          <w:rFonts w:ascii="Times New Roman" w:hAnsi="Times New Roman"/>
          <w:sz w:val="28"/>
          <w:szCs w:val="28"/>
        </w:rPr>
        <w:t>ремоделювання міокарду</w:t>
      </w:r>
      <w:r w:rsidR="00BE1549" w:rsidRPr="00525A38">
        <w:rPr>
          <w:rFonts w:ascii="Times New Roman" w:hAnsi="Times New Roman"/>
          <w:sz w:val="28"/>
          <w:szCs w:val="28"/>
        </w:rPr>
        <w:t>,</w:t>
      </w:r>
      <w:r w:rsidR="00BE1549">
        <w:rPr>
          <w:rFonts w:ascii="Times New Roman" w:hAnsi="Times New Roman"/>
          <w:sz w:val="28"/>
          <w:szCs w:val="28"/>
        </w:rPr>
        <w:t xml:space="preserve"> ремоделювання </w:t>
      </w:r>
      <w:r w:rsidR="00BE1549" w:rsidRPr="00632756">
        <w:rPr>
          <w:rFonts w:ascii="Times New Roman" w:hAnsi="Times New Roman"/>
          <w:sz w:val="28"/>
          <w:szCs w:val="28"/>
        </w:rPr>
        <w:t>сонних артерій</w:t>
      </w:r>
      <w:r w:rsidR="00BE1549">
        <w:rPr>
          <w:rFonts w:ascii="Times New Roman" w:hAnsi="Times New Roman"/>
          <w:sz w:val="28"/>
          <w:szCs w:val="28"/>
        </w:rPr>
        <w:t>.</w:t>
      </w:r>
    </w:p>
    <w:p w:rsidR="006C52A0" w:rsidRPr="00BE1549" w:rsidRDefault="00BE1549" w:rsidP="00BE1549">
      <w:pPr>
        <w:tabs>
          <w:tab w:val="left" w:pos="1134"/>
        </w:tabs>
        <w:spacing w:after="0" w:line="360" w:lineRule="auto"/>
        <w:jc w:val="center"/>
        <w:rPr>
          <w:rFonts w:ascii="Times New Roman" w:hAnsi="Times New Roman" w:cs="Times New Roman"/>
          <w:b/>
          <w:sz w:val="28"/>
          <w:szCs w:val="28"/>
          <w:lang w:val="en-US"/>
        </w:rPr>
      </w:pPr>
      <w:r w:rsidRPr="00A15F26">
        <w:rPr>
          <w:rFonts w:ascii="Times New Roman" w:hAnsi="Times New Roman" w:cs="Times New Roman"/>
          <w:b/>
          <w:sz w:val="28"/>
          <w:szCs w:val="28"/>
          <w:lang w:val="en-US"/>
        </w:rPr>
        <w:t>ABSTRACT</w:t>
      </w:r>
    </w:p>
    <w:p w:rsidR="006C52A0" w:rsidRPr="007F5722" w:rsidRDefault="006C52A0" w:rsidP="006C52A0">
      <w:pPr>
        <w:tabs>
          <w:tab w:val="left" w:pos="1134"/>
        </w:tabs>
        <w:spacing w:after="0" w:line="360" w:lineRule="auto"/>
        <w:ind w:firstLine="709"/>
        <w:jc w:val="both"/>
        <w:rPr>
          <w:rFonts w:ascii="Times New Roman" w:hAnsi="Times New Roman" w:cs="Times New Roman"/>
          <w:sz w:val="28"/>
          <w:szCs w:val="28"/>
        </w:rPr>
      </w:pPr>
      <w:r w:rsidRPr="007F5722">
        <w:rPr>
          <w:rFonts w:ascii="Times New Roman" w:hAnsi="Times New Roman" w:cs="Times New Roman"/>
          <w:i/>
          <w:sz w:val="28"/>
          <w:szCs w:val="28"/>
        </w:rPr>
        <w:t xml:space="preserve">Kysylenko K. V. </w:t>
      </w:r>
      <w:r w:rsidRPr="007F5722">
        <w:rPr>
          <w:rFonts w:ascii="Times New Roman" w:hAnsi="Times New Roman" w:cs="Times New Roman"/>
          <w:sz w:val="28"/>
          <w:szCs w:val="28"/>
        </w:rPr>
        <w:t>Role of the interleukin-22 in atherogenic risk formation in the patients with arterial hypertension with obesity. Qualification research. Manuscript.</w:t>
      </w:r>
    </w:p>
    <w:p w:rsidR="006C52A0" w:rsidRPr="007F5722" w:rsidRDefault="006C52A0" w:rsidP="006C52A0">
      <w:pPr>
        <w:spacing w:line="360" w:lineRule="auto"/>
        <w:ind w:firstLine="709"/>
        <w:jc w:val="both"/>
        <w:rPr>
          <w:rFonts w:ascii="Times New Roman" w:hAnsi="Times New Roman" w:cs="Times New Roman"/>
          <w:sz w:val="28"/>
          <w:szCs w:val="28"/>
        </w:rPr>
      </w:pPr>
      <w:r w:rsidRPr="007F5722">
        <w:rPr>
          <w:rFonts w:ascii="Times New Roman" w:hAnsi="Times New Roman" w:cs="Times New Roman"/>
          <w:sz w:val="28"/>
          <w:szCs w:val="28"/>
        </w:rPr>
        <w:t>Dissertation for obtaining PhD scientific degree in specialty 14.01.02 — internal diseases. — Kharkiv National Medical University Ministry of Hea</w:t>
      </w:r>
      <w:r w:rsidR="00E6637E">
        <w:rPr>
          <w:rFonts w:ascii="Times New Roman" w:hAnsi="Times New Roman" w:cs="Times New Roman"/>
          <w:sz w:val="28"/>
          <w:szCs w:val="28"/>
        </w:rPr>
        <w:t>lthcare of Ukraine, Kharkiv, 2021</w:t>
      </w:r>
      <w:r w:rsidRPr="007F5722">
        <w:rPr>
          <w:rFonts w:ascii="Times New Roman" w:hAnsi="Times New Roman" w:cs="Times New Roman"/>
          <w:sz w:val="28"/>
          <w:szCs w:val="28"/>
        </w:rPr>
        <w:t>.</w:t>
      </w:r>
    </w:p>
    <w:p w:rsidR="00BE1549" w:rsidRPr="00BE1549" w:rsidRDefault="00BE1549" w:rsidP="00D665D5">
      <w:pPr>
        <w:spacing w:after="0" w:line="360" w:lineRule="auto"/>
        <w:ind w:firstLine="709"/>
        <w:contextualSpacing/>
        <w:jc w:val="both"/>
        <w:rPr>
          <w:rFonts w:ascii="Times New Roman" w:hAnsi="Times New Roman" w:cs="Times New Roman"/>
          <w:sz w:val="28"/>
          <w:szCs w:val="28"/>
          <w:lang w:val="en-US"/>
        </w:rPr>
      </w:pPr>
      <w:r w:rsidRPr="00BE1549">
        <w:rPr>
          <w:rFonts w:ascii="Times New Roman" w:hAnsi="Times New Roman" w:cs="Times New Roman"/>
          <w:sz w:val="28"/>
          <w:szCs w:val="28"/>
          <w:lang w:val="en-US"/>
        </w:rPr>
        <w:t>The dissertation is focused on improving early diagnosis and prediction of dyslipidemia and atherosclerosis based on plasma inteleukin-22 (IL-22) and apolipoprotein B (Apo B) levels, fasting and postprandial lipid profiles, in combination with assessment of structural and functional cardiac changes in hypertensive patients with obesity.</w:t>
      </w:r>
    </w:p>
    <w:p w:rsidR="00BE1549" w:rsidRPr="00BE1549" w:rsidRDefault="00BE1549" w:rsidP="00D665D5">
      <w:pPr>
        <w:spacing w:after="0" w:line="360" w:lineRule="auto"/>
        <w:ind w:firstLine="709"/>
        <w:contextualSpacing/>
        <w:jc w:val="both"/>
        <w:rPr>
          <w:rFonts w:ascii="Times New Roman" w:hAnsi="Times New Roman" w:cs="Times New Roman"/>
          <w:bCs/>
          <w:sz w:val="28"/>
          <w:szCs w:val="28"/>
          <w:lang w:val="en-US"/>
        </w:rPr>
      </w:pPr>
      <w:r w:rsidRPr="00BE1549">
        <w:rPr>
          <w:rFonts w:ascii="Times New Roman" w:hAnsi="Times New Roman" w:cs="Times New Roman"/>
          <w:bCs/>
          <w:sz w:val="28"/>
          <w:szCs w:val="28"/>
          <w:lang w:val="en-US"/>
        </w:rPr>
        <w:t xml:space="preserve">To address these objectives, 121 patients were examined, including 96 patients with hypertension (HT) and overweight/obesity (62 women, 34 men) who were compared with a second group </w:t>
      </w:r>
      <w:r w:rsidRPr="00BE1549">
        <w:rPr>
          <w:rFonts w:ascii="Times New Roman" w:hAnsi="Times New Roman" w:cs="Times New Roman"/>
          <w:bCs/>
          <w:sz w:val="28"/>
          <w:szCs w:val="28"/>
        </w:rPr>
        <w:t>(</w:t>
      </w:r>
      <w:r w:rsidRPr="00BE1549">
        <w:rPr>
          <w:rFonts w:ascii="Times New Roman" w:hAnsi="Times New Roman" w:cs="Times New Roman"/>
          <w:bCs/>
          <w:sz w:val="28"/>
          <w:szCs w:val="28"/>
          <w:lang w:val="en-US"/>
        </w:rPr>
        <w:t>comparison group) of 25 patients with HT and normal body weight (13 women, 12 men)</w:t>
      </w:r>
      <w:r w:rsidRPr="00BE1549">
        <w:rPr>
          <w:rFonts w:ascii="Times New Roman" w:hAnsi="Times New Roman" w:cs="Times New Roman"/>
          <w:bCs/>
          <w:sz w:val="28"/>
          <w:szCs w:val="28"/>
        </w:rPr>
        <w:t>.</w:t>
      </w:r>
      <w:r w:rsidRPr="00BE1549">
        <w:rPr>
          <w:rFonts w:ascii="Times New Roman" w:hAnsi="Times New Roman" w:cs="Times New Roman"/>
          <w:bCs/>
          <w:sz w:val="28"/>
          <w:szCs w:val="28"/>
          <w:lang w:val="en-US"/>
        </w:rPr>
        <w:t xml:space="preserve"> The age and sex matching control group consisted of 12 healthy subjects (without the disease being studied).</w:t>
      </w:r>
    </w:p>
    <w:p w:rsidR="00BE1549" w:rsidRPr="00BE1549" w:rsidRDefault="00BE1549" w:rsidP="00D665D5">
      <w:pPr>
        <w:spacing w:after="0" w:line="360" w:lineRule="auto"/>
        <w:ind w:firstLine="709"/>
        <w:contextualSpacing/>
        <w:jc w:val="both"/>
        <w:rPr>
          <w:rFonts w:ascii="Times New Roman" w:hAnsi="Times New Roman" w:cs="Times New Roman"/>
          <w:bCs/>
          <w:sz w:val="28"/>
          <w:szCs w:val="28"/>
          <w:lang w:val="en-US"/>
        </w:rPr>
      </w:pPr>
      <w:r w:rsidRPr="00BE1549">
        <w:rPr>
          <w:rFonts w:ascii="Times New Roman" w:hAnsi="Times New Roman" w:cs="Times New Roman"/>
          <w:bCs/>
          <w:sz w:val="28"/>
          <w:szCs w:val="28"/>
          <w:lang w:val="en-US"/>
        </w:rPr>
        <w:t>Grade 1 HT was found in 2.5% of patients, Grade 2 HT in 22.3% and HT 3 in 75.2% of patients. Based on the Body Mass Index (BMI), patients with HT were divided into 3 clinical groups, where the first clinical group consisted of 47 patients with HT and overweight (BMI = 25-30 kg/m2), the second – 30 patients with HT and Class 2 obesity (BMI = 30-34.9 kg/m2), the third – 19 patients with HT and Class 2-3 obesity (BMI &gt; 35 kg/m2). The comparison group included 25 patients with HT with normal body weight (BMI &lt;25 kg/m2). In addition, patients were distributed depending on the presence of abdominal obesity (AO), which was defined as waist circumference (WC) ≥88 cm and ≥102 cm for women and men, respectively.</w:t>
      </w:r>
    </w:p>
    <w:p w:rsidR="00BE1549" w:rsidRPr="00BE1549" w:rsidRDefault="00BE1549" w:rsidP="00D665D5">
      <w:pPr>
        <w:spacing w:after="0" w:line="360" w:lineRule="auto"/>
        <w:ind w:firstLine="709"/>
        <w:contextualSpacing/>
        <w:jc w:val="both"/>
        <w:rPr>
          <w:rFonts w:ascii="Times New Roman" w:hAnsi="Times New Roman" w:cs="Times New Roman"/>
          <w:bCs/>
          <w:sz w:val="28"/>
          <w:szCs w:val="28"/>
          <w:lang w:val="en-US"/>
        </w:rPr>
      </w:pPr>
      <w:r w:rsidRPr="00BE1549">
        <w:rPr>
          <w:rFonts w:ascii="Times New Roman" w:hAnsi="Times New Roman" w:cs="Times New Roman"/>
          <w:bCs/>
          <w:sz w:val="28"/>
          <w:szCs w:val="28"/>
          <w:lang w:val="en-US"/>
        </w:rPr>
        <w:lastRenderedPageBreak/>
        <w:t>All patients underwent a standard comprehensive clinical examination with measurements of anthropometric parameters (height, body weight, WC and hip circumference (HC)). Lipid profiling was performed using standard enzyme activity assay kits with subsequent calculation of low-density lipoprotein (LDL) cholesterol, very-low-density lipoprotein (VLDL) cholesterol, atherogenic index of plasma (AIP) and non-high-density-lipoprotein (non-HDL) cholesterol. The level of Apo B was determined by enzyme-linked immunosorbent assay using Assay Max® Human Apolipoprotein B ELISA Kit.</w:t>
      </w:r>
    </w:p>
    <w:p w:rsidR="00BE1549" w:rsidRPr="00BE1549" w:rsidRDefault="00BE1549" w:rsidP="00D665D5">
      <w:pPr>
        <w:spacing w:after="0" w:line="360" w:lineRule="auto"/>
        <w:ind w:firstLine="709"/>
        <w:contextualSpacing/>
        <w:jc w:val="both"/>
        <w:rPr>
          <w:rFonts w:ascii="Times New Roman" w:hAnsi="Times New Roman" w:cs="Times New Roman"/>
          <w:bCs/>
          <w:sz w:val="28"/>
          <w:szCs w:val="28"/>
          <w:lang w:val="en-US"/>
        </w:rPr>
      </w:pPr>
      <w:r w:rsidRPr="00BE1549">
        <w:rPr>
          <w:rFonts w:ascii="Times New Roman" w:hAnsi="Times New Roman" w:cs="Times New Roman"/>
          <w:bCs/>
          <w:sz w:val="28"/>
          <w:szCs w:val="28"/>
          <w:lang w:val="en-US"/>
        </w:rPr>
        <w:t xml:space="preserve">Lipid profile parameters were analyzed in fasting and postprandial (6 hours after fat load, FL) blood samples, using a modified approach published by J.R. Patsch – oral fat load on an empty stomach that included ingestion of on average 644.58 ± 16.25 g of 20.0% cream (the total amount calculated at a rate of 65.0 g of emulsified fat per 1.0 m2 of body surface) with 50.0 g of white bread, caloric content of about 1,300.0 kcal. Postprandial parameters were determined after 6 hours, because this time point is the most informative, since increased triglycerides (TG) and LDL cholesterol levels observed in the early postprandial phase are physiological and are followed by a relatively rapid normalization of lipid profile parameters in healthy individuals. </w:t>
      </w:r>
    </w:p>
    <w:p w:rsidR="00BE1549" w:rsidRPr="00BE1549" w:rsidRDefault="00BE1549" w:rsidP="00D665D5">
      <w:pPr>
        <w:spacing w:after="0" w:line="360" w:lineRule="auto"/>
        <w:ind w:firstLine="709"/>
        <w:contextualSpacing/>
        <w:jc w:val="both"/>
        <w:rPr>
          <w:rFonts w:ascii="Times New Roman" w:hAnsi="Times New Roman" w:cs="Times New Roman"/>
          <w:sz w:val="28"/>
          <w:szCs w:val="28"/>
          <w:lang w:val="en-US"/>
        </w:rPr>
      </w:pPr>
      <w:r w:rsidRPr="00BE1549">
        <w:rPr>
          <w:rFonts w:ascii="Times New Roman" w:hAnsi="Times New Roman" w:cs="Times New Roman"/>
          <w:sz w:val="28"/>
          <w:szCs w:val="28"/>
          <w:lang w:val="en-US"/>
        </w:rPr>
        <w:t>IL-22 blood plasma levels were determined by enzyme-linked immunosorbent assay using Bender Medsystems® Human IL-22 Platinum ELISA kit.</w:t>
      </w:r>
    </w:p>
    <w:p w:rsidR="00BE1549" w:rsidRPr="00BE1549" w:rsidRDefault="00BE1549" w:rsidP="00D665D5">
      <w:pPr>
        <w:spacing w:after="0" w:line="360" w:lineRule="auto"/>
        <w:ind w:firstLine="709"/>
        <w:contextualSpacing/>
        <w:jc w:val="both"/>
        <w:rPr>
          <w:rFonts w:ascii="Times New Roman" w:hAnsi="Times New Roman" w:cs="Times New Roman"/>
          <w:sz w:val="28"/>
          <w:szCs w:val="28"/>
          <w:lang w:val="en-US"/>
        </w:rPr>
      </w:pPr>
      <w:r w:rsidRPr="00BE1549">
        <w:rPr>
          <w:rFonts w:ascii="Times New Roman" w:hAnsi="Times New Roman" w:cs="Times New Roman"/>
          <w:sz w:val="28"/>
          <w:szCs w:val="28"/>
          <w:lang w:val="en-US"/>
        </w:rPr>
        <w:t>In addition, patients underwent ultrasound examination of the heart and common carotid arteries (CCA). Heart ultrasound was aimed at determining the structural and functional state of the left ventricular myocardium and at assessing the presence of cardiac remodeling based the left ventricular myocardium mass, cavity size and wall thickness</w:t>
      </w:r>
      <w:r w:rsidRPr="00BE1549">
        <w:rPr>
          <w:rFonts w:ascii="Times New Roman" w:hAnsi="Times New Roman" w:cs="Times New Roman"/>
          <w:bCs/>
          <w:sz w:val="28"/>
          <w:szCs w:val="28"/>
          <w:lang w:val="en-US"/>
        </w:rPr>
        <w:t>.</w:t>
      </w:r>
    </w:p>
    <w:p w:rsidR="00BE1549" w:rsidRPr="00BE1549" w:rsidRDefault="00BE1549" w:rsidP="00D665D5">
      <w:pPr>
        <w:spacing w:after="0" w:line="360" w:lineRule="auto"/>
        <w:ind w:firstLine="709"/>
        <w:contextualSpacing/>
        <w:jc w:val="both"/>
        <w:rPr>
          <w:rFonts w:ascii="Times New Roman" w:hAnsi="Times New Roman" w:cs="Times New Roman"/>
          <w:sz w:val="28"/>
          <w:szCs w:val="28"/>
          <w:lang w:val="en-US"/>
        </w:rPr>
      </w:pPr>
      <w:r w:rsidRPr="00BE1549">
        <w:rPr>
          <w:rFonts w:ascii="Times New Roman" w:hAnsi="Times New Roman" w:cs="Times New Roman"/>
          <w:sz w:val="28"/>
          <w:szCs w:val="28"/>
          <w:lang w:val="en-US"/>
        </w:rPr>
        <w:t xml:space="preserve">Intima–media thickness (IMT) was measured in the middle third of the posterior wall of the CCA according to P. Pignoli's method, as a cross-sectional measurement of the width of the characteristic echozone formed by the lumen-intima interface and the media-adventitia interface. In addition, on the same image, the </w:t>
      </w:r>
      <w:r w:rsidRPr="00BE1549">
        <w:rPr>
          <w:rFonts w:ascii="Times New Roman" w:hAnsi="Times New Roman" w:cs="Times New Roman"/>
          <w:sz w:val="28"/>
          <w:szCs w:val="28"/>
          <w:lang w:val="en-US"/>
        </w:rPr>
        <w:lastRenderedPageBreak/>
        <w:t>diameter of the lumen of the CCA and blood flow velocity were measured. The relative wall thickness and the weight of coronary segment were calculated according to the recommendations of the European Society of Cardiology. The type of CCA remodeling was evaluated according to the classification proposed by A.V. Agafonov et.al.</w:t>
      </w:r>
    </w:p>
    <w:p w:rsidR="00BE1549" w:rsidRPr="00BE1549" w:rsidRDefault="00BE1549" w:rsidP="00D665D5">
      <w:pPr>
        <w:spacing w:after="0" w:line="360" w:lineRule="auto"/>
        <w:ind w:firstLine="709"/>
        <w:contextualSpacing/>
        <w:jc w:val="both"/>
        <w:rPr>
          <w:rFonts w:ascii="Times New Roman" w:hAnsi="Times New Roman" w:cs="Times New Roman"/>
          <w:sz w:val="28"/>
          <w:szCs w:val="28"/>
          <w:lang w:val="en-US"/>
        </w:rPr>
      </w:pPr>
      <w:r w:rsidRPr="00BE1549">
        <w:rPr>
          <w:rFonts w:ascii="Times New Roman" w:hAnsi="Times New Roman" w:cs="Times New Roman"/>
          <w:sz w:val="28"/>
          <w:szCs w:val="28"/>
          <w:lang w:val="en-US"/>
        </w:rPr>
        <w:t>Statistical analysis of the obtained data was performed using the nonparametric Mann-Whitney test, Kruskal-Wallis H test, Spearman's rank correlation coefficient and k-means clustering. The results are presented as Median (Q25; Q75), where Median is the 50th percentile, Q25 and Q75 are the 25th and 75th percentiles (lower and upper quartiles, respectively).</w:t>
      </w:r>
    </w:p>
    <w:p w:rsidR="00BE1549" w:rsidRPr="00BE1549" w:rsidRDefault="00BE1549" w:rsidP="00D665D5">
      <w:pPr>
        <w:spacing w:after="0" w:line="360" w:lineRule="auto"/>
        <w:ind w:firstLine="709"/>
        <w:contextualSpacing/>
        <w:jc w:val="both"/>
        <w:rPr>
          <w:rFonts w:ascii="Times New Roman" w:hAnsi="Times New Roman" w:cs="Times New Roman"/>
          <w:sz w:val="28"/>
          <w:szCs w:val="28"/>
          <w:lang w:val="en-US"/>
        </w:rPr>
      </w:pPr>
      <w:r w:rsidRPr="00BE1549">
        <w:rPr>
          <w:rFonts w:ascii="Times New Roman" w:hAnsi="Times New Roman" w:cs="Times New Roman"/>
          <w:sz w:val="28"/>
          <w:szCs w:val="28"/>
          <w:lang w:val="en-US"/>
        </w:rPr>
        <w:t>It was found that the content of interleukin-22 was significantly higher in patients with HT who also had overweight (28.64 (27.49; 28.94) pg/ml) and obesity (40.05 (35.23; 53.02) pg/ml) compared with patients with normal body weight (23.14 (22.47; 23.76) pg/ml) and the control group (19.81 (18.77; 20.15) pg)/ml, p &lt;0.05). The level of IL-22 in the blood plasma of patients with HT and AO (30.82 (28.43; 49.26) pg/ml) was significantly higher than in patients without signs of AO (26.95 (23.22; 29,61) pg/ml; (p &lt;0.05)) and in the control patients (19.81 (18.77; 20.15) pg/ml; (p &lt;0.05)). These results confirm the assumption that the increased content of IL-22 in blood plasma is associated with increased blood pressure (BP) and body weight of patients with HT.</w:t>
      </w:r>
    </w:p>
    <w:p w:rsidR="00BE1549" w:rsidRPr="00BE1549" w:rsidRDefault="00BE1549" w:rsidP="00D665D5">
      <w:pPr>
        <w:spacing w:after="0" w:line="360" w:lineRule="auto"/>
        <w:ind w:firstLine="709"/>
        <w:contextualSpacing/>
        <w:jc w:val="both"/>
        <w:rPr>
          <w:rFonts w:ascii="Times New Roman" w:hAnsi="Times New Roman" w:cs="Times New Roman"/>
          <w:sz w:val="28"/>
          <w:szCs w:val="28"/>
          <w:lang w:val="en-US"/>
        </w:rPr>
      </w:pPr>
      <w:r w:rsidRPr="00BE1549">
        <w:rPr>
          <w:rFonts w:ascii="Times New Roman" w:hAnsi="Times New Roman" w:cs="Times New Roman"/>
          <w:bCs/>
          <w:iCs/>
          <w:sz w:val="28"/>
          <w:szCs w:val="28"/>
          <w:lang w:val="en-US"/>
        </w:rPr>
        <w:t>According to the study results, patients with HT demonstrated basal dyslipidemia (hypercholesterol</w:t>
      </w:r>
      <w:r w:rsidR="007F3C9D">
        <w:rPr>
          <w:rFonts w:ascii="Times New Roman" w:hAnsi="Times New Roman" w:cs="Times New Roman"/>
          <w:bCs/>
          <w:iCs/>
          <w:sz w:val="28"/>
          <w:szCs w:val="28"/>
          <w:lang w:val="en-US"/>
        </w:rPr>
        <w:t>a</w:t>
      </w:r>
      <w:r w:rsidRPr="00BE1549">
        <w:rPr>
          <w:rFonts w:ascii="Times New Roman" w:hAnsi="Times New Roman" w:cs="Times New Roman"/>
          <w:bCs/>
          <w:iCs/>
          <w:sz w:val="28"/>
          <w:szCs w:val="28"/>
          <w:lang w:val="en-US"/>
        </w:rPr>
        <w:t>emia in 37.9% of patients, hypertriglycerid</w:t>
      </w:r>
      <w:r w:rsidR="007F3C9D">
        <w:rPr>
          <w:rFonts w:ascii="Times New Roman" w:hAnsi="Times New Roman" w:cs="Times New Roman"/>
          <w:bCs/>
          <w:iCs/>
          <w:sz w:val="28"/>
          <w:szCs w:val="28"/>
          <w:lang w:val="en-US"/>
        </w:rPr>
        <w:t>a</w:t>
      </w:r>
      <w:r w:rsidRPr="00BE1549">
        <w:rPr>
          <w:rFonts w:ascii="Times New Roman" w:hAnsi="Times New Roman" w:cs="Times New Roman"/>
          <w:bCs/>
          <w:iCs/>
          <w:sz w:val="28"/>
          <w:szCs w:val="28"/>
          <w:lang w:val="en-US"/>
        </w:rPr>
        <w:t>emia in 10.3%, and hypo-alpha-cholesterol</w:t>
      </w:r>
      <w:r w:rsidR="007F3C9D">
        <w:rPr>
          <w:rFonts w:ascii="Times New Roman" w:hAnsi="Times New Roman" w:cs="Times New Roman"/>
          <w:bCs/>
          <w:iCs/>
          <w:sz w:val="28"/>
          <w:szCs w:val="28"/>
          <w:lang w:val="en-US"/>
        </w:rPr>
        <w:t>a</w:t>
      </w:r>
      <w:r w:rsidRPr="00BE1549">
        <w:rPr>
          <w:rFonts w:ascii="Times New Roman" w:hAnsi="Times New Roman" w:cs="Times New Roman"/>
          <w:bCs/>
          <w:iCs/>
          <w:sz w:val="28"/>
          <w:szCs w:val="28"/>
          <w:lang w:val="en-US"/>
        </w:rPr>
        <w:t>emia in 27.6% of patients (out of the</w:t>
      </w:r>
      <w:r w:rsidR="007F3C9D">
        <w:rPr>
          <w:rFonts w:ascii="Times New Roman" w:hAnsi="Times New Roman" w:cs="Times New Roman"/>
          <w:bCs/>
          <w:iCs/>
          <w:sz w:val="28"/>
          <w:szCs w:val="28"/>
          <w:lang w:val="en-US"/>
        </w:rPr>
        <w:t xml:space="preserve">se 87.5% were women and 12.5% </w:t>
      </w:r>
      <w:r w:rsidRPr="00BE1549">
        <w:rPr>
          <w:rFonts w:ascii="Times New Roman" w:hAnsi="Times New Roman" w:cs="Times New Roman"/>
          <w:bCs/>
          <w:iCs/>
          <w:sz w:val="28"/>
          <w:szCs w:val="28"/>
          <w:lang w:val="en-US"/>
        </w:rPr>
        <w:t>were men)); increased LDL cholesterol - in 27.6%, as well as impaired fat tolerance in the postprandial period (hypercholesterol</w:t>
      </w:r>
      <w:r w:rsidR="007F3C9D">
        <w:rPr>
          <w:rFonts w:ascii="Times New Roman" w:hAnsi="Times New Roman" w:cs="Times New Roman"/>
          <w:bCs/>
          <w:iCs/>
          <w:sz w:val="28"/>
          <w:szCs w:val="28"/>
          <w:lang w:val="en-US"/>
        </w:rPr>
        <w:t>a</w:t>
      </w:r>
      <w:r w:rsidRPr="00BE1549">
        <w:rPr>
          <w:rFonts w:ascii="Times New Roman" w:hAnsi="Times New Roman" w:cs="Times New Roman"/>
          <w:bCs/>
          <w:iCs/>
          <w:sz w:val="28"/>
          <w:szCs w:val="28"/>
          <w:lang w:val="en-US"/>
        </w:rPr>
        <w:t>emia in 38.9% of patients, hypertriglycerid</w:t>
      </w:r>
      <w:r w:rsidR="007F3C9D">
        <w:rPr>
          <w:rFonts w:ascii="Times New Roman" w:hAnsi="Times New Roman" w:cs="Times New Roman"/>
          <w:bCs/>
          <w:iCs/>
          <w:sz w:val="28"/>
          <w:szCs w:val="28"/>
          <w:lang w:val="en-US"/>
        </w:rPr>
        <w:t>a</w:t>
      </w:r>
      <w:r w:rsidRPr="00BE1549">
        <w:rPr>
          <w:rFonts w:ascii="Times New Roman" w:hAnsi="Times New Roman" w:cs="Times New Roman"/>
          <w:bCs/>
          <w:iCs/>
          <w:sz w:val="28"/>
          <w:szCs w:val="28"/>
          <w:lang w:val="en-US"/>
        </w:rPr>
        <w:t>emia in 70% of patients, hypo-alpha-cholesterol</w:t>
      </w:r>
      <w:r w:rsidR="007F3C9D">
        <w:rPr>
          <w:rFonts w:ascii="Times New Roman" w:hAnsi="Times New Roman" w:cs="Times New Roman"/>
          <w:bCs/>
          <w:iCs/>
          <w:sz w:val="28"/>
          <w:szCs w:val="28"/>
          <w:lang w:val="en-US"/>
        </w:rPr>
        <w:t>a</w:t>
      </w:r>
      <w:r w:rsidRPr="00BE1549">
        <w:rPr>
          <w:rFonts w:ascii="Times New Roman" w:hAnsi="Times New Roman" w:cs="Times New Roman"/>
          <w:bCs/>
          <w:iCs/>
          <w:sz w:val="28"/>
          <w:szCs w:val="28"/>
          <w:lang w:val="en-US"/>
        </w:rPr>
        <w:t>emia in 33.3% of patients (out of these 88.9% were women and 11.1% were men), increased LDL cholesterol - in 36.4% of patients. These results confirm the diagnostic value of a standard fat test to determine latent atherogenic dyslipid</w:t>
      </w:r>
      <w:r w:rsidR="007F3C9D">
        <w:rPr>
          <w:rFonts w:ascii="Times New Roman" w:hAnsi="Times New Roman" w:cs="Times New Roman"/>
          <w:bCs/>
          <w:iCs/>
          <w:sz w:val="28"/>
          <w:szCs w:val="28"/>
          <w:lang w:val="en-US"/>
        </w:rPr>
        <w:t>a</w:t>
      </w:r>
      <w:r w:rsidRPr="00BE1549">
        <w:rPr>
          <w:rFonts w:ascii="Times New Roman" w:hAnsi="Times New Roman" w:cs="Times New Roman"/>
          <w:bCs/>
          <w:iCs/>
          <w:sz w:val="28"/>
          <w:szCs w:val="28"/>
          <w:lang w:val="en-US"/>
        </w:rPr>
        <w:t>emia</w:t>
      </w:r>
      <w:r w:rsidRPr="00BE1549">
        <w:rPr>
          <w:rFonts w:ascii="Times New Roman" w:hAnsi="Times New Roman" w:cs="Times New Roman"/>
          <w:sz w:val="28"/>
          <w:szCs w:val="28"/>
          <w:lang w:val="en-US"/>
        </w:rPr>
        <w:t xml:space="preserve">. </w:t>
      </w:r>
    </w:p>
    <w:p w:rsidR="00BE1549" w:rsidRPr="00BE1549" w:rsidRDefault="00BE1549" w:rsidP="00D665D5">
      <w:pPr>
        <w:spacing w:after="0" w:line="360" w:lineRule="auto"/>
        <w:ind w:firstLine="709"/>
        <w:contextualSpacing/>
        <w:jc w:val="both"/>
        <w:rPr>
          <w:rFonts w:ascii="Times New Roman" w:hAnsi="Times New Roman" w:cs="Times New Roman"/>
          <w:sz w:val="28"/>
          <w:szCs w:val="28"/>
          <w:lang w:val="en-US"/>
        </w:rPr>
      </w:pPr>
      <w:r w:rsidRPr="00BE1549">
        <w:rPr>
          <w:rFonts w:ascii="Times New Roman" w:hAnsi="Times New Roman" w:cs="Times New Roman"/>
          <w:bCs/>
          <w:iCs/>
          <w:sz w:val="28"/>
          <w:szCs w:val="28"/>
          <w:lang w:val="en-US"/>
        </w:rPr>
        <w:lastRenderedPageBreak/>
        <w:t>Hypertensive patients with obesity had the highest levels of interleukin-22 (30.25 (28.64; 40.05) pg/ml) associated with negative changes in the lipid profile, namely, a higher level of pro-atherogenic fractions (total cholesterol (TC) - 6,3 (5,5; 7,2) mmol/L, TG - 2,1 (1,9; 2,5) mmol/L, LDL cholesterol - 4,1 (3,5; 4, 9) mmol/L) and a lower level of anti-atherogenic fractions of lipids (high-density lipoprotein cholesterol (HDL cholesterol) - 1.09 (0.87; 1.3) mmol/L) compared with hypertensive patients with normal body weight and the control.</w:t>
      </w:r>
    </w:p>
    <w:p w:rsidR="00BE1549" w:rsidRPr="00BE1549" w:rsidRDefault="00BE1549" w:rsidP="00D665D5">
      <w:pPr>
        <w:spacing w:after="0" w:line="360" w:lineRule="auto"/>
        <w:ind w:firstLine="709"/>
        <w:contextualSpacing/>
        <w:jc w:val="both"/>
        <w:rPr>
          <w:rFonts w:ascii="Times New Roman" w:hAnsi="Times New Roman" w:cs="Times New Roman"/>
          <w:sz w:val="28"/>
          <w:szCs w:val="28"/>
          <w:lang w:val="en-US"/>
        </w:rPr>
      </w:pPr>
      <w:r w:rsidRPr="00BE1549">
        <w:rPr>
          <w:rFonts w:ascii="Times New Roman" w:hAnsi="Times New Roman" w:cs="Times New Roman"/>
          <w:sz w:val="28"/>
          <w:szCs w:val="28"/>
          <w:lang w:val="en-US"/>
        </w:rPr>
        <w:t>The role of IL-22 in the development of left ventricular hypertrophy (LVH) has been established, as indicated by significantly higher levels of IL-22 in patients with hypertrophic types of left ventricular remodeling, namely concentric hypertrophy and eccentric hypertrophy, compared with patients with normal left ventricular geometry and concentric remodeling. Significant correlations was observed between IL-22 and left ventricular myocardial mass (LVM) (R=0.4305; p&lt;0.040) in hypertensive patients with overweight; between ІЛ-22 and left ventricular posterior wall thickness (LVPWT) (R=0,4496; p&lt;0,028), LVM (R=0,5091; p&lt;0,011) and LV mass indexed for height (LVMIh</w:t>
      </w:r>
      <w:r w:rsidRPr="00BE1549">
        <w:rPr>
          <w:rFonts w:ascii="Times New Roman" w:hAnsi="Times New Roman" w:cs="Times New Roman"/>
          <w:sz w:val="28"/>
          <w:szCs w:val="28"/>
          <w:vertAlign w:val="superscript"/>
          <w:lang w:val="en-US"/>
        </w:rPr>
        <w:t>2,7</w:t>
      </w:r>
      <w:r w:rsidRPr="00BE1549">
        <w:rPr>
          <w:rFonts w:ascii="Times New Roman" w:hAnsi="Times New Roman" w:cs="Times New Roman"/>
          <w:sz w:val="28"/>
          <w:szCs w:val="28"/>
          <w:lang w:val="en-US"/>
        </w:rPr>
        <w:t>)  (R=0,4329; p&lt;0,035) in hypertensive patients with obesity.</w:t>
      </w:r>
    </w:p>
    <w:p w:rsidR="00BE1549" w:rsidRPr="00BE1549" w:rsidRDefault="00BE1549" w:rsidP="00D665D5">
      <w:pPr>
        <w:spacing w:after="0" w:line="360" w:lineRule="auto"/>
        <w:ind w:firstLine="709"/>
        <w:contextualSpacing/>
        <w:jc w:val="both"/>
        <w:rPr>
          <w:rFonts w:ascii="Times New Roman" w:hAnsi="Times New Roman" w:cs="Times New Roman"/>
          <w:sz w:val="28"/>
          <w:szCs w:val="28"/>
          <w:lang w:val="en-US"/>
        </w:rPr>
      </w:pPr>
      <w:r w:rsidRPr="00BE1549">
        <w:rPr>
          <w:rFonts w:ascii="Times New Roman" w:hAnsi="Times New Roman" w:cs="Times New Roman"/>
          <w:sz w:val="28"/>
          <w:szCs w:val="28"/>
          <w:lang w:val="en-US"/>
        </w:rPr>
        <w:t>Cluster analysis found a possible association between the distribution of IL-22 and Apo B levels and the nature of structural and functional changes in CCA, namely the formation of concentric CCA hypertrophy and concentric remodeling in patients with the highest rates of hyperinterleukin</w:t>
      </w:r>
      <w:r w:rsidR="005A644D">
        <w:rPr>
          <w:rFonts w:ascii="Times New Roman" w:hAnsi="Times New Roman" w:cs="Times New Roman"/>
          <w:sz w:val="28"/>
          <w:szCs w:val="28"/>
          <w:lang w:val="en-US"/>
        </w:rPr>
        <w:t>a</w:t>
      </w:r>
      <w:r w:rsidRPr="00BE1549">
        <w:rPr>
          <w:rFonts w:ascii="Times New Roman" w:hAnsi="Times New Roman" w:cs="Times New Roman"/>
          <w:sz w:val="28"/>
          <w:szCs w:val="28"/>
          <w:lang w:val="en-US"/>
        </w:rPr>
        <w:t>emia and hypercholesterol</w:t>
      </w:r>
      <w:r w:rsidR="005A644D">
        <w:rPr>
          <w:rFonts w:ascii="Times New Roman" w:hAnsi="Times New Roman" w:cs="Times New Roman"/>
          <w:sz w:val="28"/>
          <w:szCs w:val="28"/>
          <w:lang w:val="en-US"/>
        </w:rPr>
        <w:t>a</w:t>
      </w:r>
      <w:r w:rsidRPr="00BE1549">
        <w:rPr>
          <w:rFonts w:ascii="Times New Roman" w:hAnsi="Times New Roman" w:cs="Times New Roman"/>
          <w:sz w:val="28"/>
          <w:szCs w:val="28"/>
          <w:lang w:val="en-US"/>
        </w:rPr>
        <w:t>emia. Based on the clinical features of CCA remodeling in patients with HT identified in this study, it can be assumed that IL-22 is involved in the development of endothelial dysfunction and atherogenesis in patients with HT associated with obesity, while Apo B plays role in lipid disorders, acting as a transporter of higher levels of atherogenic fractions.</w:t>
      </w:r>
    </w:p>
    <w:p w:rsidR="00512976" w:rsidRPr="007F5722" w:rsidRDefault="00BE1549" w:rsidP="00D665D5">
      <w:pPr>
        <w:spacing w:after="0" w:line="360" w:lineRule="auto"/>
        <w:ind w:firstLine="709"/>
        <w:contextualSpacing/>
        <w:jc w:val="both"/>
        <w:rPr>
          <w:rFonts w:ascii="Times New Roman" w:hAnsi="Times New Roman" w:cs="Times New Roman"/>
          <w:sz w:val="28"/>
          <w:szCs w:val="28"/>
        </w:rPr>
        <w:sectPr w:rsidR="00512976" w:rsidRPr="007F5722" w:rsidSect="007C0B93">
          <w:pgSz w:w="11906" w:h="16838"/>
          <w:pgMar w:top="1134" w:right="850" w:bottom="1134" w:left="1701" w:header="708" w:footer="708" w:gutter="0"/>
          <w:cols w:space="708"/>
          <w:docGrid w:linePitch="360"/>
        </w:sectPr>
      </w:pPr>
      <w:r w:rsidRPr="00BE1549">
        <w:rPr>
          <w:rFonts w:ascii="Times New Roman" w:hAnsi="Times New Roman" w:cs="Times New Roman"/>
          <w:sz w:val="28"/>
          <w:szCs w:val="28"/>
          <w:lang w:val="en-US"/>
        </w:rPr>
        <w:t xml:space="preserve">Key words: </w:t>
      </w:r>
      <w:r w:rsidRPr="00052275">
        <w:rPr>
          <w:rFonts w:ascii="Times New Roman" w:hAnsi="Times New Roman"/>
          <w:sz w:val="28"/>
          <w:szCs w:val="28"/>
          <w:lang w:val="en-US"/>
        </w:rPr>
        <w:t>hypertension, obesity, interleukin-22, fasting and postprandial lipid profile, myocardial remodeling, remo</w:t>
      </w:r>
      <w:r>
        <w:rPr>
          <w:rFonts w:ascii="Times New Roman" w:hAnsi="Times New Roman"/>
          <w:sz w:val="28"/>
          <w:szCs w:val="28"/>
          <w:lang w:val="en-US"/>
        </w:rPr>
        <w:t>deling of the carotid arteries</w:t>
      </w:r>
      <w:r w:rsidR="006C52A0" w:rsidRPr="007F5722">
        <w:rPr>
          <w:rFonts w:ascii="Times New Roman" w:hAnsi="Times New Roman" w:cs="Times New Roman"/>
          <w:sz w:val="28"/>
          <w:szCs w:val="28"/>
        </w:rPr>
        <w:t>.</w:t>
      </w:r>
    </w:p>
    <w:p w:rsidR="006C52A0" w:rsidRPr="007F5722" w:rsidRDefault="006C52A0" w:rsidP="006C52A0">
      <w:pPr>
        <w:spacing w:line="360" w:lineRule="auto"/>
        <w:ind w:firstLine="709"/>
        <w:jc w:val="both"/>
        <w:rPr>
          <w:rFonts w:ascii="Times New Roman" w:hAnsi="Times New Roman" w:cs="Times New Roman"/>
          <w:b/>
          <w:sz w:val="28"/>
          <w:szCs w:val="28"/>
        </w:rPr>
      </w:pPr>
      <w:r w:rsidRPr="007F5722">
        <w:rPr>
          <w:rFonts w:ascii="Times New Roman" w:hAnsi="Times New Roman" w:cs="Times New Roman"/>
          <w:b/>
          <w:sz w:val="28"/>
          <w:szCs w:val="28"/>
        </w:rPr>
        <w:lastRenderedPageBreak/>
        <w:t>Список публікацій здобувача:</w:t>
      </w:r>
    </w:p>
    <w:p w:rsidR="006C4691" w:rsidRPr="006C4691" w:rsidRDefault="006C4691" w:rsidP="006C4691">
      <w:pPr>
        <w:pStyle w:val="a8"/>
        <w:numPr>
          <w:ilvl w:val="0"/>
          <w:numId w:val="1"/>
        </w:numPr>
        <w:spacing w:after="0" w:line="360" w:lineRule="auto"/>
        <w:ind w:left="0" w:firstLine="357"/>
        <w:jc w:val="both"/>
        <w:rPr>
          <w:rFonts w:ascii="Times New Roman" w:hAnsi="Times New Roman" w:cs="Times New Roman"/>
          <w:sz w:val="28"/>
          <w:szCs w:val="28"/>
        </w:rPr>
      </w:pPr>
      <w:r w:rsidRPr="006C4691">
        <w:rPr>
          <w:rFonts w:ascii="Times New Roman" w:hAnsi="Times New Roman" w:cs="Times New Roman"/>
          <w:sz w:val="28"/>
          <w:szCs w:val="28"/>
        </w:rPr>
        <w:t xml:space="preserve">Кисиленко К.В. Інтерлейкін-22 у хворих на гіпертонічну хворобу з абдомінальним ожирінням / О.М. Ковальова, Т.В. Ащеулова, К.В. Кисиленко // Вісник проблем біології і медицини. – 2017, Вип. 4, том 1 (139). – С. 161-167. </w:t>
      </w:r>
      <w:r w:rsidRPr="006D4DBC">
        <w:rPr>
          <w:rFonts w:ascii="Times New Roman" w:hAnsi="Times New Roman" w:cs="Times New Roman"/>
          <w:i/>
          <w:sz w:val="28"/>
          <w:szCs w:val="28"/>
        </w:rPr>
        <w:t>(Здобувачем проведено пошук та аналіз літератури, клінічне обстеження хворих на ГХ, статистичну обробку отриманих даних, підготовку статті до друку).</w:t>
      </w:r>
      <w:r w:rsidRPr="006C4691">
        <w:rPr>
          <w:rFonts w:ascii="Times New Roman" w:hAnsi="Times New Roman" w:cs="Times New Roman"/>
          <w:sz w:val="28"/>
          <w:szCs w:val="28"/>
        </w:rPr>
        <w:t xml:space="preserve"> </w:t>
      </w:r>
    </w:p>
    <w:p w:rsidR="006C4691" w:rsidRPr="006C4691" w:rsidRDefault="006C4691" w:rsidP="006C4691">
      <w:pPr>
        <w:pStyle w:val="a8"/>
        <w:numPr>
          <w:ilvl w:val="0"/>
          <w:numId w:val="1"/>
        </w:numPr>
        <w:spacing w:after="0" w:line="360" w:lineRule="auto"/>
        <w:ind w:left="0" w:firstLine="357"/>
        <w:jc w:val="both"/>
        <w:rPr>
          <w:rFonts w:ascii="Times New Roman" w:hAnsi="Times New Roman" w:cs="Times New Roman"/>
          <w:sz w:val="28"/>
          <w:szCs w:val="28"/>
        </w:rPr>
      </w:pPr>
      <w:r w:rsidRPr="006C4691">
        <w:rPr>
          <w:rFonts w:ascii="Times New Roman" w:hAnsi="Times New Roman" w:cs="Times New Roman"/>
          <w:sz w:val="28"/>
          <w:szCs w:val="28"/>
        </w:rPr>
        <w:t xml:space="preserve">Кисиленко К.В. Дисліпідемія та вміст інтерлейкіну-22 у плазмі крові хворих на гіпертонічну хворобу з супутніми надлишковою масою тіла або ожирінням / О.М. Ковальова, Т.В. Ащеулова, К.В. Кисиленко // Львівський клінічний вісник. – 2017. – № 4. – С. 8-14. </w:t>
      </w:r>
      <w:r w:rsidRPr="006D4DBC">
        <w:rPr>
          <w:rFonts w:ascii="Times New Roman" w:hAnsi="Times New Roman" w:cs="Times New Roman"/>
          <w:i/>
          <w:sz w:val="28"/>
          <w:szCs w:val="28"/>
        </w:rPr>
        <w:t>(Здобувач здійснила аналіз та узагальнення отриманих матеріалів, підготувала матеріали до друку).</w:t>
      </w:r>
      <w:r w:rsidRPr="006C4691">
        <w:rPr>
          <w:rFonts w:ascii="Times New Roman" w:hAnsi="Times New Roman" w:cs="Times New Roman"/>
          <w:sz w:val="28"/>
          <w:szCs w:val="28"/>
        </w:rPr>
        <w:t xml:space="preserve"> </w:t>
      </w:r>
    </w:p>
    <w:p w:rsidR="006C4691" w:rsidRPr="006C4691" w:rsidRDefault="006C4691" w:rsidP="006C4691">
      <w:pPr>
        <w:pStyle w:val="a8"/>
        <w:numPr>
          <w:ilvl w:val="0"/>
          <w:numId w:val="1"/>
        </w:numPr>
        <w:spacing w:after="0" w:line="360" w:lineRule="auto"/>
        <w:ind w:left="0" w:firstLine="357"/>
        <w:jc w:val="both"/>
        <w:rPr>
          <w:rFonts w:ascii="Times New Roman" w:hAnsi="Times New Roman" w:cs="Times New Roman"/>
          <w:sz w:val="28"/>
          <w:szCs w:val="28"/>
        </w:rPr>
      </w:pPr>
      <w:r w:rsidRPr="006C4691">
        <w:rPr>
          <w:rFonts w:ascii="Times New Roman" w:hAnsi="Times New Roman" w:cs="Times New Roman"/>
          <w:sz w:val="28"/>
          <w:szCs w:val="28"/>
        </w:rPr>
        <w:t>Кисиленко К.В. Взаимосвязь уровня интерлейкина−22 с развитием ожирения у пациентов с гипертонической болезнью / К.В. Кисиленко // Международный медицинский журнал. – 2018. – № 1. – С. 29-32.</w:t>
      </w:r>
    </w:p>
    <w:p w:rsidR="006C4691" w:rsidRPr="006C4691" w:rsidRDefault="006C4691" w:rsidP="006C4691">
      <w:pPr>
        <w:pStyle w:val="a8"/>
        <w:numPr>
          <w:ilvl w:val="0"/>
          <w:numId w:val="1"/>
        </w:numPr>
        <w:spacing w:after="0" w:line="360" w:lineRule="auto"/>
        <w:ind w:left="0" w:firstLine="357"/>
        <w:jc w:val="both"/>
        <w:rPr>
          <w:rFonts w:ascii="Times New Roman" w:hAnsi="Times New Roman" w:cs="Times New Roman"/>
          <w:sz w:val="28"/>
          <w:szCs w:val="28"/>
        </w:rPr>
      </w:pPr>
      <w:r w:rsidRPr="006C4691">
        <w:rPr>
          <w:rFonts w:ascii="Times New Roman" w:hAnsi="Times New Roman" w:cs="Times New Roman"/>
          <w:sz w:val="28"/>
          <w:szCs w:val="28"/>
        </w:rPr>
        <w:t xml:space="preserve">Kysylenko K. Carbohydrate and lipid disorders and adipokines levels in relation to nutritional status in hypertensive patients / T. Ashcheulova, G. Demydenko, T. Ambrosova, K. Kysylenko, N. Gerasimchuk, O. Kochubiei // Revista Mexicana de Cardiología. – 2018. – Vol. 29 (2). – P.74-82. </w:t>
      </w:r>
      <w:r w:rsidRPr="006D4DBC">
        <w:rPr>
          <w:rFonts w:ascii="Times New Roman" w:hAnsi="Times New Roman" w:cs="Times New Roman"/>
          <w:i/>
          <w:sz w:val="28"/>
          <w:szCs w:val="28"/>
        </w:rPr>
        <w:t>(Здобувачем проведено аналіз та узагальнення літератури, підготовка статті до друку).</w:t>
      </w:r>
      <w:r w:rsidRPr="006C4691">
        <w:rPr>
          <w:rFonts w:ascii="Times New Roman" w:hAnsi="Times New Roman" w:cs="Times New Roman"/>
          <w:sz w:val="28"/>
          <w:szCs w:val="28"/>
        </w:rPr>
        <w:t xml:space="preserve"> </w:t>
      </w:r>
    </w:p>
    <w:p w:rsidR="006C4691" w:rsidRPr="006C4691" w:rsidRDefault="006C4691" w:rsidP="006C4691">
      <w:pPr>
        <w:pStyle w:val="a8"/>
        <w:numPr>
          <w:ilvl w:val="0"/>
          <w:numId w:val="1"/>
        </w:numPr>
        <w:spacing w:after="0" w:line="360" w:lineRule="auto"/>
        <w:ind w:left="0" w:firstLine="357"/>
        <w:jc w:val="both"/>
        <w:rPr>
          <w:rFonts w:ascii="Times New Roman" w:hAnsi="Times New Roman" w:cs="Times New Roman"/>
          <w:sz w:val="28"/>
          <w:szCs w:val="28"/>
        </w:rPr>
      </w:pPr>
      <w:r w:rsidRPr="006C4691">
        <w:rPr>
          <w:rFonts w:ascii="Times New Roman" w:hAnsi="Times New Roman" w:cs="Times New Roman"/>
          <w:sz w:val="28"/>
          <w:szCs w:val="28"/>
        </w:rPr>
        <w:t xml:space="preserve">Kysylenko K. The relations between proinflammatory and atherogenic markers and vessels remodeling in patients with hypertensive disease / K. Kysylenko, O. Kovalyova // Inter Collegas. – 2018. – Vol. 5. - №3. Р. 111-116. </w:t>
      </w:r>
      <w:r w:rsidRPr="006D4DBC">
        <w:rPr>
          <w:rFonts w:ascii="Times New Roman" w:hAnsi="Times New Roman" w:cs="Times New Roman"/>
          <w:i/>
          <w:sz w:val="28"/>
          <w:szCs w:val="28"/>
        </w:rPr>
        <w:t>(Здобувачем проведено пошук та аналіз літератури, клінічне обстеження хворих на ГХ, статистичну обробку отриманих даних, підготовку статті до друку).</w:t>
      </w:r>
      <w:r w:rsidRPr="006C4691">
        <w:rPr>
          <w:rFonts w:ascii="Times New Roman" w:hAnsi="Times New Roman" w:cs="Times New Roman"/>
          <w:sz w:val="28"/>
          <w:szCs w:val="28"/>
        </w:rPr>
        <w:t xml:space="preserve"> </w:t>
      </w:r>
    </w:p>
    <w:p w:rsidR="006C4691" w:rsidRPr="006C4691" w:rsidRDefault="006C4691" w:rsidP="006C4691">
      <w:pPr>
        <w:pStyle w:val="a8"/>
        <w:numPr>
          <w:ilvl w:val="0"/>
          <w:numId w:val="1"/>
        </w:numPr>
        <w:spacing w:after="0" w:line="360" w:lineRule="auto"/>
        <w:ind w:left="0" w:firstLine="357"/>
        <w:jc w:val="both"/>
        <w:rPr>
          <w:rFonts w:ascii="Times New Roman" w:hAnsi="Times New Roman" w:cs="Times New Roman"/>
          <w:sz w:val="28"/>
          <w:szCs w:val="28"/>
        </w:rPr>
      </w:pPr>
      <w:r w:rsidRPr="006C4691">
        <w:rPr>
          <w:rFonts w:ascii="Times New Roman" w:hAnsi="Times New Roman" w:cs="Times New Roman"/>
          <w:sz w:val="28"/>
          <w:szCs w:val="28"/>
        </w:rPr>
        <w:t>Кисиленко К.В. Постпрандіальна дисліпідемія у хворих на гіпертонічну хворобу з ожирінням / К.В. Кисиленко, О.М. Ковальова // Медицина сьогодні і завтра. -2018. - № 3 (80). – С. 28-</w:t>
      </w:r>
      <w:r w:rsidRPr="006D4DBC">
        <w:rPr>
          <w:rFonts w:ascii="Times New Roman" w:hAnsi="Times New Roman" w:cs="Times New Roman"/>
          <w:sz w:val="28"/>
          <w:szCs w:val="28"/>
        </w:rPr>
        <w:t>32</w:t>
      </w:r>
      <w:r w:rsidRPr="006D4DBC">
        <w:rPr>
          <w:rFonts w:ascii="Times New Roman" w:hAnsi="Times New Roman" w:cs="Times New Roman"/>
          <w:i/>
          <w:sz w:val="28"/>
          <w:szCs w:val="28"/>
        </w:rPr>
        <w:t xml:space="preserve"> (Здобувачем проведено формування груп </w:t>
      </w:r>
      <w:r w:rsidRPr="006D4DBC">
        <w:rPr>
          <w:rFonts w:ascii="Times New Roman" w:hAnsi="Times New Roman" w:cs="Times New Roman"/>
          <w:i/>
          <w:sz w:val="28"/>
          <w:szCs w:val="28"/>
        </w:rPr>
        <w:lastRenderedPageBreak/>
        <w:t>хворих, клінічні дослідження, аналіз та узагальнення отриманих результатів лабораторних досліджень, підготовка статті до друку).</w:t>
      </w:r>
    </w:p>
    <w:p w:rsidR="006C4691" w:rsidRDefault="006C4691" w:rsidP="006C4691">
      <w:pPr>
        <w:pStyle w:val="a8"/>
        <w:numPr>
          <w:ilvl w:val="0"/>
          <w:numId w:val="1"/>
        </w:numPr>
        <w:spacing w:after="0" w:line="360" w:lineRule="auto"/>
        <w:ind w:left="0" w:firstLine="357"/>
        <w:jc w:val="both"/>
        <w:rPr>
          <w:rFonts w:ascii="Times New Roman" w:hAnsi="Times New Roman" w:cs="Times New Roman"/>
          <w:sz w:val="28"/>
          <w:szCs w:val="28"/>
        </w:rPr>
      </w:pPr>
      <w:r w:rsidRPr="006C4691">
        <w:rPr>
          <w:rFonts w:ascii="Times New Roman" w:hAnsi="Times New Roman" w:cs="Times New Roman"/>
          <w:sz w:val="28"/>
          <w:szCs w:val="28"/>
        </w:rPr>
        <w:t xml:space="preserve">Kysylenko K. Interleukin-22 level and vascular remodeling in patients with hypertension in associated with abdominal obesity / K. Kysylenko, O. Kovalyova // Biological Markers and Guided Therapy. – 2019. – Vol. 6. – № 1. Р. 63-68 </w:t>
      </w:r>
      <w:r w:rsidRPr="006D4DBC">
        <w:rPr>
          <w:rFonts w:ascii="Times New Roman" w:hAnsi="Times New Roman" w:cs="Times New Roman"/>
          <w:i/>
          <w:sz w:val="28"/>
          <w:szCs w:val="28"/>
        </w:rPr>
        <w:t>(Здобувачем проведено клінічні дослідження, аналіз та узагальнення літератури, підготовка статті до друку).</w:t>
      </w:r>
    </w:p>
    <w:p w:rsidR="00C722C9" w:rsidRPr="006C4691" w:rsidRDefault="00C722C9" w:rsidP="00C722C9">
      <w:pPr>
        <w:pStyle w:val="a8"/>
        <w:spacing w:after="0" w:line="360" w:lineRule="auto"/>
        <w:ind w:left="0" w:firstLine="709"/>
        <w:jc w:val="both"/>
        <w:rPr>
          <w:rFonts w:ascii="Times New Roman" w:hAnsi="Times New Roman" w:cs="Times New Roman"/>
          <w:sz w:val="28"/>
          <w:szCs w:val="28"/>
        </w:rPr>
      </w:pPr>
      <w:r w:rsidRPr="00C722C9">
        <w:rPr>
          <w:rFonts w:ascii="Times New Roman" w:hAnsi="Times New Roman" w:cs="Times New Roman"/>
          <w:b/>
          <w:bCs/>
          <w:sz w:val="28"/>
          <w:szCs w:val="28"/>
          <w:lang w:val="ru-RU"/>
        </w:rPr>
        <w:t>Наукові праці, які додатково відображають наукові результати дисертації:</w:t>
      </w:r>
    </w:p>
    <w:p w:rsidR="006C4691" w:rsidRDefault="006C4691" w:rsidP="006C4691">
      <w:pPr>
        <w:pStyle w:val="a8"/>
        <w:numPr>
          <w:ilvl w:val="0"/>
          <w:numId w:val="1"/>
        </w:numPr>
        <w:spacing w:after="0" w:line="360" w:lineRule="auto"/>
        <w:ind w:left="0" w:firstLine="357"/>
        <w:jc w:val="both"/>
        <w:rPr>
          <w:rFonts w:ascii="Times New Roman" w:hAnsi="Times New Roman" w:cs="Times New Roman"/>
          <w:sz w:val="28"/>
          <w:szCs w:val="28"/>
        </w:rPr>
      </w:pPr>
      <w:r w:rsidRPr="006C4691">
        <w:rPr>
          <w:rFonts w:ascii="Times New Roman" w:hAnsi="Times New Roman" w:cs="Times New Roman"/>
          <w:sz w:val="28"/>
          <w:szCs w:val="28"/>
        </w:rPr>
        <w:t>Патент на корисну модель № 142161, Україна, МПК G01N 33/48 (2006.01). Спосіб діагностики розвитку атеросклеротичного процесу у хворих на гіпертонічну хворобу / К. В. Кисиленко, О. М. Ковальова; Харківський національний медичний університет. – № u 2019 07697; заявл. 08.07.2019; опубл. 25.05.2020, Бюл. №10</w:t>
      </w:r>
      <w:r w:rsidR="006D4DBC" w:rsidRPr="006D4DBC">
        <w:rPr>
          <w:rFonts w:ascii="Times New Roman" w:hAnsi="Times New Roman" w:cs="Times New Roman"/>
          <w:sz w:val="28"/>
          <w:szCs w:val="28"/>
        </w:rPr>
        <w:t xml:space="preserve"> (</w:t>
      </w:r>
      <w:r w:rsidR="006D4DBC" w:rsidRPr="006D4DBC">
        <w:rPr>
          <w:rFonts w:ascii="Times New Roman" w:hAnsi="Times New Roman" w:cs="Times New Roman"/>
          <w:i/>
          <w:sz w:val="28"/>
          <w:szCs w:val="28"/>
        </w:rPr>
        <w:t>З</w:t>
      </w:r>
      <w:r w:rsidR="006D4DBC">
        <w:rPr>
          <w:rFonts w:ascii="Times New Roman" w:hAnsi="Times New Roman" w:cs="Times New Roman"/>
          <w:i/>
          <w:sz w:val="28"/>
          <w:szCs w:val="28"/>
        </w:rPr>
        <w:t>добувач запропонувала</w:t>
      </w:r>
      <w:r w:rsidR="006D4DBC" w:rsidRPr="006D4DBC">
        <w:rPr>
          <w:rFonts w:ascii="Times New Roman" w:hAnsi="Times New Roman" w:cs="Times New Roman"/>
          <w:i/>
          <w:sz w:val="28"/>
          <w:szCs w:val="28"/>
        </w:rPr>
        <w:t xml:space="preserve"> ідею, здійсни</w:t>
      </w:r>
      <w:r w:rsidR="006D4DBC">
        <w:rPr>
          <w:rFonts w:ascii="Times New Roman" w:hAnsi="Times New Roman" w:cs="Times New Roman"/>
          <w:i/>
          <w:sz w:val="28"/>
          <w:szCs w:val="28"/>
        </w:rPr>
        <w:t>ла</w:t>
      </w:r>
      <w:r w:rsidR="006D4DBC" w:rsidRPr="006D4DBC">
        <w:rPr>
          <w:rFonts w:ascii="Times New Roman" w:hAnsi="Times New Roman" w:cs="Times New Roman"/>
          <w:i/>
          <w:sz w:val="28"/>
          <w:szCs w:val="28"/>
        </w:rPr>
        <w:t xml:space="preserve"> патентний пошук, клінічні дослідження)</w:t>
      </w:r>
      <w:r w:rsidRPr="006C4691">
        <w:rPr>
          <w:rFonts w:ascii="Times New Roman" w:hAnsi="Times New Roman" w:cs="Times New Roman"/>
          <w:sz w:val="28"/>
          <w:szCs w:val="28"/>
        </w:rPr>
        <w:t>.</w:t>
      </w:r>
    </w:p>
    <w:p w:rsidR="00C722C9" w:rsidRPr="006C4691" w:rsidRDefault="00C722C9" w:rsidP="00C722C9">
      <w:pPr>
        <w:pStyle w:val="a8"/>
        <w:spacing w:after="0" w:line="360" w:lineRule="auto"/>
        <w:ind w:left="0" w:firstLine="709"/>
        <w:jc w:val="both"/>
        <w:rPr>
          <w:rFonts w:ascii="Times New Roman" w:hAnsi="Times New Roman" w:cs="Times New Roman"/>
          <w:sz w:val="28"/>
          <w:szCs w:val="28"/>
        </w:rPr>
      </w:pPr>
      <w:r w:rsidRPr="00C722C9">
        <w:rPr>
          <w:rFonts w:ascii="Times New Roman" w:hAnsi="Times New Roman" w:cs="Times New Roman"/>
          <w:b/>
          <w:bCs/>
          <w:sz w:val="28"/>
          <w:szCs w:val="28"/>
        </w:rPr>
        <w:t>Наукові праці, які засвідчують апробацію матеріалів дисертації</w:t>
      </w:r>
      <w:r w:rsidRPr="00C722C9">
        <w:rPr>
          <w:rFonts w:ascii="Times New Roman" w:hAnsi="Times New Roman" w:cs="Times New Roman"/>
          <w:sz w:val="28"/>
          <w:szCs w:val="28"/>
        </w:rPr>
        <w:t>:</w:t>
      </w:r>
    </w:p>
    <w:p w:rsidR="006C4691" w:rsidRPr="006C4691" w:rsidRDefault="006C4691" w:rsidP="006C4691">
      <w:pPr>
        <w:pStyle w:val="a8"/>
        <w:numPr>
          <w:ilvl w:val="0"/>
          <w:numId w:val="1"/>
        </w:numPr>
        <w:spacing w:after="0" w:line="360" w:lineRule="auto"/>
        <w:ind w:left="0" w:firstLine="357"/>
        <w:jc w:val="both"/>
        <w:rPr>
          <w:rFonts w:ascii="Times New Roman" w:hAnsi="Times New Roman" w:cs="Times New Roman"/>
          <w:sz w:val="28"/>
          <w:szCs w:val="28"/>
        </w:rPr>
      </w:pPr>
      <w:r w:rsidRPr="006C4691">
        <w:rPr>
          <w:rFonts w:ascii="Times New Roman" w:hAnsi="Times New Roman" w:cs="Times New Roman"/>
          <w:sz w:val="28"/>
          <w:szCs w:val="28"/>
        </w:rPr>
        <w:t xml:space="preserve">Кисиленко К.В. Гендерний розподіл вмісту інтерлейкіну-22 в сироватці крові хворих на гіпертонічну хворобу / О.М. Ковальова, К.В. Кисиленко // Коморбідні стани – міждисциплінарна проблема: матеріали науково-практичної конференції з міжнародною участю, Харків, 19 травня 2017 р. – С. 59-60. </w:t>
      </w:r>
      <w:r w:rsidRPr="006D4DBC">
        <w:rPr>
          <w:rFonts w:ascii="Times New Roman" w:hAnsi="Times New Roman" w:cs="Times New Roman"/>
          <w:i/>
          <w:sz w:val="28"/>
          <w:szCs w:val="28"/>
        </w:rPr>
        <w:t>(Здобувачем проведено пошук та аналіз літератури, клінічне обстеження хворих на ГХ, статистичну обробку отриманих даних, підготовку тез до друку).</w:t>
      </w:r>
      <w:r w:rsidRPr="006C4691">
        <w:rPr>
          <w:rFonts w:ascii="Times New Roman" w:hAnsi="Times New Roman" w:cs="Times New Roman"/>
          <w:sz w:val="28"/>
          <w:szCs w:val="28"/>
        </w:rPr>
        <w:t xml:space="preserve"> </w:t>
      </w:r>
    </w:p>
    <w:p w:rsidR="006C4691" w:rsidRPr="006C4691" w:rsidRDefault="006C4691" w:rsidP="006C4691">
      <w:pPr>
        <w:pStyle w:val="a8"/>
        <w:numPr>
          <w:ilvl w:val="0"/>
          <w:numId w:val="1"/>
        </w:numPr>
        <w:spacing w:after="0" w:line="360" w:lineRule="auto"/>
        <w:ind w:left="0" w:firstLine="357"/>
        <w:jc w:val="both"/>
        <w:rPr>
          <w:rFonts w:ascii="Times New Roman" w:hAnsi="Times New Roman" w:cs="Times New Roman"/>
          <w:sz w:val="28"/>
          <w:szCs w:val="28"/>
        </w:rPr>
      </w:pPr>
      <w:r w:rsidRPr="006C4691">
        <w:rPr>
          <w:rFonts w:ascii="Times New Roman" w:hAnsi="Times New Roman" w:cs="Times New Roman"/>
          <w:sz w:val="28"/>
          <w:szCs w:val="28"/>
        </w:rPr>
        <w:t>Кисиленко К.В. Взаємозв’язок сироваткового рівня інтерлейкіну-22 з ожирінням та надлишковою масою тіла у хворих на гіпертонічну хворобу // Профілактика. Антиейджинг. Україна: матеріали конгресу, Харків, 28-29 вересня 2017 р. – С. 19.</w:t>
      </w:r>
    </w:p>
    <w:p w:rsidR="006C4691" w:rsidRPr="006C4691" w:rsidRDefault="006C4691" w:rsidP="006C4691">
      <w:pPr>
        <w:pStyle w:val="a8"/>
        <w:numPr>
          <w:ilvl w:val="0"/>
          <w:numId w:val="1"/>
        </w:numPr>
        <w:spacing w:after="0" w:line="360" w:lineRule="auto"/>
        <w:ind w:left="0" w:firstLine="357"/>
        <w:jc w:val="both"/>
        <w:rPr>
          <w:rFonts w:ascii="Times New Roman" w:hAnsi="Times New Roman" w:cs="Times New Roman"/>
          <w:sz w:val="28"/>
          <w:szCs w:val="28"/>
        </w:rPr>
      </w:pPr>
      <w:r w:rsidRPr="006C4691">
        <w:rPr>
          <w:rFonts w:ascii="Times New Roman" w:hAnsi="Times New Roman" w:cs="Times New Roman"/>
          <w:sz w:val="28"/>
          <w:szCs w:val="28"/>
        </w:rPr>
        <w:t xml:space="preserve">Кисиленко К.В. Рівень інтерлейкіну-22 у хворих на гіпертонічну хворобу з супутнім ожирінням та дисліпідемією / О.М. Ковальова, Т.В. Ащеулова, К.В. Кисиленко, О.А. Кочубєй // Особливості коморбідного </w:t>
      </w:r>
      <w:r w:rsidRPr="006C4691">
        <w:rPr>
          <w:rFonts w:ascii="Times New Roman" w:hAnsi="Times New Roman" w:cs="Times New Roman"/>
          <w:sz w:val="28"/>
          <w:szCs w:val="28"/>
        </w:rPr>
        <w:lastRenderedPageBreak/>
        <w:t xml:space="preserve">перебігу захворювань та їх фармакотерапія в клініці внутрішньої медицини: матеріали науково-практичної конференції з міжнародною участю, Чернівці, 5-6 жовтня 2017 р. – С. 58-59. </w:t>
      </w:r>
      <w:r w:rsidRPr="006D4DBC">
        <w:rPr>
          <w:rFonts w:ascii="Times New Roman" w:hAnsi="Times New Roman" w:cs="Times New Roman"/>
          <w:i/>
          <w:sz w:val="28"/>
          <w:szCs w:val="28"/>
        </w:rPr>
        <w:t>(Здобувачем проведено підбір хворих, статистична обробка отриманих даних, підготовка тез до друку).</w:t>
      </w:r>
      <w:r w:rsidRPr="006C4691">
        <w:rPr>
          <w:rFonts w:ascii="Times New Roman" w:hAnsi="Times New Roman" w:cs="Times New Roman"/>
          <w:sz w:val="28"/>
          <w:szCs w:val="28"/>
        </w:rPr>
        <w:t xml:space="preserve"> </w:t>
      </w:r>
    </w:p>
    <w:p w:rsidR="006C4691" w:rsidRPr="006C4691" w:rsidRDefault="006C4691" w:rsidP="006C4691">
      <w:pPr>
        <w:pStyle w:val="a8"/>
        <w:numPr>
          <w:ilvl w:val="0"/>
          <w:numId w:val="1"/>
        </w:numPr>
        <w:spacing w:after="0" w:line="360" w:lineRule="auto"/>
        <w:ind w:left="0" w:firstLine="357"/>
        <w:jc w:val="both"/>
        <w:rPr>
          <w:rFonts w:ascii="Times New Roman" w:hAnsi="Times New Roman" w:cs="Times New Roman"/>
          <w:sz w:val="28"/>
          <w:szCs w:val="28"/>
        </w:rPr>
      </w:pPr>
      <w:r w:rsidRPr="006C4691">
        <w:rPr>
          <w:rFonts w:ascii="Times New Roman" w:hAnsi="Times New Roman" w:cs="Times New Roman"/>
          <w:sz w:val="28"/>
          <w:szCs w:val="28"/>
        </w:rPr>
        <w:t>Кисиленко К.В. Уровень интерлейкина-22 в сыворотке крови у больных гипертонической болезнью в сочетании с абдоминальным ожирением / К.В. Кисиленко // “Медицина третього тисячоліття”: матеріали межвузівської конференції молодих вчених та студентів, присвяченої 213-ій річниці відкриття Харківської вищої медичної школи, Харків, 23-24 січня 2018 р. – С. 101-102.</w:t>
      </w:r>
    </w:p>
    <w:p w:rsidR="006C4691" w:rsidRPr="006C4691" w:rsidRDefault="006C4691" w:rsidP="006C4691">
      <w:pPr>
        <w:pStyle w:val="a8"/>
        <w:numPr>
          <w:ilvl w:val="0"/>
          <w:numId w:val="1"/>
        </w:numPr>
        <w:spacing w:after="0" w:line="360" w:lineRule="auto"/>
        <w:ind w:left="0" w:firstLine="357"/>
        <w:jc w:val="both"/>
        <w:rPr>
          <w:rFonts w:ascii="Times New Roman" w:hAnsi="Times New Roman" w:cs="Times New Roman"/>
          <w:sz w:val="28"/>
          <w:szCs w:val="28"/>
        </w:rPr>
      </w:pPr>
      <w:r w:rsidRPr="006C4691">
        <w:rPr>
          <w:rFonts w:ascii="Times New Roman" w:hAnsi="Times New Roman" w:cs="Times New Roman"/>
          <w:sz w:val="28"/>
          <w:szCs w:val="28"/>
        </w:rPr>
        <w:t>Кисиленко К.В. Діагностичне значення індексу співвідношення об’єму талії до зросту у хворих на гіпертонічну хворобу с дисліпідемією / К.В. Кисиленко // Реалії, пріоритети та перспективи внутрішньої медицини: матеріали науково-практичної конференції з міжнародною участю, що присвячена 125-річчю кафедри пропедевтики внутрішньої медицини №1, основ біоетики та біобезпеки, Харків, 18 квітня 2018 р. – С.28.</w:t>
      </w:r>
    </w:p>
    <w:p w:rsidR="006C4691" w:rsidRPr="006C4691" w:rsidRDefault="006C4691" w:rsidP="006C4691">
      <w:pPr>
        <w:pStyle w:val="a8"/>
        <w:numPr>
          <w:ilvl w:val="0"/>
          <w:numId w:val="1"/>
        </w:numPr>
        <w:spacing w:after="0" w:line="360" w:lineRule="auto"/>
        <w:ind w:left="0" w:firstLine="357"/>
        <w:jc w:val="both"/>
        <w:rPr>
          <w:rFonts w:ascii="Times New Roman" w:hAnsi="Times New Roman" w:cs="Times New Roman"/>
          <w:sz w:val="28"/>
          <w:szCs w:val="28"/>
        </w:rPr>
      </w:pPr>
      <w:r w:rsidRPr="006C4691">
        <w:rPr>
          <w:rFonts w:ascii="Times New Roman" w:hAnsi="Times New Roman" w:cs="Times New Roman"/>
          <w:sz w:val="28"/>
          <w:szCs w:val="28"/>
        </w:rPr>
        <w:t>Кисиленко Е.В. Гендерные особенности взаимосвязи индекса формы тела с кардиометаболическими факторами риска у больных гипертонической болезнью с абдоминальным ожирением / Е.В. Кисиленко // Коморбідність: міждисциплінарні аспекти та сучасний пацієнт: матеріали науково-пактичної конференції з міжнародною участю, що присвячена 80-річчю кафедри пропедевтики внутрішньої медицини № 2 та медсестринства ХНМУ, Харків, 27 вересня 2018 р. – С. 38-39.</w:t>
      </w:r>
    </w:p>
    <w:p w:rsidR="006C4691" w:rsidRPr="006C4691" w:rsidRDefault="006C4691" w:rsidP="006C4691">
      <w:pPr>
        <w:pStyle w:val="a8"/>
        <w:numPr>
          <w:ilvl w:val="0"/>
          <w:numId w:val="1"/>
        </w:numPr>
        <w:spacing w:after="0" w:line="360" w:lineRule="auto"/>
        <w:ind w:left="0" w:firstLine="357"/>
        <w:jc w:val="both"/>
        <w:rPr>
          <w:rFonts w:ascii="Times New Roman" w:hAnsi="Times New Roman" w:cs="Times New Roman"/>
          <w:sz w:val="28"/>
          <w:szCs w:val="28"/>
        </w:rPr>
      </w:pPr>
      <w:r w:rsidRPr="006C4691">
        <w:rPr>
          <w:rFonts w:ascii="Times New Roman" w:hAnsi="Times New Roman" w:cs="Times New Roman"/>
          <w:sz w:val="28"/>
          <w:szCs w:val="28"/>
        </w:rPr>
        <w:t>Постпрандіальна дисліпідемія як прогностичний маркер субклінічного атеросклерозу у хворих на гіпертонічну хворобу з ожирінням / Кисиленко К.В. // Медицина III тисячоліття: збірник тез міжвузівської конференції молодих вчених та студентів присвяченої 215-ій річниці відкриття харківської вищої медичної школи, 30-31 січня 2019 р. / Харківський національний медичний університет. – С. 107-108.</w:t>
      </w:r>
    </w:p>
    <w:p w:rsidR="006C4691" w:rsidRPr="006C4691" w:rsidRDefault="006C4691" w:rsidP="006C4691">
      <w:pPr>
        <w:pStyle w:val="a8"/>
        <w:numPr>
          <w:ilvl w:val="0"/>
          <w:numId w:val="1"/>
        </w:numPr>
        <w:spacing w:after="0" w:line="360" w:lineRule="auto"/>
        <w:ind w:left="0" w:firstLine="357"/>
        <w:jc w:val="both"/>
        <w:rPr>
          <w:rFonts w:ascii="Times New Roman" w:hAnsi="Times New Roman" w:cs="Times New Roman"/>
          <w:sz w:val="28"/>
          <w:szCs w:val="28"/>
        </w:rPr>
      </w:pPr>
      <w:r w:rsidRPr="006C4691">
        <w:rPr>
          <w:rFonts w:ascii="Times New Roman" w:hAnsi="Times New Roman" w:cs="Times New Roman"/>
          <w:sz w:val="28"/>
          <w:szCs w:val="28"/>
        </w:rPr>
        <w:lastRenderedPageBreak/>
        <w:t>Dependence of anthropometric and hemodynamic parameters on the interleukin-22 level in patients with arterial hypertension / Kysylenko K. // Матеріали Буковинського міжнародного медико-фармацевтичного конгресу студентів і молодих учених, BIMCO 2019, Буковинський державний медичний університет. – С. 163.</w:t>
      </w:r>
    </w:p>
    <w:p w:rsidR="006C4691" w:rsidRPr="006C4691" w:rsidRDefault="006C4691" w:rsidP="006C4691">
      <w:pPr>
        <w:pStyle w:val="a8"/>
        <w:numPr>
          <w:ilvl w:val="0"/>
          <w:numId w:val="1"/>
        </w:numPr>
        <w:spacing w:after="0" w:line="360" w:lineRule="auto"/>
        <w:ind w:left="0" w:firstLine="357"/>
        <w:jc w:val="both"/>
        <w:rPr>
          <w:rFonts w:ascii="Times New Roman" w:hAnsi="Times New Roman" w:cs="Times New Roman"/>
          <w:sz w:val="28"/>
          <w:szCs w:val="28"/>
        </w:rPr>
      </w:pPr>
      <w:r w:rsidRPr="006C4691">
        <w:rPr>
          <w:rFonts w:ascii="Times New Roman" w:hAnsi="Times New Roman" w:cs="Times New Roman"/>
          <w:sz w:val="28"/>
          <w:szCs w:val="28"/>
        </w:rPr>
        <w:t>Постпрандиальные изменения липидного профиля у пациентов с гипертонической болезнью и ожирением / Кисиленко Е.В. // VII Евразийский Конгресс кардиологов, 17–18 мая 2019 г., Ташкент, Узбекистан. – С.109.</w:t>
      </w:r>
    </w:p>
    <w:p w:rsidR="00512976" w:rsidRPr="006C4691" w:rsidRDefault="006C4691" w:rsidP="00512976">
      <w:pPr>
        <w:pStyle w:val="a8"/>
        <w:numPr>
          <w:ilvl w:val="0"/>
          <w:numId w:val="1"/>
        </w:numPr>
        <w:spacing w:after="0" w:line="360" w:lineRule="auto"/>
        <w:ind w:left="0" w:firstLine="357"/>
        <w:jc w:val="both"/>
        <w:rPr>
          <w:rFonts w:ascii="Times New Roman" w:hAnsi="Times New Roman" w:cs="Times New Roman"/>
          <w:sz w:val="28"/>
          <w:szCs w:val="28"/>
        </w:rPr>
      </w:pPr>
      <w:r w:rsidRPr="006C4691">
        <w:rPr>
          <w:rFonts w:ascii="Times New Roman" w:hAnsi="Times New Roman" w:cs="Times New Roman"/>
          <w:sz w:val="28"/>
          <w:szCs w:val="28"/>
        </w:rPr>
        <w:t>Інтерлейкін-22 та гіпертрофія міокарду лівого шлуночка у хворих на гіпертонічну хворобу з ожирінням / Кисиленко К.В. // Медицина III тисячоліття: збірник тез міжвузівської конференції молодих вчених та студентів присвяченої 215-ій річниці відкриття харківської вищої медичної школи, 20–22 січня 2020 р. / Харківський національний медичний університет. – С. 131-132.</w:t>
      </w:r>
    </w:p>
    <w:p w:rsidR="00512976" w:rsidRPr="007F5722" w:rsidRDefault="00512976" w:rsidP="00512976">
      <w:pPr>
        <w:spacing w:after="0" w:line="360" w:lineRule="auto"/>
        <w:jc w:val="both"/>
        <w:rPr>
          <w:rFonts w:ascii="Times New Roman" w:hAnsi="Times New Roman" w:cs="Times New Roman"/>
          <w:sz w:val="28"/>
          <w:szCs w:val="28"/>
        </w:rPr>
      </w:pPr>
    </w:p>
    <w:p w:rsidR="00512976" w:rsidRPr="007F5722" w:rsidRDefault="00512976" w:rsidP="00512976">
      <w:pPr>
        <w:spacing w:after="0" w:line="360" w:lineRule="auto"/>
        <w:jc w:val="both"/>
        <w:rPr>
          <w:rFonts w:ascii="Times New Roman" w:hAnsi="Times New Roman" w:cs="Times New Roman"/>
          <w:sz w:val="28"/>
          <w:szCs w:val="28"/>
        </w:rPr>
        <w:sectPr w:rsidR="00512976" w:rsidRPr="007F5722" w:rsidSect="007C0B93">
          <w:pgSz w:w="11906" w:h="16838"/>
          <w:pgMar w:top="1134" w:right="850" w:bottom="1134" w:left="1701" w:header="708" w:footer="708" w:gutter="0"/>
          <w:cols w:space="708"/>
          <w:docGrid w:linePitch="360"/>
        </w:sectPr>
      </w:pPr>
    </w:p>
    <w:p w:rsidR="00512976" w:rsidRPr="007F5722" w:rsidRDefault="00512976" w:rsidP="00512976">
      <w:pPr>
        <w:spacing w:after="0" w:line="360" w:lineRule="auto"/>
        <w:jc w:val="center"/>
        <w:rPr>
          <w:rFonts w:ascii="Times New Roman" w:hAnsi="Times New Roman" w:cs="Times New Roman"/>
          <w:sz w:val="28"/>
          <w:szCs w:val="28"/>
        </w:rPr>
      </w:pPr>
      <w:r w:rsidRPr="007F5722">
        <w:rPr>
          <w:rFonts w:ascii="Times New Roman" w:hAnsi="Times New Roman" w:cs="Times New Roman"/>
          <w:b/>
          <w:sz w:val="28"/>
          <w:szCs w:val="28"/>
        </w:rPr>
        <w:lastRenderedPageBreak/>
        <w:t>ЗМІСТ</w:t>
      </w:r>
    </w:p>
    <w:p w:rsidR="00512976" w:rsidRPr="007F5722" w:rsidRDefault="00512976" w:rsidP="00512976">
      <w:pPr>
        <w:tabs>
          <w:tab w:val="left" w:pos="1134"/>
        </w:tabs>
        <w:spacing w:after="0" w:line="360" w:lineRule="auto"/>
        <w:jc w:val="both"/>
        <w:rPr>
          <w:rFonts w:ascii="Times New Roman" w:hAnsi="Times New Roman" w:cs="Times New Roman"/>
          <w:sz w:val="28"/>
          <w:szCs w:val="28"/>
        </w:rPr>
      </w:pPr>
      <w:r w:rsidRPr="007F5722">
        <w:rPr>
          <w:rFonts w:ascii="Times New Roman" w:hAnsi="Times New Roman" w:cs="Times New Roman"/>
          <w:sz w:val="28"/>
          <w:szCs w:val="28"/>
        </w:rPr>
        <w:t>ЗМІСТ…………………………………………………………………………</w:t>
      </w:r>
      <w:r w:rsidR="006C4691">
        <w:rPr>
          <w:rFonts w:ascii="Times New Roman" w:hAnsi="Times New Roman" w:cs="Times New Roman"/>
          <w:sz w:val="28"/>
          <w:szCs w:val="28"/>
        </w:rPr>
        <w:t>..</w:t>
      </w:r>
      <w:r w:rsidRPr="007F5722">
        <w:rPr>
          <w:rFonts w:ascii="Times New Roman" w:hAnsi="Times New Roman" w:cs="Times New Roman"/>
          <w:sz w:val="28"/>
          <w:szCs w:val="28"/>
        </w:rPr>
        <w:t>...</w:t>
      </w:r>
      <w:r w:rsidR="00BE1549">
        <w:rPr>
          <w:rFonts w:ascii="Times New Roman" w:hAnsi="Times New Roman" w:cs="Times New Roman"/>
          <w:sz w:val="28"/>
          <w:szCs w:val="28"/>
        </w:rPr>
        <w:t>15</w:t>
      </w:r>
    </w:p>
    <w:p w:rsidR="00512976" w:rsidRPr="007F5722" w:rsidRDefault="00512976" w:rsidP="00512976">
      <w:pPr>
        <w:tabs>
          <w:tab w:val="left" w:pos="1134"/>
        </w:tabs>
        <w:spacing w:after="0" w:line="360" w:lineRule="auto"/>
        <w:jc w:val="both"/>
        <w:rPr>
          <w:rFonts w:ascii="Times New Roman" w:hAnsi="Times New Roman" w:cs="Times New Roman"/>
          <w:sz w:val="28"/>
          <w:szCs w:val="28"/>
        </w:rPr>
      </w:pPr>
      <w:r w:rsidRPr="007F5722">
        <w:rPr>
          <w:rFonts w:ascii="Times New Roman" w:hAnsi="Times New Roman" w:cs="Times New Roman"/>
          <w:sz w:val="28"/>
          <w:szCs w:val="28"/>
        </w:rPr>
        <w:t>ПЕРЕЛІК УМОВНИХ СКОРОЧЕНЬ …………………………………</w:t>
      </w:r>
      <w:r w:rsidR="00BE1549">
        <w:rPr>
          <w:rFonts w:ascii="Times New Roman" w:hAnsi="Times New Roman" w:cs="Times New Roman"/>
          <w:sz w:val="28"/>
          <w:szCs w:val="28"/>
        </w:rPr>
        <w:t>….……</w:t>
      </w:r>
      <w:r w:rsidR="00BE1549">
        <w:rPr>
          <w:rFonts w:ascii="Times New Roman" w:hAnsi="Times New Roman" w:cs="Times New Roman"/>
          <w:sz w:val="28"/>
          <w:szCs w:val="28"/>
          <w:lang w:val="ru-RU"/>
        </w:rPr>
        <w:t>.</w:t>
      </w:r>
      <w:r w:rsidR="00BE1549">
        <w:rPr>
          <w:rFonts w:ascii="Times New Roman" w:hAnsi="Times New Roman" w:cs="Times New Roman"/>
          <w:sz w:val="28"/>
          <w:szCs w:val="28"/>
        </w:rPr>
        <w:t>16</w:t>
      </w:r>
    </w:p>
    <w:p w:rsidR="00512976" w:rsidRPr="007F5722" w:rsidRDefault="00512976" w:rsidP="00512976">
      <w:pPr>
        <w:tabs>
          <w:tab w:val="left" w:pos="1134"/>
        </w:tabs>
        <w:spacing w:after="0" w:line="360" w:lineRule="auto"/>
        <w:jc w:val="both"/>
        <w:rPr>
          <w:rFonts w:ascii="Times New Roman" w:hAnsi="Times New Roman" w:cs="Times New Roman"/>
          <w:sz w:val="28"/>
          <w:szCs w:val="28"/>
        </w:rPr>
      </w:pPr>
      <w:r w:rsidRPr="007F5722">
        <w:rPr>
          <w:rFonts w:ascii="Times New Roman" w:hAnsi="Times New Roman" w:cs="Times New Roman"/>
          <w:sz w:val="28"/>
          <w:szCs w:val="28"/>
        </w:rPr>
        <w:t>ВСТУП…………………………………………………………………………</w:t>
      </w:r>
      <w:r w:rsidR="00BE1549">
        <w:rPr>
          <w:rFonts w:ascii="Times New Roman" w:hAnsi="Times New Roman" w:cs="Times New Roman"/>
          <w:sz w:val="28"/>
          <w:szCs w:val="28"/>
        </w:rPr>
        <w:t>…18</w:t>
      </w:r>
    </w:p>
    <w:p w:rsidR="00512976" w:rsidRPr="002C2A82" w:rsidRDefault="00512976" w:rsidP="00512976">
      <w:pPr>
        <w:tabs>
          <w:tab w:val="left" w:pos="1134"/>
        </w:tabs>
        <w:spacing w:after="0" w:line="360" w:lineRule="auto"/>
        <w:jc w:val="both"/>
        <w:rPr>
          <w:rFonts w:ascii="Times New Roman" w:hAnsi="Times New Roman" w:cs="Times New Roman"/>
          <w:sz w:val="28"/>
          <w:szCs w:val="28"/>
        </w:rPr>
      </w:pPr>
      <w:r w:rsidRPr="007F5722">
        <w:rPr>
          <w:rFonts w:ascii="Times New Roman" w:hAnsi="Times New Roman" w:cs="Times New Roman"/>
          <w:sz w:val="28"/>
          <w:szCs w:val="28"/>
        </w:rPr>
        <w:t>РОЗДІЛ 1. ОГЛЯД ЛІТЕРАТУРИ…………………………………………</w:t>
      </w:r>
      <w:r w:rsidR="006C4691">
        <w:rPr>
          <w:rFonts w:ascii="Times New Roman" w:hAnsi="Times New Roman" w:cs="Times New Roman"/>
          <w:sz w:val="28"/>
          <w:szCs w:val="28"/>
        </w:rPr>
        <w:t>.</w:t>
      </w:r>
      <w:r w:rsidR="002C2A82">
        <w:rPr>
          <w:rFonts w:ascii="Times New Roman" w:hAnsi="Times New Roman" w:cs="Times New Roman"/>
          <w:sz w:val="28"/>
          <w:szCs w:val="28"/>
          <w:lang w:val="ru-RU"/>
        </w:rPr>
        <w:t>..</w:t>
      </w:r>
      <w:r w:rsidR="006C4691">
        <w:rPr>
          <w:rFonts w:ascii="Times New Roman" w:hAnsi="Times New Roman" w:cs="Times New Roman"/>
          <w:sz w:val="28"/>
          <w:szCs w:val="28"/>
        </w:rPr>
        <w:t>.</w:t>
      </w:r>
      <w:r w:rsidR="002C2A82">
        <w:rPr>
          <w:rFonts w:ascii="Times New Roman" w:hAnsi="Times New Roman" w:cs="Times New Roman"/>
          <w:sz w:val="28"/>
          <w:szCs w:val="28"/>
        </w:rPr>
        <w:t>…</w:t>
      </w:r>
      <w:r w:rsidR="002C2A82" w:rsidRPr="002C2A82">
        <w:rPr>
          <w:rFonts w:ascii="Times New Roman" w:hAnsi="Times New Roman" w:cs="Times New Roman"/>
          <w:sz w:val="28"/>
          <w:szCs w:val="28"/>
        </w:rPr>
        <w:t>25</w:t>
      </w:r>
    </w:p>
    <w:p w:rsidR="00512976" w:rsidRPr="007F5722" w:rsidRDefault="00512976" w:rsidP="00512976">
      <w:pPr>
        <w:pStyle w:val="a8"/>
        <w:numPr>
          <w:ilvl w:val="1"/>
          <w:numId w:val="3"/>
        </w:numPr>
        <w:tabs>
          <w:tab w:val="left" w:pos="1134"/>
        </w:tabs>
        <w:spacing w:after="0" w:line="360" w:lineRule="auto"/>
        <w:jc w:val="both"/>
        <w:rPr>
          <w:rFonts w:ascii="Times New Roman" w:hAnsi="Times New Roman" w:cs="Times New Roman"/>
          <w:sz w:val="28"/>
          <w:szCs w:val="28"/>
        </w:rPr>
      </w:pPr>
      <w:r w:rsidRPr="007F5722">
        <w:rPr>
          <w:rFonts w:ascii="Times New Roman" w:hAnsi="Times New Roman" w:cs="Times New Roman"/>
          <w:sz w:val="28"/>
          <w:szCs w:val="28"/>
        </w:rPr>
        <w:t>Сучасний погляд на особливості клінічного перебігу гіпертонічної хвороби з ожирінням. Р</w:t>
      </w:r>
      <w:r w:rsidR="002C2A82">
        <w:rPr>
          <w:rFonts w:ascii="Times New Roman" w:hAnsi="Times New Roman" w:cs="Times New Roman"/>
          <w:sz w:val="28"/>
          <w:szCs w:val="28"/>
        </w:rPr>
        <w:t>оль інтерлейкінів …………..………………</w:t>
      </w:r>
      <w:r w:rsidR="002C2A82" w:rsidRPr="002C2A82">
        <w:rPr>
          <w:rFonts w:ascii="Times New Roman" w:hAnsi="Times New Roman" w:cs="Times New Roman"/>
          <w:sz w:val="28"/>
          <w:szCs w:val="28"/>
        </w:rPr>
        <w:t>.</w:t>
      </w:r>
      <w:r w:rsidR="002C2A82">
        <w:rPr>
          <w:rFonts w:ascii="Times New Roman" w:hAnsi="Times New Roman" w:cs="Times New Roman"/>
          <w:sz w:val="28"/>
          <w:szCs w:val="28"/>
          <w:lang w:val="ru-RU"/>
        </w:rPr>
        <w:t>.</w:t>
      </w:r>
      <w:r w:rsidR="002C2A82">
        <w:rPr>
          <w:rFonts w:ascii="Times New Roman" w:hAnsi="Times New Roman" w:cs="Times New Roman"/>
          <w:sz w:val="28"/>
          <w:szCs w:val="28"/>
        </w:rPr>
        <w:t>…</w:t>
      </w:r>
      <w:r w:rsidR="002C2A82" w:rsidRPr="002C2A82">
        <w:rPr>
          <w:rFonts w:ascii="Times New Roman" w:hAnsi="Times New Roman" w:cs="Times New Roman"/>
          <w:sz w:val="28"/>
          <w:szCs w:val="28"/>
        </w:rPr>
        <w:t>25</w:t>
      </w:r>
    </w:p>
    <w:p w:rsidR="00512976" w:rsidRPr="007F5722" w:rsidRDefault="00512976" w:rsidP="00512976">
      <w:pPr>
        <w:pStyle w:val="a8"/>
        <w:numPr>
          <w:ilvl w:val="1"/>
          <w:numId w:val="3"/>
        </w:numPr>
        <w:spacing w:after="0" w:line="360" w:lineRule="auto"/>
        <w:jc w:val="both"/>
        <w:rPr>
          <w:rFonts w:ascii="Times New Roman" w:hAnsi="Times New Roman" w:cs="Times New Roman"/>
          <w:bCs/>
          <w:sz w:val="28"/>
          <w:szCs w:val="28"/>
        </w:rPr>
      </w:pPr>
      <w:r w:rsidRPr="007F5722">
        <w:rPr>
          <w:rFonts w:ascii="Times New Roman" w:hAnsi="Times New Roman" w:cs="Times New Roman"/>
          <w:bCs/>
          <w:sz w:val="28"/>
          <w:szCs w:val="28"/>
        </w:rPr>
        <w:t>Особливості ліпідного обміну у хворих на гіпертонічну хворобу з ожирінням, постпрандіальна дисліпідемія та рівень прозапальних цитокі</w:t>
      </w:r>
      <w:r w:rsidR="002C2A82">
        <w:rPr>
          <w:rFonts w:ascii="Times New Roman" w:hAnsi="Times New Roman" w:cs="Times New Roman"/>
          <w:bCs/>
          <w:sz w:val="28"/>
          <w:szCs w:val="28"/>
        </w:rPr>
        <w:t>нів …………………………………………………………………</w:t>
      </w:r>
      <w:r w:rsidR="002C2A82" w:rsidRPr="002C2A82">
        <w:rPr>
          <w:rFonts w:ascii="Times New Roman" w:hAnsi="Times New Roman" w:cs="Times New Roman"/>
          <w:bCs/>
          <w:sz w:val="28"/>
          <w:szCs w:val="28"/>
        </w:rPr>
        <w:t>..</w:t>
      </w:r>
      <w:r w:rsidR="002C2A82">
        <w:rPr>
          <w:rFonts w:ascii="Times New Roman" w:hAnsi="Times New Roman" w:cs="Times New Roman"/>
          <w:bCs/>
          <w:sz w:val="28"/>
          <w:szCs w:val="28"/>
        </w:rPr>
        <w:t>38</w:t>
      </w:r>
    </w:p>
    <w:p w:rsidR="00512976" w:rsidRPr="007F5722" w:rsidRDefault="00512976" w:rsidP="00512976">
      <w:pPr>
        <w:pStyle w:val="a8"/>
        <w:numPr>
          <w:ilvl w:val="1"/>
          <w:numId w:val="3"/>
        </w:numPr>
        <w:tabs>
          <w:tab w:val="left" w:pos="1134"/>
        </w:tabs>
        <w:spacing w:after="0" w:line="360" w:lineRule="auto"/>
        <w:jc w:val="both"/>
        <w:rPr>
          <w:rFonts w:ascii="Times New Roman" w:hAnsi="Times New Roman" w:cs="Times New Roman"/>
          <w:sz w:val="28"/>
          <w:szCs w:val="28"/>
        </w:rPr>
      </w:pPr>
      <w:r w:rsidRPr="007F5722">
        <w:rPr>
          <w:rFonts w:ascii="Times New Roman" w:hAnsi="Times New Roman" w:cs="Times New Roman"/>
          <w:bCs/>
          <w:sz w:val="28"/>
          <w:szCs w:val="28"/>
        </w:rPr>
        <w:t>Роль цитокінів у структурно-функціональній перебудові серця та судин при гіпертонічній хворобі, що асоційована з ожирінням</w:t>
      </w:r>
      <w:r w:rsidR="002C2A82">
        <w:rPr>
          <w:rFonts w:ascii="Times New Roman" w:hAnsi="Times New Roman" w:cs="Times New Roman"/>
          <w:sz w:val="28"/>
          <w:szCs w:val="28"/>
        </w:rPr>
        <w:t xml:space="preserve"> ………………50</w:t>
      </w:r>
    </w:p>
    <w:p w:rsidR="00512976" w:rsidRPr="002C2A82" w:rsidRDefault="00512976" w:rsidP="00512976">
      <w:pPr>
        <w:tabs>
          <w:tab w:val="left" w:pos="1134"/>
        </w:tabs>
        <w:spacing w:after="0" w:line="360" w:lineRule="auto"/>
        <w:jc w:val="both"/>
        <w:rPr>
          <w:rFonts w:ascii="Times New Roman" w:hAnsi="Times New Roman" w:cs="Times New Roman"/>
          <w:sz w:val="28"/>
          <w:szCs w:val="28"/>
          <w:lang w:val="ru-RU"/>
        </w:rPr>
      </w:pPr>
      <w:r w:rsidRPr="007F5722">
        <w:rPr>
          <w:rFonts w:ascii="Times New Roman" w:hAnsi="Times New Roman" w:cs="Times New Roman"/>
          <w:sz w:val="28"/>
          <w:szCs w:val="28"/>
        </w:rPr>
        <w:t>РОЗДІЛ 2. МАТЕРІАЛИ ТА МЕТОДИ ДОСЛІДЖЕНЬ……………….……</w:t>
      </w:r>
      <w:r w:rsidR="002C2A82">
        <w:rPr>
          <w:rFonts w:ascii="Times New Roman" w:hAnsi="Times New Roman" w:cs="Times New Roman"/>
          <w:sz w:val="28"/>
          <w:szCs w:val="28"/>
          <w:lang w:val="ru-RU"/>
        </w:rPr>
        <w:t>...60</w:t>
      </w:r>
    </w:p>
    <w:p w:rsidR="00512976" w:rsidRPr="007F5722" w:rsidRDefault="00512976" w:rsidP="00512976">
      <w:pPr>
        <w:pStyle w:val="a8"/>
        <w:numPr>
          <w:ilvl w:val="1"/>
          <w:numId w:val="2"/>
        </w:numPr>
        <w:tabs>
          <w:tab w:val="left" w:pos="709"/>
        </w:tabs>
        <w:spacing w:after="0" w:line="360" w:lineRule="auto"/>
        <w:ind w:hanging="1860"/>
        <w:jc w:val="both"/>
        <w:rPr>
          <w:rFonts w:ascii="Times New Roman" w:hAnsi="Times New Roman" w:cs="Times New Roman"/>
          <w:sz w:val="28"/>
          <w:szCs w:val="28"/>
        </w:rPr>
      </w:pPr>
      <w:r w:rsidRPr="007F5722">
        <w:rPr>
          <w:rFonts w:ascii="Times New Roman" w:hAnsi="Times New Roman" w:cs="Times New Roman"/>
          <w:sz w:val="28"/>
          <w:szCs w:val="28"/>
        </w:rPr>
        <w:t>Клінічна характ</w:t>
      </w:r>
      <w:r w:rsidR="002C2A82">
        <w:rPr>
          <w:rFonts w:ascii="Times New Roman" w:hAnsi="Times New Roman" w:cs="Times New Roman"/>
          <w:sz w:val="28"/>
          <w:szCs w:val="28"/>
        </w:rPr>
        <w:t>еристика хворих…………………………………………60</w:t>
      </w:r>
    </w:p>
    <w:p w:rsidR="00512976" w:rsidRPr="007F5722" w:rsidRDefault="00512976" w:rsidP="00512976">
      <w:pPr>
        <w:pStyle w:val="a8"/>
        <w:numPr>
          <w:ilvl w:val="1"/>
          <w:numId w:val="4"/>
        </w:numPr>
        <w:tabs>
          <w:tab w:val="left" w:pos="1134"/>
        </w:tabs>
        <w:spacing w:after="0" w:line="360" w:lineRule="auto"/>
        <w:jc w:val="both"/>
        <w:rPr>
          <w:rFonts w:ascii="Times New Roman" w:hAnsi="Times New Roman" w:cs="Times New Roman"/>
          <w:sz w:val="28"/>
          <w:szCs w:val="28"/>
        </w:rPr>
      </w:pPr>
      <w:r w:rsidRPr="007F5722">
        <w:rPr>
          <w:rFonts w:ascii="Times New Roman" w:hAnsi="Times New Roman" w:cs="Times New Roman"/>
          <w:sz w:val="28"/>
          <w:szCs w:val="28"/>
        </w:rPr>
        <w:t xml:space="preserve">     Методи дослідження…………………………………………….......</w:t>
      </w:r>
      <w:r w:rsidR="002C2A82">
        <w:rPr>
          <w:rFonts w:ascii="Times New Roman" w:hAnsi="Times New Roman" w:cs="Times New Roman"/>
          <w:sz w:val="28"/>
          <w:szCs w:val="28"/>
          <w:lang w:val="ru-RU"/>
        </w:rPr>
        <w:t>.......</w:t>
      </w:r>
      <w:r w:rsidRPr="007F5722">
        <w:rPr>
          <w:rFonts w:ascii="Times New Roman" w:hAnsi="Times New Roman" w:cs="Times New Roman"/>
          <w:sz w:val="28"/>
          <w:szCs w:val="28"/>
        </w:rPr>
        <w:t>.</w:t>
      </w:r>
      <w:r w:rsidR="002C2A82">
        <w:rPr>
          <w:rFonts w:ascii="Times New Roman" w:hAnsi="Times New Roman" w:cs="Times New Roman"/>
          <w:sz w:val="28"/>
          <w:szCs w:val="28"/>
          <w:lang w:val="ru-RU"/>
        </w:rPr>
        <w:t>67</w:t>
      </w:r>
    </w:p>
    <w:p w:rsidR="00512976" w:rsidRPr="002C2A82" w:rsidRDefault="00512976" w:rsidP="00512976">
      <w:pPr>
        <w:tabs>
          <w:tab w:val="left" w:pos="1134"/>
        </w:tabs>
        <w:spacing w:after="0" w:line="360" w:lineRule="auto"/>
        <w:jc w:val="both"/>
        <w:rPr>
          <w:rFonts w:ascii="Times New Roman" w:hAnsi="Times New Roman" w:cs="Times New Roman"/>
          <w:sz w:val="28"/>
          <w:szCs w:val="28"/>
          <w:lang w:val="ru-RU"/>
        </w:rPr>
      </w:pPr>
      <w:r w:rsidRPr="007F5722">
        <w:rPr>
          <w:rFonts w:ascii="Times New Roman" w:hAnsi="Times New Roman" w:cs="Times New Roman"/>
          <w:sz w:val="28"/>
          <w:szCs w:val="28"/>
        </w:rPr>
        <w:t>РОЗДІЛ 3. ВЛАСНІ ДОСЛІДЖЕННЯ…………………………………………</w:t>
      </w:r>
      <w:r w:rsidR="002C2A82">
        <w:rPr>
          <w:rFonts w:ascii="Times New Roman" w:hAnsi="Times New Roman" w:cs="Times New Roman"/>
          <w:sz w:val="28"/>
          <w:szCs w:val="28"/>
          <w:lang w:val="ru-RU"/>
        </w:rPr>
        <w:t>.76</w:t>
      </w:r>
    </w:p>
    <w:p w:rsidR="00512976" w:rsidRPr="002C2A82" w:rsidRDefault="00512976" w:rsidP="00512976">
      <w:pPr>
        <w:tabs>
          <w:tab w:val="left" w:pos="1134"/>
        </w:tabs>
        <w:spacing w:after="0" w:line="360" w:lineRule="auto"/>
        <w:jc w:val="both"/>
        <w:rPr>
          <w:rFonts w:ascii="Times New Roman" w:hAnsi="Times New Roman" w:cs="Times New Roman"/>
          <w:sz w:val="28"/>
          <w:szCs w:val="28"/>
        </w:rPr>
      </w:pPr>
      <w:r w:rsidRPr="007F5722">
        <w:rPr>
          <w:rFonts w:ascii="Times New Roman" w:hAnsi="Times New Roman" w:cs="Times New Roman"/>
          <w:sz w:val="28"/>
          <w:szCs w:val="28"/>
        </w:rPr>
        <w:t>3.1.  Інтерлейкін-22 у пацієнтів хворих на гіпертонічну хворобу з коморбідним ожирінням …………………………………………………………</w:t>
      </w:r>
      <w:r w:rsidR="002C2A82">
        <w:rPr>
          <w:rFonts w:ascii="Times New Roman" w:hAnsi="Times New Roman" w:cs="Times New Roman"/>
          <w:sz w:val="28"/>
          <w:szCs w:val="28"/>
        </w:rPr>
        <w:t>…</w:t>
      </w:r>
      <w:r w:rsidR="002C2A82" w:rsidRPr="002C2A82">
        <w:rPr>
          <w:rFonts w:ascii="Times New Roman" w:hAnsi="Times New Roman" w:cs="Times New Roman"/>
          <w:sz w:val="28"/>
          <w:szCs w:val="28"/>
        </w:rPr>
        <w:t>…………..76</w:t>
      </w:r>
    </w:p>
    <w:p w:rsidR="00512976" w:rsidRPr="007F5722" w:rsidRDefault="00512976" w:rsidP="00512976">
      <w:pPr>
        <w:tabs>
          <w:tab w:val="left" w:pos="1134"/>
        </w:tabs>
        <w:spacing w:after="0" w:line="360" w:lineRule="auto"/>
        <w:jc w:val="both"/>
        <w:rPr>
          <w:rFonts w:ascii="Times New Roman" w:hAnsi="Times New Roman" w:cs="Times New Roman"/>
          <w:sz w:val="28"/>
          <w:szCs w:val="28"/>
        </w:rPr>
      </w:pPr>
      <w:r w:rsidRPr="007F5722">
        <w:rPr>
          <w:rFonts w:ascii="Times New Roman" w:hAnsi="Times New Roman" w:cs="Times New Roman"/>
          <w:sz w:val="28"/>
          <w:szCs w:val="28"/>
        </w:rPr>
        <w:t xml:space="preserve">3.2.  </w:t>
      </w:r>
      <w:r w:rsidRPr="007F5722">
        <w:rPr>
          <w:rFonts w:ascii="Times New Roman" w:hAnsi="Times New Roman" w:cs="Times New Roman"/>
          <w:bCs/>
          <w:sz w:val="28"/>
          <w:szCs w:val="28"/>
        </w:rPr>
        <w:t>Базова оцінка ліпідного спектру натще та постпрандіально, аполіпопротеїну В у пацієнтів хворих на гіпертонічну хворобу з ожирінням: взаємозвязок з рівнем інтерлейкіну-22 …</w:t>
      </w:r>
      <w:r w:rsidR="002C2A82">
        <w:rPr>
          <w:rFonts w:ascii="Times New Roman" w:hAnsi="Times New Roman" w:cs="Times New Roman"/>
          <w:bCs/>
          <w:sz w:val="28"/>
          <w:szCs w:val="28"/>
        </w:rPr>
        <w:t>……………………………………</w:t>
      </w:r>
      <w:r w:rsidR="002C2A82" w:rsidRPr="002C2A82">
        <w:rPr>
          <w:rFonts w:ascii="Times New Roman" w:hAnsi="Times New Roman" w:cs="Times New Roman"/>
          <w:bCs/>
          <w:sz w:val="28"/>
          <w:szCs w:val="28"/>
        </w:rPr>
        <w:t>...94</w:t>
      </w:r>
    </w:p>
    <w:p w:rsidR="00512976" w:rsidRPr="002C2A82" w:rsidRDefault="00512976" w:rsidP="00512976">
      <w:pPr>
        <w:tabs>
          <w:tab w:val="left" w:pos="1134"/>
        </w:tabs>
        <w:spacing w:after="0" w:line="360" w:lineRule="auto"/>
        <w:jc w:val="both"/>
        <w:rPr>
          <w:rFonts w:ascii="Times New Roman" w:hAnsi="Times New Roman" w:cs="Times New Roman"/>
          <w:sz w:val="28"/>
          <w:szCs w:val="28"/>
        </w:rPr>
      </w:pPr>
      <w:r w:rsidRPr="007F5722">
        <w:rPr>
          <w:rFonts w:ascii="Times New Roman" w:hAnsi="Times New Roman" w:cs="Times New Roman"/>
          <w:sz w:val="28"/>
          <w:szCs w:val="28"/>
        </w:rPr>
        <w:t xml:space="preserve">3.3  </w:t>
      </w:r>
      <w:r w:rsidRPr="007F5722">
        <w:rPr>
          <w:rFonts w:ascii="Times New Roman" w:hAnsi="Times New Roman" w:cs="Times New Roman"/>
          <w:bCs/>
          <w:sz w:val="28"/>
          <w:szCs w:val="28"/>
        </w:rPr>
        <w:t>Плазматичний вміст інтерлейкіну-22, ремоделювання серця та судин у хворих на гіпертонічну хворобу з супутнім ожирінням</w:t>
      </w:r>
      <w:r w:rsidR="002C2A82">
        <w:rPr>
          <w:rFonts w:ascii="Times New Roman" w:hAnsi="Times New Roman" w:cs="Times New Roman"/>
          <w:sz w:val="28"/>
          <w:szCs w:val="28"/>
        </w:rPr>
        <w:t xml:space="preserve"> …………………</w:t>
      </w:r>
      <w:r w:rsidR="002C2A82" w:rsidRPr="002C2A82">
        <w:rPr>
          <w:rFonts w:ascii="Times New Roman" w:hAnsi="Times New Roman" w:cs="Times New Roman"/>
          <w:sz w:val="28"/>
          <w:szCs w:val="28"/>
        </w:rPr>
        <w:t>..</w:t>
      </w:r>
      <w:r w:rsidR="002C2A82">
        <w:rPr>
          <w:rFonts w:ascii="Times New Roman" w:hAnsi="Times New Roman" w:cs="Times New Roman"/>
          <w:sz w:val="28"/>
          <w:szCs w:val="28"/>
        </w:rPr>
        <w:t>…</w:t>
      </w:r>
      <w:r w:rsidR="002C2A82" w:rsidRPr="002C2A82">
        <w:rPr>
          <w:rFonts w:ascii="Times New Roman" w:hAnsi="Times New Roman" w:cs="Times New Roman"/>
          <w:sz w:val="28"/>
          <w:szCs w:val="28"/>
        </w:rPr>
        <w:t>108</w:t>
      </w:r>
    </w:p>
    <w:p w:rsidR="00512976" w:rsidRPr="002C2A82" w:rsidRDefault="00512976" w:rsidP="00512976">
      <w:pPr>
        <w:tabs>
          <w:tab w:val="left" w:pos="1134"/>
        </w:tabs>
        <w:spacing w:after="0" w:line="360" w:lineRule="auto"/>
        <w:jc w:val="both"/>
        <w:rPr>
          <w:rFonts w:ascii="Times New Roman" w:hAnsi="Times New Roman" w:cs="Times New Roman"/>
          <w:sz w:val="28"/>
          <w:szCs w:val="28"/>
          <w:lang w:val="ru-RU"/>
        </w:rPr>
      </w:pPr>
      <w:r w:rsidRPr="007F5722">
        <w:rPr>
          <w:rFonts w:ascii="Times New Roman" w:hAnsi="Times New Roman" w:cs="Times New Roman"/>
          <w:sz w:val="28"/>
          <w:szCs w:val="28"/>
        </w:rPr>
        <w:t>РОЗДІЛ 4. АНАЛІЗ ТА УЗАГАЛЬНЕННЯ РЕЗУЛЬТАТІВ ДОСЛ</w:t>
      </w:r>
      <w:r w:rsidR="002C2A82">
        <w:rPr>
          <w:rFonts w:ascii="Times New Roman" w:hAnsi="Times New Roman" w:cs="Times New Roman"/>
          <w:sz w:val="28"/>
          <w:szCs w:val="28"/>
        </w:rPr>
        <w:t>ІДЖЕННЯ………………………………………………………………</w:t>
      </w:r>
      <w:r w:rsidR="002C2A82">
        <w:rPr>
          <w:rFonts w:ascii="Times New Roman" w:hAnsi="Times New Roman" w:cs="Times New Roman"/>
          <w:sz w:val="28"/>
          <w:szCs w:val="28"/>
          <w:lang w:val="ru-RU"/>
        </w:rPr>
        <w:t>..122</w:t>
      </w:r>
    </w:p>
    <w:p w:rsidR="00512976" w:rsidRPr="007F5722" w:rsidRDefault="00512976" w:rsidP="00512976">
      <w:pPr>
        <w:tabs>
          <w:tab w:val="left" w:pos="1134"/>
        </w:tabs>
        <w:spacing w:after="0" w:line="360" w:lineRule="auto"/>
        <w:jc w:val="both"/>
        <w:rPr>
          <w:rFonts w:ascii="Times New Roman" w:hAnsi="Times New Roman" w:cs="Times New Roman"/>
          <w:sz w:val="28"/>
          <w:szCs w:val="28"/>
        </w:rPr>
      </w:pPr>
      <w:r w:rsidRPr="007F5722">
        <w:rPr>
          <w:rFonts w:ascii="Times New Roman" w:hAnsi="Times New Roman" w:cs="Times New Roman"/>
          <w:sz w:val="28"/>
          <w:szCs w:val="28"/>
        </w:rPr>
        <w:t>ВИСНО</w:t>
      </w:r>
      <w:r w:rsidR="002C2A82">
        <w:rPr>
          <w:rFonts w:ascii="Times New Roman" w:hAnsi="Times New Roman" w:cs="Times New Roman"/>
          <w:sz w:val="28"/>
          <w:szCs w:val="28"/>
        </w:rPr>
        <w:t>ВКИ…………………………………………………………………</w:t>
      </w:r>
      <w:r w:rsidR="002C2A82">
        <w:rPr>
          <w:rFonts w:ascii="Times New Roman" w:hAnsi="Times New Roman" w:cs="Times New Roman"/>
          <w:sz w:val="28"/>
          <w:szCs w:val="28"/>
          <w:lang w:val="ru-RU"/>
        </w:rPr>
        <w:t>.</w:t>
      </w:r>
      <w:r w:rsidR="002C2A82">
        <w:rPr>
          <w:rFonts w:ascii="Times New Roman" w:hAnsi="Times New Roman" w:cs="Times New Roman"/>
          <w:sz w:val="28"/>
          <w:szCs w:val="28"/>
        </w:rPr>
        <w:t>…141</w:t>
      </w:r>
    </w:p>
    <w:p w:rsidR="00512976" w:rsidRPr="007F5722" w:rsidRDefault="00512976" w:rsidP="00512976">
      <w:pPr>
        <w:tabs>
          <w:tab w:val="left" w:pos="1134"/>
        </w:tabs>
        <w:spacing w:after="0" w:line="360" w:lineRule="auto"/>
        <w:jc w:val="both"/>
        <w:rPr>
          <w:rFonts w:ascii="Times New Roman" w:hAnsi="Times New Roman" w:cs="Times New Roman"/>
          <w:sz w:val="28"/>
          <w:szCs w:val="28"/>
        </w:rPr>
      </w:pPr>
      <w:r w:rsidRPr="007F5722">
        <w:rPr>
          <w:rFonts w:ascii="Times New Roman" w:hAnsi="Times New Roman" w:cs="Times New Roman"/>
          <w:sz w:val="28"/>
          <w:szCs w:val="28"/>
        </w:rPr>
        <w:t>ПРАКТИЧНІ Р</w:t>
      </w:r>
      <w:r w:rsidR="002C2A82">
        <w:rPr>
          <w:rFonts w:ascii="Times New Roman" w:hAnsi="Times New Roman" w:cs="Times New Roman"/>
          <w:sz w:val="28"/>
          <w:szCs w:val="28"/>
        </w:rPr>
        <w:t>ЕКОМЕНДАЦІЇ ………………………………………………142</w:t>
      </w:r>
    </w:p>
    <w:p w:rsidR="00512976" w:rsidRPr="002C2A82" w:rsidRDefault="00512976" w:rsidP="00512976">
      <w:pPr>
        <w:tabs>
          <w:tab w:val="left" w:pos="1134"/>
        </w:tabs>
        <w:spacing w:after="0" w:line="360" w:lineRule="auto"/>
        <w:jc w:val="both"/>
        <w:rPr>
          <w:rFonts w:ascii="Times New Roman" w:hAnsi="Times New Roman" w:cs="Times New Roman"/>
          <w:sz w:val="28"/>
          <w:szCs w:val="28"/>
          <w:lang w:val="ru-RU"/>
        </w:rPr>
      </w:pPr>
      <w:r w:rsidRPr="007F5722">
        <w:rPr>
          <w:rFonts w:ascii="Times New Roman" w:hAnsi="Times New Roman" w:cs="Times New Roman"/>
          <w:sz w:val="28"/>
          <w:szCs w:val="28"/>
        </w:rPr>
        <w:t>СПИСОК ЛІТЕРАТУРИ ……………………………………………………</w:t>
      </w:r>
      <w:r w:rsidR="002C2A82">
        <w:rPr>
          <w:rFonts w:ascii="Times New Roman" w:hAnsi="Times New Roman" w:cs="Times New Roman"/>
          <w:sz w:val="28"/>
          <w:szCs w:val="28"/>
          <w:lang w:val="ru-RU"/>
        </w:rPr>
        <w:t>.</w:t>
      </w:r>
      <w:r w:rsidRPr="007F5722">
        <w:rPr>
          <w:rFonts w:ascii="Times New Roman" w:hAnsi="Times New Roman" w:cs="Times New Roman"/>
          <w:sz w:val="28"/>
          <w:szCs w:val="28"/>
        </w:rPr>
        <w:t>.</w:t>
      </w:r>
      <w:r w:rsidR="002C2A82">
        <w:rPr>
          <w:rFonts w:ascii="Times New Roman" w:hAnsi="Times New Roman" w:cs="Times New Roman"/>
          <w:sz w:val="28"/>
          <w:szCs w:val="28"/>
          <w:lang w:val="ru-RU"/>
        </w:rPr>
        <w:t>..144</w:t>
      </w:r>
    </w:p>
    <w:p w:rsidR="00512976" w:rsidRPr="007F5722" w:rsidRDefault="00512976" w:rsidP="00512976">
      <w:pPr>
        <w:spacing w:line="360" w:lineRule="auto"/>
        <w:jc w:val="both"/>
        <w:rPr>
          <w:rFonts w:ascii="Times New Roman" w:hAnsi="Times New Roman" w:cs="Times New Roman"/>
          <w:sz w:val="28"/>
          <w:szCs w:val="28"/>
        </w:rPr>
        <w:sectPr w:rsidR="00512976" w:rsidRPr="007F5722" w:rsidSect="007C0B93">
          <w:pgSz w:w="11906" w:h="16838"/>
          <w:pgMar w:top="1134" w:right="850" w:bottom="1134" w:left="1701" w:header="708" w:footer="708" w:gutter="0"/>
          <w:cols w:space="708"/>
          <w:docGrid w:linePitch="360"/>
        </w:sectPr>
      </w:pPr>
    </w:p>
    <w:p w:rsidR="006C52A0" w:rsidRPr="007F5722" w:rsidRDefault="00512976" w:rsidP="00512976">
      <w:pPr>
        <w:spacing w:line="360" w:lineRule="auto"/>
        <w:jc w:val="center"/>
        <w:rPr>
          <w:rFonts w:ascii="Times New Roman" w:hAnsi="Times New Roman" w:cs="Times New Roman"/>
          <w:b/>
          <w:sz w:val="28"/>
          <w:szCs w:val="28"/>
        </w:rPr>
      </w:pPr>
      <w:r w:rsidRPr="007F5722">
        <w:rPr>
          <w:rFonts w:ascii="Times New Roman" w:hAnsi="Times New Roman" w:cs="Times New Roman"/>
          <w:b/>
          <w:sz w:val="28"/>
          <w:szCs w:val="28"/>
        </w:rPr>
        <w:lastRenderedPageBreak/>
        <w:t>ПЕРЕЛІК УМОВНИХ ПОЗНАЧЕНЬ ТА СКОРОЧЕНЬ</w:t>
      </w:r>
    </w:p>
    <w:tbl>
      <w:tblP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263"/>
        <w:gridCol w:w="7082"/>
      </w:tblGrid>
      <w:tr w:rsidR="00512976" w:rsidRPr="007F5722" w:rsidTr="00CE74C1">
        <w:tc>
          <w:tcPr>
            <w:tcW w:w="2263" w:type="dxa"/>
          </w:tcPr>
          <w:p w:rsidR="00512976" w:rsidRPr="007F5722" w:rsidRDefault="00512976"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АГ</w:t>
            </w:r>
          </w:p>
        </w:tc>
        <w:tc>
          <w:tcPr>
            <w:tcW w:w="7082" w:type="dxa"/>
          </w:tcPr>
          <w:p w:rsidR="00512976" w:rsidRPr="007F5722" w:rsidRDefault="00512976"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 xml:space="preserve">Артеріальна гіпертензія </w:t>
            </w:r>
          </w:p>
        </w:tc>
      </w:tr>
      <w:tr w:rsidR="00512976" w:rsidRPr="007F5722" w:rsidTr="00CE74C1">
        <w:tc>
          <w:tcPr>
            <w:tcW w:w="2263" w:type="dxa"/>
          </w:tcPr>
          <w:p w:rsidR="00512976" w:rsidRPr="007F5722" w:rsidRDefault="00512976"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АО</w:t>
            </w:r>
          </w:p>
        </w:tc>
        <w:tc>
          <w:tcPr>
            <w:tcW w:w="7082" w:type="dxa"/>
          </w:tcPr>
          <w:p w:rsidR="00512976" w:rsidRPr="007F5722" w:rsidRDefault="00512976"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Абдомінальне ожиріння</w:t>
            </w:r>
          </w:p>
        </w:tc>
      </w:tr>
      <w:tr w:rsidR="00F97CB3" w:rsidRPr="007F5722" w:rsidTr="00CE74C1">
        <w:tc>
          <w:tcPr>
            <w:tcW w:w="2263" w:type="dxa"/>
          </w:tcPr>
          <w:p w:rsidR="00F97CB3" w:rsidRPr="007F5722" w:rsidRDefault="00F97CB3"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Апо В</w:t>
            </w:r>
          </w:p>
        </w:tc>
        <w:tc>
          <w:tcPr>
            <w:tcW w:w="7082" w:type="dxa"/>
          </w:tcPr>
          <w:p w:rsidR="00F97CB3" w:rsidRPr="007F5722" w:rsidRDefault="00F97CB3"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Аполіпопротеін В</w:t>
            </w:r>
          </w:p>
        </w:tc>
      </w:tr>
      <w:tr w:rsidR="00F97CB3" w:rsidRPr="007F5722" w:rsidTr="00CE74C1">
        <w:tc>
          <w:tcPr>
            <w:tcW w:w="2263" w:type="dxa"/>
          </w:tcPr>
          <w:p w:rsidR="00F97CB3" w:rsidRPr="007F5722" w:rsidRDefault="00F97CB3"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Апо(а)</w:t>
            </w:r>
          </w:p>
        </w:tc>
        <w:tc>
          <w:tcPr>
            <w:tcW w:w="7082" w:type="dxa"/>
          </w:tcPr>
          <w:p w:rsidR="00F97CB3" w:rsidRPr="007F5722" w:rsidRDefault="00F97CB3"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Аполіпопротеін а</w:t>
            </w:r>
          </w:p>
        </w:tc>
      </w:tr>
      <w:tr w:rsidR="00512976" w:rsidRPr="007F5722" w:rsidTr="00CE74C1">
        <w:tc>
          <w:tcPr>
            <w:tcW w:w="2263" w:type="dxa"/>
          </w:tcPr>
          <w:p w:rsidR="00512976" w:rsidRPr="007F5722" w:rsidRDefault="00512976"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АТ</w:t>
            </w:r>
          </w:p>
        </w:tc>
        <w:tc>
          <w:tcPr>
            <w:tcW w:w="7082" w:type="dxa"/>
          </w:tcPr>
          <w:p w:rsidR="00512976" w:rsidRPr="007F5722" w:rsidRDefault="00512976"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Артеріальний тиск</w:t>
            </w:r>
          </w:p>
        </w:tc>
      </w:tr>
      <w:tr w:rsidR="00F97CB3" w:rsidRPr="007F5722" w:rsidTr="00CE74C1">
        <w:tc>
          <w:tcPr>
            <w:tcW w:w="2263" w:type="dxa"/>
          </w:tcPr>
          <w:p w:rsidR="00F97CB3" w:rsidRPr="007F5722" w:rsidRDefault="00F97CB3"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ВЖК</w:t>
            </w:r>
          </w:p>
        </w:tc>
        <w:tc>
          <w:tcPr>
            <w:tcW w:w="7082" w:type="dxa"/>
          </w:tcPr>
          <w:p w:rsidR="00F97CB3" w:rsidRPr="007F5722" w:rsidRDefault="00F97CB3"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Вільні жирні кислоти</w:t>
            </w:r>
          </w:p>
        </w:tc>
      </w:tr>
      <w:tr w:rsidR="00512976" w:rsidRPr="007F5722" w:rsidTr="00CE74C1">
        <w:tc>
          <w:tcPr>
            <w:tcW w:w="2263" w:type="dxa"/>
          </w:tcPr>
          <w:p w:rsidR="00512976" w:rsidRPr="007F5722" w:rsidRDefault="00512976"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ВООЗ</w:t>
            </w:r>
          </w:p>
        </w:tc>
        <w:tc>
          <w:tcPr>
            <w:tcW w:w="7082" w:type="dxa"/>
          </w:tcPr>
          <w:p w:rsidR="00512976" w:rsidRPr="007F5722" w:rsidRDefault="00512976"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 xml:space="preserve">Всесвітня організація охорони здоровя </w:t>
            </w:r>
          </w:p>
        </w:tc>
      </w:tr>
      <w:tr w:rsidR="00F97CB3" w:rsidRPr="007F5722" w:rsidTr="00CE74C1">
        <w:tc>
          <w:tcPr>
            <w:tcW w:w="2263" w:type="dxa"/>
          </w:tcPr>
          <w:p w:rsidR="00F97CB3" w:rsidRPr="007F5722" w:rsidRDefault="00F97CB3"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ГМЛШ</w:t>
            </w:r>
          </w:p>
        </w:tc>
        <w:tc>
          <w:tcPr>
            <w:tcW w:w="7082" w:type="dxa"/>
          </w:tcPr>
          <w:p w:rsidR="00F97CB3" w:rsidRPr="007F5722" w:rsidRDefault="00D57BB9"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Гіпертрофія міокарда лівого шлуночка</w:t>
            </w:r>
          </w:p>
        </w:tc>
      </w:tr>
      <w:tr w:rsidR="00F97CB3" w:rsidRPr="007F5722" w:rsidTr="00CE74C1">
        <w:tc>
          <w:tcPr>
            <w:tcW w:w="2263" w:type="dxa"/>
          </w:tcPr>
          <w:p w:rsidR="00F97CB3" w:rsidRPr="007F5722" w:rsidRDefault="00F97CB3"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ГПІ</w:t>
            </w:r>
          </w:p>
        </w:tc>
        <w:tc>
          <w:tcPr>
            <w:tcW w:w="7082" w:type="dxa"/>
          </w:tcPr>
          <w:p w:rsidR="00F97CB3" w:rsidRPr="007F5722" w:rsidRDefault="00D57BB9"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Гомілково-плечовий індекс</w:t>
            </w:r>
          </w:p>
        </w:tc>
      </w:tr>
      <w:tr w:rsidR="00512976" w:rsidRPr="007F5722" w:rsidTr="00CE74C1">
        <w:tc>
          <w:tcPr>
            <w:tcW w:w="2263" w:type="dxa"/>
          </w:tcPr>
          <w:p w:rsidR="00512976" w:rsidRPr="007F5722" w:rsidRDefault="00512976"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Г</w:t>
            </w:r>
            <w:r w:rsidR="007C6BE0" w:rsidRPr="007F5722">
              <w:rPr>
                <w:rFonts w:ascii="Times New Roman" w:hAnsi="Times New Roman" w:cs="Times New Roman"/>
                <w:sz w:val="28"/>
                <w:szCs w:val="28"/>
              </w:rPr>
              <w:t>Х</w:t>
            </w:r>
          </w:p>
        </w:tc>
        <w:tc>
          <w:tcPr>
            <w:tcW w:w="7082" w:type="dxa"/>
          </w:tcPr>
          <w:p w:rsidR="00512976" w:rsidRPr="007F5722" w:rsidRDefault="00512976"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Гіпертонічна хвороба</w:t>
            </w:r>
          </w:p>
        </w:tc>
      </w:tr>
      <w:tr w:rsidR="00512976" w:rsidRPr="007F5722" w:rsidTr="00CE74C1">
        <w:tc>
          <w:tcPr>
            <w:tcW w:w="2263" w:type="dxa"/>
          </w:tcPr>
          <w:p w:rsidR="00512976" w:rsidRPr="007F5722" w:rsidRDefault="00512976"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ДАТ</w:t>
            </w:r>
          </w:p>
        </w:tc>
        <w:tc>
          <w:tcPr>
            <w:tcW w:w="7082" w:type="dxa"/>
          </w:tcPr>
          <w:p w:rsidR="00512976" w:rsidRPr="007F5722" w:rsidRDefault="00512976"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Діастолічний артеріальний тиск</w:t>
            </w:r>
          </w:p>
        </w:tc>
      </w:tr>
      <w:tr w:rsidR="00F97CB3" w:rsidRPr="007F5722" w:rsidTr="00CE74C1">
        <w:tc>
          <w:tcPr>
            <w:tcW w:w="2263" w:type="dxa"/>
          </w:tcPr>
          <w:p w:rsidR="00F97CB3" w:rsidRPr="007F5722" w:rsidRDefault="00F97CB3"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ЕхоКГ</w:t>
            </w:r>
          </w:p>
        </w:tc>
        <w:tc>
          <w:tcPr>
            <w:tcW w:w="7082" w:type="dxa"/>
          </w:tcPr>
          <w:p w:rsidR="00F97CB3" w:rsidRPr="007F5722" w:rsidRDefault="00D57BB9"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Ехокардіографія</w:t>
            </w:r>
          </w:p>
        </w:tc>
      </w:tr>
      <w:tr w:rsidR="00F97CB3" w:rsidRPr="007F5722" w:rsidTr="00CE74C1">
        <w:tc>
          <w:tcPr>
            <w:tcW w:w="2263" w:type="dxa"/>
          </w:tcPr>
          <w:p w:rsidR="00F97CB3" w:rsidRPr="007F5722" w:rsidRDefault="00F97CB3"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ЄТА</w:t>
            </w:r>
          </w:p>
        </w:tc>
        <w:tc>
          <w:tcPr>
            <w:tcW w:w="7082" w:type="dxa"/>
          </w:tcPr>
          <w:p w:rsidR="00F97CB3" w:rsidRPr="007F5722" w:rsidRDefault="00D57BB9" w:rsidP="00D57BB9">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Європейське товариство атеросклерозу</w:t>
            </w:r>
          </w:p>
        </w:tc>
      </w:tr>
      <w:tr w:rsidR="00F97CB3" w:rsidRPr="007F5722" w:rsidTr="00CE74C1">
        <w:tc>
          <w:tcPr>
            <w:tcW w:w="2263" w:type="dxa"/>
          </w:tcPr>
          <w:p w:rsidR="00F97CB3" w:rsidRPr="007F5722" w:rsidRDefault="00F97CB3"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ЄТК</w:t>
            </w:r>
          </w:p>
        </w:tc>
        <w:tc>
          <w:tcPr>
            <w:tcW w:w="7082" w:type="dxa"/>
          </w:tcPr>
          <w:p w:rsidR="00F97CB3" w:rsidRPr="007F5722" w:rsidRDefault="00D57BB9"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Європейське товариство кардіологів</w:t>
            </w:r>
          </w:p>
        </w:tc>
      </w:tr>
      <w:tr w:rsidR="00512976" w:rsidRPr="007F5722" w:rsidTr="00CE74C1">
        <w:tc>
          <w:tcPr>
            <w:tcW w:w="2263" w:type="dxa"/>
          </w:tcPr>
          <w:p w:rsidR="00512976" w:rsidRPr="007F5722" w:rsidRDefault="00512976"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ЖН</w:t>
            </w:r>
          </w:p>
        </w:tc>
        <w:tc>
          <w:tcPr>
            <w:tcW w:w="7082" w:type="dxa"/>
          </w:tcPr>
          <w:p w:rsidR="00512976" w:rsidRPr="007F5722" w:rsidRDefault="00512976"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Жирове навантаження</w:t>
            </w:r>
          </w:p>
        </w:tc>
      </w:tr>
      <w:tr w:rsidR="00F97CB3" w:rsidRPr="007F5722" w:rsidTr="00CE74C1">
        <w:tc>
          <w:tcPr>
            <w:tcW w:w="2263" w:type="dxa"/>
          </w:tcPr>
          <w:p w:rsidR="00F97CB3" w:rsidRPr="007F5722" w:rsidRDefault="00F97CB3"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ЗСА</w:t>
            </w:r>
          </w:p>
        </w:tc>
        <w:tc>
          <w:tcPr>
            <w:tcW w:w="7082" w:type="dxa"/>
          </w:tcPr>
          <w:p w:rsidR="00F97CB3" w:rsidRPr="007F5722" w:rsidRDefault="00D57BB9"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Загальна сонна артерія</w:t>
            </w:r>
          </w:p>
        </w:tc>
      </w:tr>
      <w:tr w:rsidR="00512976" w:rsidRPr="007F5722" w:rsidTr="00CE74C1">
        <w:tc>
          <w:tcPr>
            <w:tcW w:w="2263" w:type="dxa"/>
          </w:tcPr>
          <w:p w:rsidR="00512976" w:rsidRPr="007F5722" w:rsidRDefault="00512976"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ЗХС</w:t>
            </w:r>
          </w:p>
        </w:tc>
        <w:tc>
          <w:tcPr>
            <w:tcW w:w="7082" w:type="dxa"/>
          </w:tcPr>
          <w:p w:rsidR="00512976" w:rsidRPr="007F5722" w:rsidRDefault="00512976"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Загальний холестерин</w:t>
            </w:r>
          </w:p>
        </w:tc>
      </w:tr>
      <w:tr w:rsidR="00512976" w:rsidRPr="007F5722" w:rsidTr="00CE74C1">
        <w:tc>
          <w:tcPr>
            <w:tcW w:w="2263" w:type="dxa"/>
          </w:tcPr>
          <w:p w:rsidR="00512976" w:rsidRPr="007F5722" w:rsidRDefault="00512976"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ІЛ-22</w:t>
            </w:r>
          </w:p>
        </w:tc>
        <w:tc>
          <w:tcPr>
            <w:tcW w:w="7082" w:type="dxa"/>
          </w:tcPr>
          <w:p w:rsidR="00512976" w:rsidRPr="007F5722" w:rsidRDefault="00512976"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Інтерлейкін-22</w:t>
            </w:r>
          </w:p>
        </w:tc>
      </w:tr>
      <w:tr w:rsidR="00F97CB3" w:rsidRPr="007F5722" w:rsidTr="00CE74C1">
        <w:tc>
          <w:tcPr>
            <w:tcW w:w="2263" w:type="dxa"/>
          </w:tcPr>
          <w:p w:rsidR="00F97CB3" w:rsidRPr="007F5722" w:rsidRDefault="00F97CB3" w:rsidP="00CE74C1">
            <w:pPr>
              <w:spacing w:after="0" w:line="360" w:lineRule="auto"/>
              <w:rPr>
                <w:rFonts w:ascii="Times New Roman" w:hAnsi="Times New Roman" w:cs="Times New Roman"/>
                <w:sz w:val="28"/>
                <w:szCs w:val="28"/>
                <w:vertAlign w:val="superscript"/>
              </w:rPr>
            </w:pPr>
            <w:r w:rsidRPr="007F5722">
              <w:rPr>
                <w:rFonts w:ascii="Times New Roman" w:hAnsi="Times New Roman" w:cs="Times New Roman"/>
                <w:sz w:val="28"/>
                <w:szCs w:val="28"/>
              </w:rPr>
              <w:t>ІММЛШз</w:t>
            </w:r>
            <w:r w:rsidRPr="007F5722">
              <w:rPr>
                <w:rFonts w:ascii="Times New Roman" w:hAnsi="Times New Roman" w:cs="Times New Roman"/>
                <w:sz w:val="28"/>
                <w:szCs w:val="28"/>
                <w:vertAlign w:val="superscript"/>
              </w:rPr>
              <w:t>2,7</w:t>
            </w:r>
          </w:p>
        </w:tc>
        <w:tc>
          <w:tcPr>
            <w:tcW w:w="7082" w:type="dxa"/>
          </w:tcPr>
          <w:p w:rsidR="00F97CB3" w:rsidRPr="007F5722" w:rsidRDefault="00D57BB9"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Індекс маси міокарда лівого шлуночка за зростом</w:t>
            </w:r>
          </w:p>
        </w:tc>
      </w:tr>
      <w:tr w:rsidR="00512976" w:rsidRPr="007F5722" w:rsidTr="00CE74C1">
        <w:tc>
          <w:tcPr>
            <w:tcW w:w="2263" w:type="dxa"/>
          </w:tcPr>
          <w:p w:rsidR="00512976" w:rsidRPr="007F5722" w:rsidRDefault="00512976"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ІМТ</w:t>
            </w:r>
          </w:p>
        </w:tc>
        <w:tc>
          <w:tcPr>
            <w:tcW w:w="7082" w:type="dxa"/>
          </w:tcPr>
          <w:p w:rsidR="00512976" w:rsidRPr="007F5722" w:rsidRDefault="00512976"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Індекс маси тіла</w:t>
            </w:r>
          </w:p>
        </w:tc>
      </w:tr>
      <w:tr w:rsidR="00F97CB3" w:rsidRPr="007F5722" w:rsidTr="00CE74C1">
        <w:tc>
          <w:tcPr>
            <w:tcW w:w="2263" w:type="dxa"/>
          </w:tcPr>
          <w:p w:rsidR="00F97CB3" w:rsidRPr="007F5722" w:rsidRDefault="00F97CB3"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ІР</w:t>
            </w:r>
          </w:p>
        </w:tc>
        <w:tc>
          <w:tcPr>
            <w:tcW w:w="7082" w:type="dxa"/>
          </w:tcPr>
          <w:p w:rsidR="00F97CB3" w:rsidRPr="007F5722" w:rsidRDefault="00D57BB9"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Інсулінорезистентність</w:t>
            </w:r>
          </w:p>
        </w:tc>
      </w:tr>
      <w:tr w:rsidR="00F97CB3" w:rsidRPr="007F5722" w:rsidTr="00CE74C1">
        <w:tc>
          <w:tcPr>
            <w:tcW w:w="2263" w:type="dxa"/>
          </w:tcPr>
          <w:p w:rsidR="00F97CB3" w:rsidRPr="007F5722" w:rsidRDefault="00F97CB3"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ІФН-ɣ</w:t>
            </w:r>
          </w:p>
        </w:tc>
        <w:tc>
          <w:tcPr>
            <w:tcW w:w="7082" w:type="dxa"/>
          </w:tcPr>
          <w:p w:rsidR="00F97CB3" w:rsidRPr="007F5722" w:rsidRDefault="00D57BB9"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Інтерферон-гамма</w:t>
            </w:r>
          </w:p>
        </w:tc>
      </w:tr>
      <w:tr w:rsidR="00512976" w:rsidRPr="007F5722" w:rsidTr="00CE74C1">
        <w:tc>
          <w:tcPr>
            <w:tcW w:w="2263" w:type="dxa"/>
          </w:tcPr>
          <w:p w:rsidR="00512976" w:rsidRPr="007F5722" w:rsidRDefault="00512976"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ІХС</w:t>
            </w:r>
          </w:p>
        </w:tc>
        <w:tc>
          <w:tcPr>
            <w:tcW w:w="7082" w:type="dxa"/>
          </w:tcPr>
          <w:p w:rsidR="00512976" w:rsidRPr="007F5722" w:rsidRDefault="00512976"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Ішемічна хвороба серця</w:t>
            </w:r>
          </w:p>
        </w:tc>
      </w:tr>
      <w:tr w:rsidR="00512976" w:rsidRPr="007F5722" w:rsidTr="00CE74C1">
        <w:tc>
          <w:tcPr>
            <w:tcW w:w="2263" w:type="dxa"/>
          </w:tcPr>
          <w:p w:rsidR="00512976" w:rsidRPr="007F5722" w:rsidRDefault="00512976"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КА</w:t>
            </w:r>
          </w:p>
        </w:tc>
        <w:tc>
          <w:tcPr>
            <w:tcW w:w="7082" w:type="dxa"/>
          </w:tcPr>
          <w:p w:rsidR="00512976" w:rsidRPr="007F5722" w:rsidRDefault="00512976"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Коефіцієнт атерогенності</w:t>
            </w:r>
          </w:p>
        </w:tc>
      </w:tr>
      <w:tr w:rsidR="00F97CB3" w:rsidRPr="007F5722" w:rsidTr="00CE74C1">
        <w:tc>
          <w:tcPr>
            <w:tcW w:w="2263" w:type="dxa"/>
          </w:tcPr>
          <w:p w:rsidR="00F97CB3" w:rsidRPr="007F5722" w:rsidRDefault="00F97CB3"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КДО</w:t>
            </w:r>
          </w:p>
        </w:tc>
        <w:tc>
          <w:tcPr>
            <w:tcW w:w="7082" w:type="dxa"/>
          </w:tcPr>
          <w:p w:rsidR="00F97CB3" w:rsidRPr="007F5722" w:rsidRDefault="00D57BB9"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Кінцевий діастолічний</w:t>
            </w:r>
            <w:r w:rsidR="00617F48" w:rsidRPr="007F5722">
              <w:rPr>
                <w:rFonts w:ascii="Times New Roman" w:hAnsi="Times New Roman" w:cs="Times New Roman"/>
                <w:sz w:val="28"/>
                <w:szCs w:val="28"/>
              </w:rPr>
              <w:t xml:space="preserve"> об</w:t>
            </w:r>
            <w:r w:rsidR="00617F48" w:rsidRPr="007F5722">
              <w:rPr>
                <w:rFonts w:ascii="Times New Roman" w:hAnsi="Times New Roman" w:cs="Times New Roman"/>
                <w:sz w:val="28"/>
                <w:szCs w:val="28"/>
                <w:lang w:val="en-US"/>
              </w:rPr>
              <w:t>’</w:t>
            </w:r>
            <w:r w:rsidR="00617F48" w:rsidRPr="007F5722">
              <w:rPr>
                <w:rFonts w:ascii="Times New Roman" w:hAnsi="Times New Roman" w:cs="Times New Roman"/>
                <w:sz w:val="28"/>
                <w:szCs w:val="28"/>
              </w:rPr>
              <w:t xml:space="preserve">єм </w:t>
            </w:r>
          </w:p>
        </w:tc>
      </w:tr>
      <w:tr w:rsidR="00F97CB3" w:rsidRPr="007F5722" w:rsidTr="00CE74C1">
        <w:tc>
          <w:tcPr>
            <w:tcW w:w="2263" w:type="dxa"/>
          </w:tcPr>
          <w:p w:rsidR="00F97CB3" w:rsidRPr="007F5722" w:rsidRDefault="00F97CB3"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КДР</w:t>
            </w:r>
          </w:p>
        </w:tc>
        <w:tc>
          <w:tcPr>
            <w:tcW w:w="7082" w:type="dxa"/>
          </w:tcPr>
          <w:p w:rsidR="00F97CB3" w:rsidRPr="007F5722" w:rsidRDefault="00CC6580" w:rsidP="00CE74C1">
            <w:pPr>
              <w:spacing w:after="0" w:line="360" w:lineRule="auto"/>
              <w:rPr>
                <w:rFonts w:ascii="Times New Roman" w:hAnsi="Times New Roman" w:cs="Times New Roman"/>
                <w:sz w:val="28"/>
                <w:szCs w:val="28"/>
              </w:rPr>
            </w:pPr>
            <w:r>
              <w:rPr>
                <w:rFonts w:ascii="Times New Roman" w:hAnsi="Times New Roman" w:cs="Times New Roman"/>
                <w:sz w:val="28"/>
                <w:szCs w:val="28"/>
              </w:rPr>
              <w:t>Кінцевий діастолічний розмір</w:t>
            </w:r>
          </w:p>
        </w:tc>
      </w:tr>
      <w:tr w:rsidR="00F97CB3" w:rsidRPr="007F5722" w:rsidTr="00CE74C1">
        <w:tc>
          <w:tcPr>
            <w:tcW w:w="2263" w:type="dxa"/>
          </w:tcPr>
          <w:p w:rsidR="00F97CB3" w:rsidRPr="007F5722" w:rsidRDefault="00F97CB3"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КІМ</w:t>
            </w:r>
          </w:p>
        </w:tc>
        <w:tc>
          <w:tcPr>
            <w:tcW w:w="7082" w:type="dxa"/>
          </w:tcPr>
          <w:p w:rsidR="00F97CB3" w:rsidRPr="007F5722" w:rsidRDefault="00617F48"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Комплекс інтима-медіа</w:t>
            </w:r>
          </w:p>
        </w:tc>
      </w:tr>
      <w:tr w:rsidR="00F97CB3" w:rsidRPr="007F5722" w:rsidTr="00CE74C1">
        <w:tc>
          <w:tcPr>
            <w:tcW w:w="2263" w:type="dxa"/>
          </w:tcPr>
          <w:p w:rsidR="00F97CB3" w:rsidRPr="007F5722" w:rsidRDefault="00F97CB3"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lastRenderedPageBreak/>
              <w:t>КСО</w:t>
            </w:r>
          </w:p>
        </w:tc>
        <w:tc>
          <w:tcPr>
            <w:tcW w:w="7082" w:type="dxa"/>
          </w:tcPr>
          <w:p w:rsidR="00F97CB3" w:rsidRPr="007F5722" w:rsidRDefault="00617F48"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Кінцевий систолічний об</w:t>
            </w:r>
            <w:r w:rsidRPr="007F5722">
              <w:rPr>
                <w:rFonts w:ascii="Times New Roman" w:hAnsi="Times New Roman" w:cs="Times New Roman"/>
                <w:sz w:val="28"/>
                <w:szCs w:val="28"/>
                <w:lang w:val="en-US"/>
              </w:rPr>
              <w:t>’</w:t>
            </w:r>
            <w:r w:rsidRPr="007F5722">
              <w:rPr>
                <w:rFonts w:ascii="Times New Roman" w:hAnsi="Times New Roman" w:cs="Times New Roman"/>
                <w:sz w:val="28"/>
                <w:szCs w:val="28"/>
              </w:rPr>
              <w:t>єм</w:t>
            </w:r>
          </w:p>
        </w:tc>
      </w:tr>
      <w:tr w:rsidR="00F97CB3" w:rsidRPr="007F5722" w:rsidTr="00CE74C1">
        <w:tc>
          <w:tcPr>
            <w:tcW w:w="2263" w:type="dxa"/>
          </w:tcPr>
          <w:p w:rsidR="00F97CB3" w:rsidRPr="007F5722" w:rsidRDefault="00F97CB3"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КСР</w:t>
            </w:r>
          </w:p>
        </w:tc>
        <w:tc>
          <w:tcPr>
            <w:tcW w:w="7082" w:type="dxa"/>
          </w:tcPr>
          <w:p w:rsidR="00F97CB3" w:rsidRPr="007F5722" w:rsidRDefault="00617F48"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Кінцевий систолічний розмір</w:t>
            </w:r>
          </w:p>
        </w:tc>
      </w:tr>
      <w:tr w:rsidR="00F97CB3" w:rsidRPr="007F5722" w:rsidTr="00CE74C1">
        <w:tc>
          <w:tcPr>
            <w:tcW w:w="2263" w:type="dxa"/>
          </w:tcPr>
          <w:p w:rsidR="00F97CB3" w:rsidRPr="007F5722" w:rsidRDefault="00F97CB3"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ЛШ</w:t>
            </w:r>
          </w:p>
        </w:tc>
        <w:tc>
          <w:tcPr>
            <w:tcW w:w="7082" w:type="dxa"/>
          </w:tcPr>
          <w:p w:rsidR="00F97CB3" w:rsidRPr="007F5722" w:rsidRDefault="00617F48"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Лівий шлуночок</w:t>
            </w:r>
          </w:p>
        </w:tc>
      </w:tr>
      <w:tr w:rsidR="00F97CB3" w:rsidRPr="007F5722" w:rsidTr="00CE74C1">
        <w:tc>
          <w:tcPr>
            <w:tcW w:w="2263" w:type="dxa"/>
          </w:tcPr>
          <w:p w:rsidR="00F97CB3" w:rsidRPr="007F5722" w:rsidRDefault="00F97CB3"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ММЛШ</w:t>
            </w:r>
          </w:p>
        </w:tc>
        <w:tc>
          <w:tcPr>
            <w:tcW w:w="7082" w:type="dxa"/>
          </w:tcPr>
          <w:p w:rsidR="00F97CB3" w:rsidRPr="007F5722" w:rsidRDefault="00617F48"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Маса міокарда лівого шлуночка</w:t>
            </w:r>
          </w:p>
        </w:tc>
      </w:tr>
      <w:tr w:rsidR="00F97CB3" w:rsidRPr="007F5722" w:rsidTr="00CE74C1">
        <w:tc>
          <w:tcPr>
            <w:tcW w:w="2263" w:type="dxa"/>
          </w:tcPr>
          <w:p w:rsidR="00F97CB3" w:rsidRPr="007F5722" w:rsidRDefault="00F97CB3"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МС</w:t>
            </w:r>
          </w:p>
        </w:tc>
        <w:tc>
          <w:tcPr>
            <w:tcW w:w="7082" w:type="dxa"/>
          </w:tcPr>
          <w:p w:rsidR="00F97CB3" w:rsidRPr="007F5722" w:rsidRDefault="00617F48"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Метаболічний синдром</w:t>
            </w:r>
          </w:p>
        </w:tc>
      </w:tr>
      <w:tr w:rsidR="00512976" w:rsidRPr="007F5722" w:rsidTr="00CE74C1">
        <w:tc>
          <w:tcPr>
            <w:tcW w:w="2263" w:type="dxa"/>
          </w:tcPr>
          <w:p w:rsidR="00512976" w:rsidRPr="007F5722" w:rsidRDefault="00512976"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ОС</w:t>
            </w:r>
          </w:p>
        </w:tc>
        <w:tc>
          <w:tcPr>
            <w:tcW w:w="7082" w:type="dxa"/>
          </w:tcPr>
          <w:p w:rsidR="00512976" w:rsidRPr="007F5722" w:rsidRDefault="00512976"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Окружність стегон</w:t>
            </w:r>
          </w:p>
        </w:tc>
      </w:tr>
      <w:tr w:rsidR="00512976" w:rsidRPr="007F5722" w:rsidTr="00CE74C1">
        <w:tc>
          <w:tcPr>
            <w:tcW w:w="2263" w:type="dxa"/>
          </w:tcPr>
          <w:p w:rsidR="00512976" w:rsidRPr="007F5722" w:rsidRDefault="00512976"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ОТ</w:t>
            </w:r>
          </w:p>
        </w:tc>
        <w:tc>
          <w:tcPr>
            <w:tcW w:w="7082" w:type="dxa"/>
          </w:tcPr>
          <w:p w:rsidR="00512976" w:rsidRPr="007F5722" w:rsidRDefault="00512976"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Окружність талії</w:t>
            </w:r>
          </w:p>
        </w:tc>
      </w:tr>
      <w:tr w:rsidR="00512976" w:rsidRPr="007F5722" w:rsidTr="00CE74C1">
        <w:tc>
          <w:tcPr>
            <w:tcW w:w="2263" w:type="dxa"/>
          </w:tcPr>
          <w:p w:rsidR="00512976" w:rsidRPr="007F5722" w:rsidRDefault="00512976"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ОТ/ОС</w:t>
            </w:r>
          </w:p>
        </w:tc>
        <w:tc>
          <w:tcPr>
            <w:tcW w:w="7082" w:type="dxa"/>
          </w:tcPr>
          <w:p w:rsidR="00512976" w:rsidRPr="007F5722" w:rsidRDefault="00512976"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 xml:space="preserve">Співвідношення окружність талії/окружність стегон </w:t>
            </w:r>
          </w:p>
        </w:tc>
      </w:tr>
      <w:tr w:rsidR="00512976" w:rsidRPr="007F5722" w:rsidTr="00CE74C1">
        <w:tc>
          <w:tcPr>
            <w:tcW w:w="2263" w:type="dxa"/>
          </w:tcPr>
          <w:p w:rsidR="00512976" w:rsidRPr="007F5722" w:rsidRDefault="00512976"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ПАТ</w:t>
            </w:r>
          </w:p>
        </w:tc>
        <w:tc>
          <w:tcPr>
            <w:tcW w:w="7082" w:type="dxa"/>
          </w:tcPr>
          <w:p w:rsidR="00512976" w:rsidRPr="007F5722" w:rsidRDefault="00512976"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Пульсовий артеріальний тиск</w:t>
            </w:r>
          </w:p>
        </w:tc>
      </w:tr>
      <w:tr w:rsidR="00F97CB3" w:rsidRPr="007F5722" w:rsidTr="00CE74C1">
        <w:tc>
          <w:tcPr>
            <w:tcW w:w="2263" w:type="dxa"/>
          </w:tcPr>
          <w:p w:rsidR="00F97CB3" w:rsidRPr="007F5722" w:rsidRDefault="00F97CB3"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ППТ</w:t>
            </w:r>
          </w:p>
        </w:tc>
        <w:tc>
          <w:tcPr>
            <w:tcW w:w="7082" w:type="dxa"/>
          </w:tcPr>
          <w:p w:rsidR="00F97CB3" w:rsidRPr="007F5722" w:rsidRDefault="00617F48"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Площа поверхні тіла</w:t>
            </w:r>
          </w:p>
        </w:tc>
      </w:tr>
      <w:tr w:rsidR="00F97CB3" w:rsidRPr="007F5722" w:rsidTr="00CE74C1">
        <w:tc>
          <w:tcPr>
            <w:tcW w:w="2263" w:type="dxa"/>
          </w:tcPr>
          <w:p w:rsidR="00F97CB3" w:rsidRPr="007F5722" w:rsidRDefault="00F97CB3"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РААС</w:t>
            </w:r>
          </w:p>
        </w:tc>
        <w:tc>
          <w:tcPr>
            <w:tcW w:w="7082" w:type="dxa"/>
          </w:tcPr>
          <w:p w:rsidR="00F97CB3" w:rsidRPr="007F5722" w:rsidRDefault="00617F48"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Ренін-ангіотензинова система</w:t>
            </w:r>
          </w:p>
        </w:tc>
      </w:tr>
      <w:tr w:rsidR="00F97CB3" w:rsidRPr="007F5722" w:rsidTr="00CE74C1">
        <w:tc>
          <w:tcPr>
            <w:tcW w:w="2263" w:type="dxa"/>
          </w:tcPr>
          <w:p w:rsidR="00F97CB3" w:rsidRPr="007F5722" w:rsidRDefault="00F97CB3"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САС</w:t>
            </w:r>
          </w:p>
        </w:tc>
        <w:tc>
          <w:tcPr>
            <w:tcW w:w="7082" w:type="dxa"/>
          </w:tcPr>
          <w:p w:rsidR="00F97CB3" w:rsidRPr="007F5722" w:rsidRDefault="00617F48"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Симпато-адреналова система</w:t>
            </w:r>
          </w:p>
        </w:tc>
      </w:tr>
      <w:tr w:rsidR="00512976" w:rsidRPr="007F5722" w:rsidTr="00CE74C1">
        <w:tc>
          <w:tcPr>
            <w:tcW w:w="2263" w:type="dxa"/>
          </w:tcPr>
          <w:p w:rsidR="00512976" w:rsidRPr="007F5722" w:rsidRDefault="00512976"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САТ</w:t>
            </w:r>
          </w:p>
        </w:tc>
        <w:tc>
          <w:tcPr>
            <w:tcW w:w="7082" w:type="dxa"/>
          </w:tcPr>
          <w:p w:rsidR="00512976" w:rsidRPr="007F5722" w:rsidRDefault="00512976"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Систолічний артеріальний тиск</w:t>
            </w:r>
          </w:p>
        </w:tc>
      </w:tr>
      <w:tr w:rsidR="00F97CB3" w:rsidRPr="007F5722" w:rsidTr="00CE74C1">
        <w:tc>
          <w:tcPr>
            <w:tcW w:w="2263" w:type="dxa"/>
          </w:tcPr>
          <w:p w:rsidR="00F97CB3" w:rsidRPr="007F5722" w:rsidRDefault="00F97CB3"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СН</w:t>
            </w:r>
          </w:p>
        </w:tc>
        <w:tc>
          <w:tcPr>
            <w:tcW w:w="7082" w:type="dxa"/>
          </w:tcPr>
          <w:p w:rsidR="00F97CB3" w:rsidRPr="007F5722" w:rsidRDefault="00617F48"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Серцева недостатність</w:t>
            </w:r>
          </w:p>
        </w:tc>
      </w:tr>
      <w:tr w:rsidR="00F97CB3" w:rsidRPr="007F5722" w:rsidTr="00CE74C1">
        <w:tc>
          <w:tcPr>
            <w:tcW w:w="2263" w:type="dxa"/>
          </w:tcPr>
          <w:p w:rsidR="00F97CB3" w:rsidRPr="007F5722" w:rsidRDefault="00F97CB3"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СРБ</w:t>
            </w:r>
          </w:p>
        </w:tc>
        <w:tc>
          <w:tcPr>
            <w:tcW w:w="7082" w:type="dxa"/>
          </w:tcPr>
          <w:p w:rsidR="00F97CB3" w:rsidRPr="007F5722" w:rsidRDefault="00617F48"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С-реактивний білок</w:t>
            </w:r>
          </w:p>
        </w:tc>
      </w:tr>
      <w:tr w:rsidR="00F97CB3" w:rsidRPr="007F5722" w:rsidTr="00CE74C1">
        <w:tc>
          <w:tcPr>
            <w:tcW w:w="2263" w:type="dxa"/>
          </w:tcPr>
          <w:p w:rsidR="00F97CB3" w:rsidRPr="007F5722" w:rsidRDefault="00F97CB3"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ССЗ</w:t>
            </w:r>
          </w:p>
        </w:tc>
        <w:tc>
          <w:tcPr>
            <w:tcW w:w="7082" w:type="dxa"/>
          </w:tcPr>
          <w:p w:rsidR="00F97CB3" w:rsidRPr="007F5722" w:rsidRDefault="00617F48"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Серцево-судинні захворювання</w:t>
            </w:r>
          </w:p>
        </w:tc>
      </w:tr>
      <w:tr w:rsidR="00512976" w:rsidRPr="007F5722" w:rsidTr="00CE74C1">
        <w:tc>
          <w:tcPr>
            <w:tcW w:w="2263" w:type="dxa"/>
          </w:tcPr>
          <w:p w:rsidR="00512976" w:rsidRPr="007F5722" w:rsidRDefault="00512976"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ТГ</w:t>
            </w:r>
          </w:p>
        </w:tc>
        <w:tc>
          <w:tcPr>
            <w:tcW w:w="7082" w:type="dxa"/>
          </w:tcPr>
          <w:p w:rsidR="00512976" w:rsidRPr="007F5722" w:rsidRDefault="00512976"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 xml:space="preserve">Тригліцериди </w:t>
            </w:r>
          </w:p>
        </w:tc>
      </w:tr>
      <w:tr w:rsidR="00F97CB3" w:rsidRPr="007F5722" w:rsidTr="00CE74C1">
        <w:tc>
          <w:tcPr>
            <w:tcW w:w="2263" w:type="dxa"/>
          </w:tcPr>
          <w:p w:rsidR="00F97CB3" w:rsidRPr="007F5722" w:rsidRDefault="00F97CB3"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ТЗСЛШ</w:t>
            </w:r>
          </w:p>
        </w:tc>
        <w:tc>
          <w:tcPr>
            <w:tcW w:w="7082" w:type="dxa"/>
          </w:tcPr>
          <w:p w:rsidR="00F97CB3" w:rsidRPr="007F5722" w:rsidRDefault="00617F48"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Товщина задньої стінки лівого шлуночка</w:t>
            </w:r>
          </w:p>
        </w:tc>
      </w:tr>
      <w:tr w:rsidR="00F97CB3" w:rsidRPr="007F5722" w:rsidTr="00CE74C1">
        <w:tc>
          <w:tcPr>
            <w:tcW w:w="2263" w:type="dxa"/>
          </w:tcPr>
          <w:p w:rsidR="00F97CB3" w:rsidRPr="007F5722" w:rsidRDefault="00F97CB3"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ТМЛШ</w:t>
            </w:r>
          </w:p>
        </w:tc>
        <w:tc>
          <w:tcPr>
            <w:tcW w:w="7082" w:type="dxa"/>
          </w:tcPr>
          <w:p w:rsidR="00F97CB3" w:rsidRPr="007F5722" w:rsidRDefault="00617F48"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Товщина міокарда лівого шлуночка</w:t>
            </w:r>
          </w:p>
        </w:tc>
      </w:tr>
      <w:tr w:rsidR="00F97CB3" w:rsidRPr="007F5722" w:rsidTr="00CE74C1">
        <w:tc>
          <w:tcPr>
            <w:tcW w:w="2263" w:type="dxa"/>
          </w:tcPr>
          <w:p w:rsidR="00F97CB3" w:rsidRPr="007F5722" w:rsidRDefault="00F97CB3"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УЗД</w:t>
            </w:r>
          </w:p>
        </w:tc>
        <w:tc>
          <w:tcPr>
            <w:tcW w:w="7082" w:type="dxa"/>
          </w:tcPr>
          <w:p w:rsidR="00F97CB3" w:rsidRPr="007F5722" w:rsidRDefault="00617F48"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Ультразвокове дослідження</w:t>
            </w:r>
          </w:p>
        </w:tc>
      </w:tr>
      <w:tr w:rsidR="00F97CB3" w:rsidRPr="007F5722" w:rsidTr="00CE74C1">
        <w:tc>
          <w:tcPr>
            <w:tcW w:w="2263" w:type="dxa"/>
          </w:tcPr>
          <w:p w:rsidR="00F97CB3" w:rsidRPr="007F5722" w:rsidRDefault="00F97CB3"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УО</w:t>
            </w:r>
          </w:p>
        </w:tc>
        <w:tc>
          <w:tcPr>
            <w:tcW w:w="7082" w:type="dxa"/>
          </w:tcPr>
          <w:p w:rsidR="00F97CB3" w:rsidRPr="007F5722" w:rsidRDefault="00617F48"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Ударний об</w:t>
            </w:r>
            <w:r w:rsidRPr="007F5722">
              <w:rPr>
                <w:rFonts w:ascii="Times New Roman" w:hAnsi="Times New Roman" w:cs="Times New Roman"/>
                <w:sz w:val="28"/>
                <w:szCs w:val="28"/>
                <w:lang w:val="en-US"/>
              </w:rPr>
              <w:t>’</w:t>
            </w:r>
            <w:r w:rsidRPr="007F5722">
              <w:rPr>
                <w:rFonts w:ascii="Times New Roman" w:hAnsi="Times New Roman" w:cs="Times New Roman"/>
                <w:sz w:val="28"/>
                <w:szCs w:val="28"/>
              </w:rPr>
              <w:t>єм</w:t>
            </w:r>
          </w:p>
        </w:tc>
      </w:tr>
      <w:tr w:rsidR="00F97CB3" w:rsidRPr="007F5722" w:rsidTr="00CE74C1">
        <w:tc>
          <w:tcPr>
            <w:tcW w:w="2263" w:type="dxa"/>
          </w:tcPr>
          <w:p w:rsidR="00F97CB3" w:rsidRPr="007F5722" w:rsidRDefault="00F97CB3"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ФВ</w:t>
            </w:r>
          </w:p>
        </w:tc>
        <w:tc>
          <w:tcPr>
            <w:tcW w:w="7082" w:type="dxa"/>
          </w:tcPr>
          <w:p w:rsidR="00F97CB3" w:rsidRPr="007F5722" w:rsidRDefault="00617F48"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Фракція викиду</w:t>
            </w:r>
          </w:p>
        </w:tc>
      </w:tr>
      <w:tr w:rsidR="00F97CB3" w:rsidRPr="007F5722" w:rsidTr="00CE74C1">
        <w:tc>
          <w:tcPr>
            <w:tcW w:w="2263" w:type="dxa"/>
          </w:tcPr>
          <w:p w:rsidR="00F97CB3" w:rsidRPr="007F5722" w:rsidRDefault="00F97CB3"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ХМ</w:t>
            </w:r>
          </w:p>
        </w:tc>
        <w:tc>
          <w:tcPr>
            <w:tcW w:w="7082" w:type="dxa"/>
          </w:tcPr>
          <w:p w:rsidR="00F97CB3" w:rsidRPr="007F5722" w:rsidRDefault="00617F48"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Хіломікрони</w:t>
            </w:r>
          </w:p>
        </w:tc>
      </w:tr>
      <w:tr w:rsidR="00512976" w:rsidRPr="007F5722" w:rsidTr="00CE74C1">
        <w:tc>
          <w:tcPr>
            <w:tcW w:w="2263" w:type="dxa"/>
          </w:tcPr>
          <w:p w:rsidR="00512976" w:rsidRPr="007F5722" w:rsidRDefault="00512976"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ХС ЛПВЩ</w:t>
            </w:r>
          </w:p>
        </w:tc>
        <w:tc>
          <w:tcPr>
            <w:tcW w:w="7082" w:type="dxa"/>
          </w:tcPr>
          <w:p w:rsidR="00512976" w:rsidRPr="007F5722" w:rsidRDefault="00512976"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Холестерин ліпопротеїнів високої щільності</w:t>
            </w:r>
          </w:p>
        </w:tc>
      </w:tr>
      <w:tr w:rsidR="00512976" w:rsidRPr="007F5722" w:rsidTr="00CE74C1">
        <w:tc>
          <w:tcPr>
            <w:tcW w:w="2263" w:type="dxa"/>
          </w:tcPr>
          <w:p w:rsidR="00512976" w:rsidRPr="007F5722" w:rsidRDefault="00512976"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ХС ЛПДНЩ</w:t>
            </w:r>
          </w:p>
        </w:tc>
        <w:tc>
          <w:tcPr>
            <w:tcW w:w="7082" w:type="dxa"/>
          </w:tcPr>
          <w:p w:rsidR="00512976" w:rsidRPr="007F5722" w:rsidRDefault="00512976"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Холестерин ліпропротеїнів дуже низької щільності</w:t>
            </w:r>
          </w:p>
        </w:tc>
      </w:tr>
      <w:tr w:rsidR="00512976" w:rsidRPr="007F5722" w:rsidTr="00CE74C1">
        <w:tc>
          <w:tcPr>
            <w:tcW w:w="2263" w:type="dxa"/>
          </w:tcPr>
          <w:p w:rsidR="00512976" w:rsidRPr="007F5722" w:rsidRDefault="00512976"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ХС ЛПНЩ</w:t>
            </w:r>
          </w:p>
        </w:tc>
        <w:tc>
          <w:tcPr>
            <w:tcW w:w="7082" w:type="dxa"/>
          </w:tcPr>
          <w:p w:rsidR="00512976" w:rsidRPr="007F5722" w:rsidRDefault="00512976"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Холестерин ліпопротеїнів низької щільності</w:t>
            </w:r>
          </w:p>
        </w:tc>
      </w:tr>
      <w:tr w:rsidR="00F97CB3" w:rsidRPr="007F5722" w:rsidTr="00CE74C1">
        <w:tc>
          <w:tcPr>
            <w:tcW w:w="2263" w:type="dxa"/>
          </w:tcPr>
          <w:p w:rsidR="00F97CB3" w:rsidRPr="007F5722" w:rsidRDefault="00F97CB3"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ХС ЛППЩ</w:t>
            </w:r>
          </w:p>
        </w:tc>
        <w:tc>
          <w:tcPr>
            <w:tcW w:w="7082" w:type="dxa"/>
          </w:tcPr>
          <w:p w:rsidR="00F97CB3" w:rsidRPr="007F5722" w:rsidRDefault="00617F48"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Холестерин ліпопротеїнів проміжної щільності</w:t>
            </w:r>
          </w:p>
        </w:tc>
      </w:tr>
      <w:tr w:rsidR="00512976" w:rsidRPr="007F5722" w:rsidTr="00CE74C1">
        <w:tc>
          <w:tcPr>
            <w:tcW w:w="2263" w:type="dxa"/>
          </w:tcPr>
          <w:p w:rsidR="00512976" w:rsidRPr="007F5722" w:rsidRDefault="00512976"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ЧСС</w:t>
            </w:r>
          </w:p>
        </w:tc>
        <w:tc>
          <w:tcPr>
            <w:tcW w:w="7082" w:type="dxa"/>
          </w:tcPr>
          <w:p w:rsidR="00512976" w:rsidRPr="007F5722" w:rsidRDefault="00512976" w:rsidP="00CE74C1">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Частота серцевих скорочень</w:t>
            </w:r>
          </w:p>
        </w:tc>
      </w:tr>
    </w:tbl>
    <w:p w:rsidR="00512976" w:rsidRPr="007F5722" w:rsidRDefault="00512976" w:rsidP="00512976">
      <w:pPr>
        <w:spacing w:line="360" w:lineRule="auto"/>
        <w:jc w:val="center"/>
        <w:rPr>
          <w:rFonts w:ascii="Times New Roman" w:hAnsi="Times New Roman" w:cs="Times New Roman"/>
          <w:sz w:val="28"/>
          <w:szCs w:val="28"/>
        </w:rPr>
        <w:sectPr w:rsidR="00512976" w:rsidRPr="007F5722" w:rsidSect="007C0B93">
          <w:pgSz w:w="11906" w:h="16838"/>
          <w:pgMar w:top="1134" w:right="850" w:bottom="1134" w:left="1701" w:header="708" w:footer="708" w:gutter="0"/>
          <w:cols w:space="708"/>
          <w:docGrid w:linePitch="360"/>
        </w:sectPr>
      </w:pPr>
    </w:p>
    <w:p w:rsidR="00512976" w:rsidRPr="007F5722" w:rsidRDefault="00512976" w:rsidP="00512976">
      <w:pPr>
        <w:spacing w:line="360" w:lineRule="auto"/>
        <w:jc w:val="center"/>
        <w:rPr>
          <w:rFonts w:ascii="Times New Roman" w:hAnsi="Times New Roman" w:cs="Times New Roman"/>
          <w:b/>
          <w:sz w:val="28"/>
          <w:szCs w:val="28"/>
        </w:rPr>
      </w:pPr>
      <w:r w:rsidRPr="007F5722">
        <w:rPr>
          <w:rFonts w:ascii="Times New Roman" w:hAnsi="Times New Roman" w:cs="Times New Roman"/>
          <w:b/>
          <w:sz w:val="28"/>
          <w:szCs w:val="28"/>
        </w:rPr>
        <w:lastRenderedPageBreak/>
        <w:t>ВСТУП</w:t>
      </w:r>
    </w:p>
    <w:p w:rsidR="002578DE" w:rsidRPr="007F5722" w:rsidRDefault="00391CF7" w:rsidP="00391CF7">
      <w:pPr>
        <w:spacing w:after="0" w:line="360" w:lineRule="auto"/>
        <w:ind w:firstLine="709"/>
        <w:contextualSpacing/>
        <w:jc w:val="both"/>
        <w:rPr>
          <w:rFonts w:ascii="Times New Roman" w:hAnsi="Times New Roman" w:cs="Times New Roman"/>
          <w:b/>
          <w:sz w:val="28"/>
          <w:szCs w:val="28"/>
        </w:rPr>
      </w:pPr>
      <w:r w:rsidRPr="007F5722">
        <w:rPr>
          <w:rFonts w:ascii="Times New Roman" w:hAnsi="Times New Roman" w:cs="Times New Roman"/>
          <w:b/>
          <w:sz w:val="28"/>
          <w:szCs w:val="28"/>
        </w:rPr>
        <w:t xml:space="preserve">Актуальність теми. </w:t>
      </w:r>
    </w:p>
    <w:p w:rsidR="002578DE" w:rsidRPr="007F5722" w:rsidRDefault="00391CF7" w:rsidP="00391CF7">
      <w:pPr>
        <w:spacing w:after="0" w:line="360" w:lineRule="auto"/>
        <w:ind w:firstLine="709"/>
        <w:contextualSpacing/>
        <w:jc w:val="both"/>
        <w:rPr>
          <w:rFonts w:ascii="Times New Roman" w:hAnsi="Times New Roman" w:cs="Times New Roman"/>
          <w:sz w:val="28"/>
          <w:szCs w:val="28"/>
        </w:rPr>
      </w:pPr>
      <w:r w:rsidRPr="007F5722">
        <w:rPr>
          <w:rFonts w:ascii="Times New Roman" w:hAnsi="Times New Roman" w:cs="Times New Roman"/>
          <w:sz w:val="28"/>
          <w:szCs w:val="28"/>
        </w:rPr>
        <w:t xml:space="preserve">ГХ є найпоширенішим у світі хронічним захворюванням серед захворювань серцево-судинної системи. </w:t>
      </w:r>
      <w:r w:rsidR="00AF4A66" w:rsidRPr="007F5722">
        <w:rPr>
          <w:rFonts w:ascii="Times New Roman" w:hAnsi="Times New Roman" w:cs="Times New Roman"/>
          <w:sz w:val="28"/>
          <w:szCs w:val="28"/>
        </w:rPr>
        <w:t>Згідно даним</w:t>
      </w:r>
      <w:r w:rsidR="00F92599" w:rsidRPr="007F5722">
        <w:rPr>
          <w:rFonts w:ascii="Times New Roman" w:hAnsi="Times New Roman" w:cs="Times New Roman"/>
          <w:sz w:val="28"/>
          <w:szCs w:val="28"/>
        </w:rPr>
        <w:t xml:space="preserve"> офіційної статистики Міністерства охорони здоров’я, в Україні</w:t>
      </w:r>
      <w:r w:rsidR="00AF4A66" w:rsidRPr="007F5722">
        <w:rPr>
          <w:rFonts w:ascii="Times New Roman" w:hAnsi="Times New Roman" w:cs="Times New Roman"/>
          <w:sz w:val="28"/>
          <w:szCs w:val="28"/>
        </w:rPr>
        <w:t xml:space="preserve"> в </w:t>
      </w:r>
      <w:r w:rsidR="002C2A82">
        <w:rPr>
          <w:rFonts w:ascii="Times New Roman" w:hAnsi="Times New Roman" w:cs="Times New Roman"/>
          <w:sz w:val="28"/>
          <w:szCs w:val="28"/>
        </w:rPr>
        <w:t>201</w:t>
      </w:r>
      <w:r w:rsidR="002C2A82">
        <w:rPr>
          <w:rFonts w:ascii="Times New Roman" w:hAnsi="Times New Roman" w:cs="Times New Roman"/>
          <w:sz w:val="28"/>
          <w:szCs w:val="28"/>
          <w:lang w:val="ru-RU"/>
        </w:rPr>
        <w:t>6</w:t>
      </w:r>
      <w:r w:rsidR="00AF4A66" w:rsidRPr="007F5722">
        <w:rPr>
          <w:rFonts w:ascii="Times New Roman" w:hAnsi="Times New Roman" w:cs="Times New Roman"/>
          <w:sz w:val="28"/>
          <w:szCs w:val="28"/>
        </w:rPr>
        <w:t xml:space="preserve"> році</w:t>
      </w:r>
      <w:r w:rsidR="00F92599" w:rsidRPr="007F5722">
        <w:rPr>
          <w:rFonts w:ascii="Times New Roman" w:hAnsi="Times New Roman" w:cs="Times New Roman"/>
          <w:sz w:val="28"/>
          <w:szCs w:val="28"/>
        </w:rPr>
        <w:t xml:space="preserve"> зареєстровано понад 12,5 млн. </w:t>
      </w:r>
      <w:r w:rsidR="00AF4A66" w:rsidRPr="007F5722">
        <w:rPr>
          <w:rFonts w:ascii="Times New Roman" w:hAnsi="Times New Roman" w:cs="Times New Roman"/>
          <w:sz w:val="28"/>
          <w:szCs w:val="28"/>
        </w:rPr>
        <w:t>хворих на ГХ</w:t>
      </w:r>
      <w:r w:rsidR="00F92599" w:rsidRPr="007F5722">
        <w:rPr>
          <w:rFonts w:ascii="Times New Roman" w:hAnsi="Times New Roman" w:cs="Times New Roman"/>
          <w:sz w:val="28"/>
          <w:szCs w:val="28"/>
        </w:rPr>
        <w:t>, що складає 32</w:t>
      </w:r>
      <w:r w:rsidR="00AF4A66" w:rsidRPr="007F5722">
        <w:rPr>
          <w:rFonts w:ascii="Times New Roman" w:hAnsi="Times New Roman" w:cs="Times New Roman"/>
          <w:sz w:val="28"/>
          <w:szCs w:val="28"/>
        </w:rPr>
        <w:t>,2% дорослого населення країни [</w:t>
      </w:r>
      <w:r w:rsidR="00DB1BBA" w:rsidRPr="007F5722">
        <w:rPr>
          <w:rFonts w:ascii="Times New Roman" w:hAnsi="Times New Roman" w:cs="Times New Roman"/>
          <w:sz w:val="28"/>
          <w:szCs w:val="28"/>
        </w:rPr>
        <w:t>1, 2</w:t>
      </w:r>
      <w:r w:rsidR="00AF4A66" w:rsidRPr="007F5722">
        <w:rPr>
          <w:rFonts w:ascii="Times New Roman" w:hAnsi="Times New Roman" w:cs="Times New Roman"/>
          <w:sz w:val="28"/>
          <w:szCs w:val="28"/>
        </w:rPr>
        <w:t>].</w:t>
      </w:r>
      <w:r w:rsidR="002578DE" w:rsidRPr="007F5722">
        <w:rPr>
          <w:rFonts w:ascii="Times New Roman" w:hAnsi="Times New Roman" w:cs="Times New Roman"/>
          <w:sz w:val="28"/>
          <w:szCs w:val="28"/>
        </w:rPr>
        <w:t xml:space="preserve"> ГХ</w:t>
      </w:r>
      <w:r w:rsidR="00F92599" w:rsidRPr="007F5722">
        <w:rPr>
          <w:rFonts w:ascii="Times New Roman" w:hAnsi="Times New Roman" w:cs="Times New Roman"/>
          <w:sz w:val="28"/>
          <w:szCs w:val="28"/>
        </w:rPr>
        <w:t xml:space="preserve"> розглядаєть</w:t>
      </w:r>
      <w:r w:rsidR="002578DE" w:rsidRPr="007F5722">
        <w:rPr>
          <w:rFonts w:ascii="Times New Roman" w:hAnsi="Times New Roman" w:cs="Times New Roman"/>
          <w:sz w:val="28"/>
          <w:szCs w:val="28"/>
        </w:rPr>
        <w:t>ся як провідний фактор ризику виникнення</w:t>
      </w:r>
      <w:r w:rsidR="00F92599" w:rsidRPr="007F5722">
        <w:rPr>
          <w:rFonts w:ascii="Times New Roman" w:hAnsi="Times New Roman" w:cs="Times New Roman"/>
          <w:sz w:val="28"/>
          <w:szCs w:val="28"/>
        </w:rPr>
        <w:t xml:space="preserve"> кардіальної та цереброваскулярної патології, що суттєво впливає на наслідки і на 88% визначає рівень смертності від захворювань системи</w:t>
      </w:r>
      <w:r w:rsidR="002578DE" w:rsidRPr="007F5722">
        <w:rPr>
          <w:rFonts w:ascii="Times New Roman" w:hAnsi="Times New Roman" w:cs="Times New Roman"/>
          <w:sz w:val="28"/>
          <w:szCs w:val="28"/>
        </w:rPr>
        <w:t xml:space="preserve"> кровообігу [</w:t>
      </w:r>
      <w:r w:rsidR="00DB1BBA" w:rsidRPr="007F5722">
        <w:rPr>
          <w:rFonts w:ascii="Times New Roman" w:hAnsi="Times New Roman" w:cs="Times New Roman"/>
          <w:sz w:val="28"/>
          <w:szCs w:val="28"/>
        </w:rPr>
        <w:t>3</w:t>
      </w:r>
      <w:r w:rsidR="002578DE" w:rsidRPr="007F5722">
        <w:rPr>
          <w:rFonts w:ascii="Times New Roman" w:hAnsi="Times New Roman" w:cs="Times New Roman"/>
          <w:sz w:val="28"/>
          <w:szCs w:val="28"/>
        </w:rPr>
        <w:t>]</w:t>
      </w:r>
      <w:r w:rsidR="00F92599" w:rsidRPr="007F5722">
        <w:rPr>
          <w:rFonts w:ascii="Times New Roman" w:hAnsi="Times New Roman" w:cs="Times New Roman"/>
          <w:sz w:val="28"/>
          <w:szCs w:val="28"/>
        </w:rPr>
        <w:t>.</w:t>
      </w:r>
      <w:r w:rsidRPr="007F5722">
        <w:rPr>
          <w:rFonts w:ascii="Times New Roman" w:hAnsi="Times New Roman" w:cs="Times New Roman"/>
          <w:sz w:val="28"/>
          <w:szCs w:val="28"/>
        </w:rPr>
        <w:t xml:space="preserve"> </w:t>
      </w:r>
    </w:p>
    <w:p w:rsidR="00391CF7" w:rsidRPr="007F5722" w:rsidRDefault="00391CF7" w:rsidP="00391CF7">
      <w:pPr>
        <w:spacing w:after="0" w:line="360" w:lineRule="auto"/>
        <w:ind w:firstLine="709"/>
        <w:contextualSpacing/>
        <w:jc w:val="both"/>
        <w:rPr>
          <w:rFonts w:ascii="Times New Roman" w:hAnsi="Times New Roman" w:cs="Times New Roman"/>
          <w:sz w:val="28"/>
          <w:szCs w:val="28"/>
          <w:lang w:eastAsia="uk-UA"/>
        </w:rPr>
      </w:pPr>
      <w:r w:rsidRPr="007F5722">
        <w:rPr>
          <w:rFonts w:ascii="Times New Roman" w:hAnsi="Times New Roman" w:cs="Times New Roman"/>
          <w:sz w:val="28"/>
          <w:szCs w:val="28"/>
        </w:rPr>
        <w:t xml:space="preserve">Важливу роль у виникненні серцево-судинних захворювань та в погіршенні </w:t>
      </w:r>
      <w:r w:rsidR="00DB1BBA" w:rsidRPr="007F5722">
        <w:rPr>
          <w:rFonts w:ascii="Times New Roman" w:hAnsi="Times New Roman" w:cs="Times New Roman"/>
          <w:sz w:val="28"/>
          <w:szCs w:val="28"/>
        </w:rPr>
        <w:t xml:space="preserve">їх клінічного перебігу відіграє ожиріння. </w:t>
      </w:r>
      <w:r w:rsidRPr="007F5722">
        <w:rPr>
          <w:rFonts w:ascii="Times New Roman" w:hAnsi="Times New Roman" w:cs="Times New Roman"/>
          <w:sz w:val="28"/>
          <w:szCs w:val="28"/>
        </w:rPr>
        <w:t xml:space="preserve">Згідно даним </w:t>
      </w:r>
      <w:r w:rsidR="00917F65" w:rsidRPr="007F5722">
        <w:rPr>
          <w:rFonts w:ascii="Times New Roman" w:hAnsi="Times New Roman" w:cs="Times New Roman"/>
          <w:sz w:val="28"/>
          <w:szCs w:val="28"/>
        </w:rPr>
        <w:t>Всесвітньої організації охорони здоров’я (</w:t>
      </w:r>
      <w:r w:rsidRPr="007F5722">
        <w:rPr>
          <w:rFonts w:ascii="Times New Roman" w:hAnsi="Times New Roman" w:cs="Times New Roman"/>
          <w:sz w:val="28"/>
          <w:szCs w:val="28"/>
        </w:rPr>
        <w:t>ВООЗ</w:t>
      </w:r>
      <w:r w:rsidR="00917F65" w:rsidRPr="007F5722">
        <w:rPr>
          <w:rFonts w:ascii="Times New Roman" w:hAnsi="Times New Roman" w:cs="Times New Roman"/>
          <w:sz w:val="28"/>
          <w:szCs w:val="28"/>
        </w:rPr>
        <w:t>)</w:t>
      </w:r>
      <w:r w:rsidR="00D07A6A" w:rsidRPr="007F5722">
        <w:rPr>
          <w:rFonts w:ascii="Times New Roman" w:hAnsi="Times New Roman" w:cs="Times New Roman"/>
          <w:sz w:val="28"/>
          <w:szCs w:val="28"/>
        </w:rPr>
        <w:t xml:space="preserve"> починаючи з 1975</w:t>
      </w:r>
      <w:r w:rsidR="00917F65" w:rsidRPr="007F5722">
        <w:rPr>
          <w:rFonts w:ascii="Times New Roman" w:hAnsi="Times New Roman" w:cs="Times New Roman"/>
          <w:sz w:val="28"/>
          <w:szCs w:val="28"/>
        </w:rPr>
        <w:t xml:space="preserve"> </w:t>
      </w:r>
      <w:r w:rsidRPr="007F5722">
        <w:rPr>
          <w:rFonts w:ascii="Times New Roman" w:hAnsi="Times New Roman" w:cs="Times New Roman"/>
          <w:sz w:val="28"/>
          <w:szCs w:val="28"/>
        </w:rPr>
        <w:t>р</w:t>
      </w:r>
      <w:r w:rsidR="00917F65" w:rsidRPr="007F5722">
        <w:rPr>
          <w:rFonts w:ascii="Times New Roman" w:hAnsi="Times New Roman" w:cs="Times New Roman"/>
          <w:sz w:val="28"/>
          <w:szCs w:val="28"/>
        </w:rPr>
        <w:t>оку</w:t>
      </w:r>
      <w:r w:rsidRPr="007F5722">
        <w:rPr>
          <w:rFonts w:ascii="Times New Roman" w:hAnsi="Times New Roman" w:cs="Times New Roman"/>
          <w:sz w:val="28"/>
          <w:szCs w:val="28"/>
        </w:rPr>
        <w:t xml:space="preserve"> кількість </w:t>
      </w:r>
      <w:r w:rsidR="00D07A6A" w:rsidRPr="007F5722">
        <w:rPr>
          <w:rFonts w:ascii="Times New Roman" w:hAnsi="Times New Roman" w:cs="Times New Roman"/>
          <w:sz w:val="28"/>
          <w:szCs w:val="28"/>
        </w:rPr>
        <w:t xml:space="preserve">дорослих </w:t>
      </w:r>
      <w:r w:rsidRPr="007F5722">
        <w:rPr>
          <w:rFonts w:ascii="Times New Roman" w:hAnsi="Times New Roman" w:cs="Times New Roman"/>
          <w:sz w:val="28"/>
          <w:szCs w:val="28"/>
        </w:rPr>
        <w:t xml:space="preserve">осіб з ожирінням </w:t>
      </w:r>
      <w:r w:rsidR="00D07A6A" w:rsidRPr="007F5722">
        <w:rPr>
          <w:rFonts w:ascii="Times New Roman" w:hAnsi="Times New Roman" w:cs="Times New Roman"/>
          <w:sz w:val="28"/>
          <w:szCs w:val="28"/>
        </w:rPr>
        <w:t xml:space="preserve">потроїлася. </w:t>
      </w:r>
      <w:r w:rsidR="004D7BC3" w:rsidRPr="007F5722">
        <w:rPr>
          <w:rFonts w:ascii="Times New Roman" w:hAnsi="Times New Roman" w:cs="Times New Roman"/>
          <w:sz w:val="28"/>
          <w:szCs w:val="28"/>
        </w:rPr>
        <w:t>Станом на</w:t>
      </w:r>
      <w:r w:rsidR="00D07A6A" w:rsidRPr="007F5722">
        <w:rPr>
          <w:rFonts w:ascii="Times New Roman" w:hAnsi="Times New Roman" w:cs="Times New Roman"/>
          <w:sz w:val="28"/>
          <w:szCs w:val="28"/>
        </w:rPr>
        <w:t xml:space="preserve"> 2016 </w:t>
      </w:r>
      <w:r w:rsidR="004D7BC3" w:rsidRPr="007F5722">
        <w:rPr>
          <w:rFonts w:ascii="Times New Roman" w:hAnsi="Times New Roman" w:cs="Times New Roman"/>
          <w:sz w:val="28"/>
          <w:szCs w:val="28"/>
        </w:rPr>
        <w:t>рік</w:t>
      </w:r>
      <w:r w:rsidR="00D07A6A" w:rsidRPr="007F5722">
        <w:rPr>
          <w:rFonts w:ascii="Times New Roman" w:hAnsi="Times New Roman" w:cs="Times New Roman"/>
          <w:sz w:val="28"/>
          <w:szCs w:val="28"/>
        </w:rPr>
        <w:t xml:space="preserve"> більш ніж 1,9 міл’ярдів дорослих у віці </w:t>
      </w:r>
      <w:r w:rsidR="004D7BC3" w:rsidRPr="007F5722">
        <w:rPr>
          <w:rFonts w:ascii="Times New Roman" w:hAnsi="Times New Roman" w:cs="Times New Roman"/>
          <w:sz w:val="28"/>
          <w:szCs w:val="28"/>
        </w:rPr>
        <w:t>1</w:t>
      </w:r>
      <w:r w:rsidR="00DB1BBA" w:rsidRPr="007F5722">
        <w:rPr>
          <w:rFonts w:ascii="Times New Roman" w:hAnsi="Times New Roman" w:cs="Times New Roman"/>
          <w:sz w:val="28"/>
          <w:szCs w:val="28"/>
        </w:rPr>
        <w:t>8 років і старше мали надмірну масу тіла</w:t>
      </w:r>
      <w:r w:rsidR="004D7BC3" w:rsidRPr="007F5722">
        <w:rPr>
          <w:rFonts w:ascii="Times New Roman" w:hAnsi="Times New Roman" w:cs="Times New Roman"/>
          <w:sz w:val="28"/>
          <w:szCs w:val="28"/>
        </w:rPr>
        <w:t xml:space="preserve">, з них понад 650 </w:t>
      </w:r>
      <w:r w:rsidR="00DB1BBA" w:rsidRPr="007F5722">
        <w:rPr>
          <w:rFonts w:ascii="Times New Roman" w:hAnsi="Times New Roman" w:cs="Times New Roman"/>
          <w:sz w:val="28"/>
          <w:szCs w:val="28"/>
        </w:rPr>
        <w:t>мільйонів страждали на ожиріння [4]</w:t>
      </w:r>
      <w:r w:rsidR="004D7BC3" w:rsidRPr="007F5722">
        <w:rPr>
          <w:rFonts w:ascii="Times New Roman" w:hAnsi="Times New Roman" w:cs="Times New Roman"/>
          <w:sz w:val="28"/>
          <w:szCs w:val="28"/>
        </w:rPr>
        <w:t xml:space="preserve">. </w:t>
      </w:r>
      <w:r w:rsidRPr="007F5722">
        <w:rPr>
          <w:rStyle w:val="rvts6"/>
          <w:rFonts w:ascii="Times New Roman" w:hAnsi="Times New Roman" w:cs="Times New Roman"/>
          <w:sz w:val="28"/>
          <w:szCs w:val="28"/>
          <w:lang w:eastAsia="uk-UA"/>
        </w:rPr>
        <w:t>В Україні, за даними з того ж джерела, кількість людей з ожирінням</w:t>
      </w:r>
      <w:r w:rsidR="00B67E3C" w:rsidRPr="007F5722">
        <w:rPr>
          <w:rStyle w:val="rvts6"/>
          <w:rFonts w:ascii="Times New Roman" w:hAnsi="Times New Roman" w:cs="Times New Roman"/>
          <w:sz w:val="28"/>
          <w:szCs w:val="28"/>
          <w:lang w:eastAsia="uk-UA"/>
        </w:rPr>
        <w:t xml:space="preserve"> у віці понад 18 років склала 17,6% серед чоловіків і 22,1</w:t>
      </w:r>
      <w:r w:rsidRPr="007F5722">
        <w:rPr>
          <w:rStyle w:val="rvts6"/>
          <w:rFonts w:ascii="Times New Roman" w:hAnsi="Times New Roman" w:cs="Times New Roman"/>
          <w:sz w:val="28"/>
          <w:szCs w:val="28"/>
          <w:lang w:eastAsia="uk-UA"/>
        </w:rPr>
        <w:t xml:space="preserve">% серед жінок. </w:t>
      </w:r>
      <w:r w:rsidRPr="007F5722">
        <w:rPr>
          <w:rFonts w:ascii="Times New Roman" w:hAnsi="Times New Roman" w:cs="Times New Roman"/>
          <w:sz w:val="28"/>
          <w:szCs w:val="28"/>
        </w:rPr>
        <w:t>Дані Фремінгемського дослідження свідчать, що у людей з ожирінням ймовірність розвитку АГ на 50% вище ніж у осіб без ожиріння, а саме на кожні додаткові 4,5 кг  систолічний артеріальний тиск (САТ) підвищується на 4,4 мм.рт.ст. у чоловіків та на 4,2 мм.рт.ст. у жінок, причому у 78% чоловіків і 65% жінок виявл</w:t>
      </w:r>
      <w:r w:rsidR="00A66DF5" w:rsidRPr="007F5722">
        <w:rPr>
          <w:rFonts w:ascii="Times New Roman" w:hAnsi="Times New Roman" w:cs="Times New Roman"/>
          <w:sz w:val="28"/>
          <w:szCs w:val="28"/>
        </w:rPr>
        <w:t>ено АГ в поєднанні з ожирінням [</w:t>
      </w:r>
      <w:r w:rsidR="00DB1BBA" w:rsidRPr="007F5722">
        <w:rPr>
          <w:rFonts w:ascii="Times New Roman" w:hAnsi="Times New Roman" w:cs="Times New Roman"/>
          <w:sz w:val="28"/>
          <w:szCs w:val="28"/>
        </w:rPr>
        <w:t>5</w:t>
      </w:r>
      <w:r w:rsidR="00A66DF5" w:rsidRPr="007F5722">
        <w:rPr>
          <w:rFonts w:ascii="Times New Roman" w:hAnsi="Times New Roman" w:cs="Times New Roman"/>
          <w:sz w:val="28"/>
          <w:szCs w:val="28"/>
        </w:rPr>
        <w:t>].</w:t>
      </w:r>
      <w:r w:rsidR="00DB1BBA" w:rsidRPr="007F5722">
        <w:rPr>
          <w:rFonts w:ascii="Times New Roman" w:hAnsi="Times New Roman" w:cs="Times New Roman"/>
          <w:sz w:val="28"/>
          <w:szCs w:val="28"/>
        </w:rPr>
        <w:t xml:space="preserve"> </w:t>
      </w:r>
      <w:r w:rsidR="00DB1BBA" w:rsidRPr="007F5722">
        <w:rPr>
          <w:rFonts w:ascii="Times New Roman" w:hAnsi="Times New Roman"/>
          <w:sz w:val="28"/>
          <w:szCs w:val="28"/>
        </w:rPr>
        <w:t>Певну патофізіологічну специфічність ожирінню надає додаткове визначення характеру розподілу жирової тканини. Проведені дослідження довели, що саме абдомінальне ожиріння (АО) є фактором ризику серцево-судинної патології [6]</w:t>
      </w:r>
    </w:p>
    <w:p w:rsidR="00391CF7" w:rsidRPr="007F5722" w:rsidRDefault="00391CF7" w:rsidP="00391CF7">
      <w:pPr>
        <w:spacing w:after="0" w:line="360" w:lineRule="auto"/>
        <w:ind w:firstLine="709"/>
        <w:contextualSpacing/>
        <w:jc w:val="both"/>
        <w:rPr>
          <w:rFonts w:ascii="Times New Roman" w:hAnsi="Times New Roman" w:cs="Times New Roman"/>
          <w:sz w:val="28"/>
          <w:szCs w:val="28"/>
        </w:rPr>
      </w:pPr>
      <w:r w:rsidRPr="007F5722">
        <w:rPr>
          <w:rFonts w:ascii="Times New Roman" w:hAnsi="Times New Roman" w:cs="Times New Roman"/>
          <w:sz w:val="28"/>
          <w:szCs w:val="28"/>
        </w:rPr>
        <w:t>Поряд з ожирінням, важливим фактором ризику в розвитку серцево-судинних подій, є порушення ліпідного обміну. Добре дослідженим фактором ризику розвитку атеросклерозу судин життєво важливих органів є підвищенн</w:t>
      </w:r>
      <w:r w:rsidR="00A66DF5" w:rsidRPr="007F5722">
        <w:rPr>
          <w:rFonts w:ascii="Times New Roman" w:hAnsi="Times New Roman" w:cs="Times New Roman"/>
          <w:sz w:val="28"/>
          <w:szCs w:val="28"/>
        </w:rPr>
        <w:t>я рівню ЗХС та ТГ</w:t>
      </w:r>
      <w:r w:rsidRPr="007F5722">
        <w:rPr>
          <w:rFonts w:ascii="Times New Roman" w:hAnsi="Times New Roman" w:cs="Times New Roman"/>
          <w:sz w:val="28"/>
          <w:szCs w:val="28"/>
        </w:rPr>
        <w:t xml:space="preserve"> визначаємих натще </w:t>
      </w:r>
      <w:r w:rsidR="004F2247" w:rsidRPr="007F5722">
        <w:rPr>
          <w:rFonts w:ascii="Times New Roman" w:hAnsi="Times New Roman" w:cs="Times New Roman"/>
          <w:sz w:val="28"/>
          <w:szCs w:val="28"/>
        </w:rPr>
        <w:t>[</w:t>
      </w:r>
      <w:r w:rsidR="00AD09D0" w:rsidRPr="007F5722">
        <w:rPr>
          <w:rStyle w:val="Absatz-Standardschriftart"/>
          <w:rFonts w:ascii="Times New Roman" w:hAnsi="Times New Roman" w:cs="Times New Roman"/>
          <w:sz w:val="28"/>
          <w:szCs w:val="28"/>
          <w:lang w:eastAsia="de-DE"/>
        </w:rPr>
        <w:t>7</w:t>
      </w:r>
      <w:r w:rsidR="004F2247" w:rsidRPr="007F5722">
        <w:rPr>
          <w:rFonts w:ascii="Times New Roman" w:hAnsi="Times New Roman" w:cs="Times New Roman"/>
          <w:sz w:val="28"/>
          <w:szCs w:val="28"/>
        </w:rPr>
        <w:t>]</w:t>
      </w:r>
      <w:r w:rsidRPr="007F5722">
        <w:rPr>
          <w:rFonts w:ascii="Times New Roman" w:hAnsi="Times New Roman" w:cs="Times New Roman"/>
          <w:sz w:val="28"/>
          <w:szCs w:val="28"/>
        </w:rPr>
        <w:t xml:space="preserve">. Однак близько 30% пацієнтів, в яких </w:t>
      </w:r>
      <w:r w:rsidRPr="007F5722">
        <w:rPr>
          <w:rFonts w:ascii="Times New Roman" w:hAnsi="Times New Roman" w:cs="Times New Roman"/>
          <w:sz w:val="28"/>
          <w:szCs w:val="28"/>
        </w:rPr>
        <w:lastRenderedPageBreak/>
        <w:t xml:space="preserve">є клінічно виражений атеросклероз, мають показники атерогенних фракцій ліпідів та ліпопротеїнів у </w:t>
      </w:r>
      <w:r w:rsidR="004F2247" w:rsidRPr="007F5722">
        <w:rPr>
          <w:rFonts w:ascii="Times New Roman" w:hAnsi="Times New Roman" w:cs="Times New Roman"/>
          <w:sz w:val="28"/>
          <w:szCs w:val="28"/>
        </w:rPr>
        <w:t>межах норми</w:t>
      </w:r>
      <w:r w:rsidRPr="007F5722">
        <w:rPr>
          <w:rFonts w:ascii="Times New Roman" w:hAnsi="Times New Roman" w:cs="Times New Roman"/>
          <w:sz w:val="28"/>
          <w:szCs w:val="28"/>
        </w:rPr>
        <w:t xml:space="preserve">. На сьогоднішній день відомо, що після вживання жирної їжі навіть у здорових людей розвивається постпрандіальна ліпемія, яка визначається, головним чином, підвищенням рівня ТГ у сироватці крові. У хворих на ішемічну хворобу серця (ІХС) у </w:t>
      </w:r>
      <w:r w:rsidR="00AD09D0" w:rsidRPr="007F5722">
        <w:rPr>
          <w:rFonts w:ascii="Times New Roman" w:hAnsi="Times New Roman" w:cs="Times New Roman"/>
          <w:sz w:val="28"/>
          <w:szCs w:val="28"/>
        </w:rPr>
        <w:t xml:space="preserve">відповідь на </w:t>
      </w:r>
      <w:r w:rsidR="004F2247" w:rsidRPr="007F5722">
        <w:rPr>
          <w:rFonts w:ascii="Times New Roman" w:hAnsi="Times New Roman" w:cs="Times New Roman"/>
          <w:sz w:val="28"/>
          <w:szCs w:val="28"/>
        </w:rPr>
        <w:t>ЖН</w:t>
      </w:r>
      <w:r w:rsidR="00AD09D0" w:rsidRPr="007F5722">
        <w:rPr>
          <w:rFonts w:ascii="Times New Roman" w:hAnsi="Times New Roman" w:cs="Times New Roman"/>
          <w:sz w:val="28"/>
          <w:szCs w:val="28"/>
        </w:rPr>
        <w:t xml:space="preserve"> виникає</w:t>
      </w:r>
      <w:r w:rsidRPr="007F5722">
        <w:rPr>
          <w:rFonts w:ascii="Times New Roman" w:hAnsi="Times New Roman" w:cs="Times New Roman"/>
          <w:sz w:val="28"/>
          <w:szCs w:val="28"/>
        </w:rPr>
        <w:t xml:space="preserve"> феномен постпрандіальної гіперліпемії, який характеризується більш вираженим кількісним та часовим зсу</w:t>
      </w:r>
      <w:r w:rsidR="00E07E8C" w:rsidRPr="007F5722">
        <w:rPr>
          <w:rFonts w:ascii="Times New Roman" w:hAnsi="Times New Roman" w:cs="Times New Roman"/>
          <w:sz w:val="28"/>
          <w:szCs w:val="28"/>
        </w:rPr>
        <w:t>вами у ліпідному профілі крові [</w:t>
      </w:r>
      <w:r w:rsidR="00AD09D0" w:rsidRPr="007F5722">
        <w:rPr>
          <w:rFonts w:ascii="Times New Roman" w:hAnsi="Times New Roman" w:cs="Times New Roman"/>
          <w:sz w:val="28"/>
          <w:szCs w:val="28"/>
        </w:rPr>
        <w:t>8</w:t>
      </w:r>
      <w:r w:rsidR="00E07E8C" w:rsidRPr="007F5722">
        <w:rPr>
          <w:rFonts w:ascii="Times New Roman" w:hAnsi="Times New Roman" w:cs="Times New Roman"/>
          <w:sz w:val="28"/>
          <w:szCs w:val="28"/>
        </w:rPr>
        <w:t>]</w:t>
      </w:r>
      <w:r w:rsidRPr="007F5722">
        <w:rPr>
          <w:rFonts w:ascii="Times New Roman" w:hAnsi="Times New Roman" w:cs="Times New Roman"/>
          <w:sz w:val="28"/>
          <w:szCs w:val="28"/>
        </w:rPr>
        <w:t xml:space="preserve">. Це також підтверджують результати проведених клінічних досліджень, що демонструють участь постпрандіальної гіперліпемії у розвитку і прогресуванні атеросклерозу та ІХС </w:t>
      </w:r>
      <w:r w:rsidR="00E07E8C" w:rsidRPr="007F5722">
        <w:rPr>
          <w:rFonts w:ascii="Times New Roman" w:hAnsi="Times New Roman" w:cs="Times New Roman"/>
          <w:sz w:val="28"/>
          <w:szCs w:val="28"/>
        </w:rPr>
        <w:t>[</w:t>
      </w:r>
      <w:r w:rsidR="00AD09D0" w:rsidRPr="007F5722">
        <w:rPr>
          <w:rFonts w:ascii="Times New Roman" w:hAnsi="Times New Roman" w:cs="Times New Roman"/>
          <w:sz w:val="28"/>
          <w:szCs w:val="28"/>
        </w:rPr>
        <w:t>9</w:t>
      </w:r>
      <w:r w:rsidR="00E07E8C" w:rsidRPr="007F5722">
        <w:rPr>
          <w:rFonts w:ascii="Times New Roman" w:hAnsi="Times New Roman" w:cs="Times New Roman"/>
          <w:sz w:val="28"/>
          <w:szCs w:val="28"/>
        </w:rPr>
        <w:t>]</w:t>
      </w:r>
      <w:r w:rsidRPr="007F5722">
        <w:rPr>
          <w:rFonts w:ascii="Times New Roman" w:hAnsi="Times New Roman" w:cs="Times New Roman"/>
          <w:sz w:val="28"/>
          <w:szCs w:val="28"/>
        </w:rPr>
        <w:t>. Атерогенність постпранд</w:t>
      </w:r>
      <w:r w:rsidR="00E07E8C" w:rsidRPr="007F5722">
        <w:rPr>
          <w:rFonts w:ascii="Times New Roman" w:hAnsi="Times New Roman" w:cs="Times New Roman"/>
          <w:sz w:val="28"/>
          <w:szCs w:val="28"/>
        </w:rPr>
        <w:t>і</w:t>
      </w:r>
      <w:r w:rsidRPr="007F5722">
        <w:rPr>
          <w:rFonts w:ascii="Times New Roman" w:hAnsi="Times New Roman" w:cs="Times New Roman"/>
          <w:sz w:val="28"/>
          <w:szCs w:val="28"/>
        </w:rPr>
        <w:t>альної гіперліпемії зумовлена п</w:t>
      </w:r>
      <w:r w:rsidR="00AD09D0" w:rsidRPr="007F5722">
        <w:rPr>
          <w:rFonts w:ascii="Times New Roman" w:hAnsi="Times New Roman" w:cs="Times New Roman"/>
          <w:sz w:val="28"/>
          <w:szCs w:val="28"/>
        </w:rPr>
        <w:t>ідвищеним утворенням в кишківнику</w:t>
      </w:r>
      <w:r w:rsidRPr="007F5722">
        <w:rPr>
          <w:rFonts w:ascii="Times New Roman" w:hAnsi="Times New Roman" w:cs="Times New Roman"/>
          <w:sz w:val="28"/>
          <w:szCs w:val="28"/>
        </w:rPr>
        <w:t xml:space="preserve"> хіломікронів, багатих на ТГ, і накопиченням у кровотоці після їх ліполізу ремнантів. Харчові жирові навантаження є важливою складовою повсякденного життя людини. Залежно від об'єму та складу їжі постпрандіальна ліпемічна відповідь може тривати до 8 годин, тому можно вважати, що людина безперервно знаходиться у стані постпрандіальної ліпемії. На сьогоднішній день відомо, що найінформативнішим марке</w:t>
      </w:r>
      <w:r w:rsidR="00AD09D0" w:rsidRPr="007F5722">
        <w:rPr>
          <w:rFonts w:ascii="Times New Roman" w:hAnsi="Times New Roman" w:cs="Times New Roman"/>
          <w:sz w:val="28"/>
          <w:szCs w:val="28"/>
        </w:rPr>
        <w:t>ром атерогенезу є Апо</w:t>
      </w:r>
      <w:r w:rsidRPr="007F5722">
        <w:rPr>
          <w:rFonts w:ascii="Times New Roman" w:hAnsi="Times New Roman" w:cs="Times New Roman"/>
          <w:sz w:val="28"/>
          <w:szCs w:val="28"/>
        </w:rPr>
        <w:t xml:space="preserve"> В.</w:t>
      </w:r>
    </w:p>
    <w:p w:rsidR="00391CF7" w:rsidRPr="007F5722" w:rsidRDefault="00391CF7" w:rsidP="00391CF7">
      <w:pPr>
        <w:spacing w:after="0" w:line="360" w:lineRule="auto"/>
        <w:ind w:firstLine="709"/>
        <w:contextualSpacing/>
        <w:jc w:val="both"/>
        <w:rPr>
          <w:rFonts w:ascii="Times New Roman" w:hAnsi="Times New Roman" w:cs="Times New Roman"/>
          <w:sz w:val="28"/>
          <w:szCs w:val="28"/>
        </w:rPr>
      </w:pPr>
      <w:r w:rsidRPr="007F5722">
        <w:rPr>
          <w:rFonts w:ascii="Times New Roman" w:hAnsi="Times New Roman" w:cs="Times New Roman"/>
          <w:sz w:val="28"/>
          <w:szCs w:val="28"/>
        </w:rPr>
        <w:t xml:space="preserve">Останнім часом активно досліджується роль імунної системи в регулюванні метаболізму </w:t>
      </w:r>
      <w:r w:rsidR="000929CA" w:rsidRPr="007F5722">
        <w:rPr>
          <w:rFonts w:ascii="Times New Roman" w:hAnsi="Times New Roman" w:cs="Times New Roman"/>
          <w:sz w:val="28"/>
          <w:szCs w:val="28"/>
        </w:rPr>
        <w:t>[</w:t>
      </w:r>
      <w:r w:rsidR="00AD09D0" w:rsidRPr="007F5722">
        <w:rPr>
          <w:rFonts w:ascii="Times New Roman" w:hAnsi="Times New Roman" w:cs="Times New Roman"/>
          <w:sz w:val="28"/>
          <w:szCs w:val="28"/>
        </w:rPr>
        <w:t>10</w:t>
      </w:r>
      <w:r w:rsidR="000929CA" w:rsidRPr="007F5722">
        <w:rPr>
          <w:rFonts w:ascii="Times New Roman" w:hAnsi="Times New Roman" w:cs="Times New Roman"/>
          <w:sz w:val="28"/>
          <w:szCs w:val="28"/>
        </w:rPr>
        <w:t>]</w:t>
      </w:r>
      <w:r w:rsidRPr="007F5722">
        <w:rPr>
          <w:rFonts w:ascii="Times New Roman" w:hAnsi="Times New Roman" w:cs="Times New Roman"/>
          <w:sz w:val="28"/>
          <w:szCs w:val="28"/>
        </w:rPr>
        <w:t>.</w:t>
      </w:r>
      <w:r w:rsidRPr="007F5722">
        <w:rPr>
          <w:rFonts w:ascii="Times New Roman" w:hAnsi="Times New Roman" w:cs="Times New Roman"/>
          <w:sz w:val="28"/>
          <w:szCs w:val="28"/>
          <w:lang w:eastAsia="uk-UA"/>
        </w:rPr>
        <w:t xml:space="preserve"> </w:t>
      </w:r>
      <w:r w:rsidRPr="007F5722">
        <w:rPr>
          <w:rFonts w:ascii="Times New Roman" w:hAnsi="Times New Roman" w:cs="Times New Roman"/>
          <w:sz w:val="28"/>
          <w:szCs w:val="28"/>
        </w:rPr>
        <w:t>Вченими Квінслендського університету проводилось дослідження впливу прозапальн</w:t>
      </w:r>
      <w:r w:rsidR="000929CA" w:rsidRPr="007F5722">
        <w:rPr>
          <w:rFonts w:ascii="Times New Roman" w:hAnsi="Times New Roman" w:cs="Times New Roman"/>
          <w:sz w:val="28"/>
          <w:szCs w:val="28"/>
        </w:rPr>
        <w:t>ого цитокіну – ІЛ-22</w:t>
      </w:r>
      <w:r w:rsidRPr="007F5722">
        <w:rPr>
          <w:rFonts w:ascii="Times New Roman" w:hAnsi="Times New Roman" w:cs="Times New Roman"/>
          <w:sz w:val="28"/>
          <w:szCs w:val="28"/>
        </w:rPr>
        <w:t xml:space="preserve"> на метаболічні порушення. У дослідже</w:t>
      </w:r>
      <w:r w:rsidR="00AD09D0" w:rsidRPr="007F5722">
        <w:rPr>
          <w:rFonts w:ascii="Times New Roman" w:hAnsi="Times New Roman" w:cs="Times New Roman"/>
          <w:sz w:val="28"/>
          <w:szCs w:val="28"/>
        </w:rPr>
        <w:t>нні на мишах з надлишковою масою</w:t>
      </w:r>
      <w:r w:rsidRPr="007F5722">
        <w:rPr>
          <w:rFonts w:ascii="Times New Roman" w:hAnsi="Times New Roman" w:cs="Times New Roman"/>
          <w:sz w:val="28"/>
          <w:szCs w:val="28"/>
        </w:rPr>
        <w:t xml:space="preserve"> тіла було встановлено вплив ІЛ-22 на метаболічні процеси, у тому числі на ліпідний обмін у </w:t>
      </w:r>
      <w:r w:rsidR="000929CA" w:rsidRPr="007F5722">
        <w:rPr>
          <w:rFonts w:ascii="Times New Roman" w:hAnsi="Times New Roman" w:cs="Times New Roman"/>
          <w:sz w:val="28"/>
          <w:szCs w:val="28"/>
        </w:rPr>
        <w:t>печінці та жировій тканині [</w:t>
      </w:r>
      <w:r w:rsidR="00AD09D0" w:rsidRPr="007F5722">
        <w:rPr>
          <w:rFonts w:ascii="Times New Roman" w:hAnsi="Times New Roman" w:cs="Times New Roman"/>
          <w:sz w:val="28"/>
          <w:szCs w:val="28"/>
        </w:rPr>
        <w:t>11</w:t>
      </w:r>
      <w:r w:rsidR="000929CA" w:rsidRPr="007F5722">
        <w:rPr>
          <w:rFonts w:ascii="Times New Roman" w:hAnsi="Times New Roman" w:cs="Times New Roman"/>
          <w:sz w:val="28"/>
          <w:szCs w:val="28"/>
        </w:rPr>
        <w:t>]</w:t>
      </w:r>
      <w:r w:rsidRPr="007F5722">
        <w:rPr>
          <w:rFonts w:ascii="Times New Roman" w:hAnsi="Times New Roman" w:cs="Times New Roman"/>
          <w:sz w:val="28"/>
          <w:szCs w:val="28"/>
        </w:rPr>
        <w:t>. Також було встановлено, що ІЛ-22 приймає участь у захисті β-клітин підшлункової залози від оксидативного стресу у експерименті на мишах. Так, ін'єкції з ІЛ-22 мишам з цукровим діабетом 2 типу дали позитивний результат – у них відновилася робота β-клітин підшлункової залози, нормалізувався рівень цукру у крові і навіть відновилась чутливіс</w:t>
      </w:r>
      <w:r w:rsidR="000929CA" w:rsidRPr="007F5722">
        <w:rPr>
          <w:rFonts w:ascii="Times New Roman" w:hAnsi="Times New Roman" w:cs="Times New Roman"/>
          <w:sz w:val="28"/>
          <w:szCs w:val="28"/>
        </w:rPr>
        <w:t>ть клітин і тканин до інсуліну [1</w:t>
      </w:r>
      <w:r w:rsidR="004D6544" w:rsidRPr="007F5722">
        <w:rPr>
          <w:rFonts w:ascii="Times New Roman" w:hAnsi="Times New Roman" w:cs="Times New Roman"/>
          <w:sz w:val="28"/>
          <w:szCs w:val="28"/>
        </w:rPr>
        <w:t>1</w:t>
      </w:r>
      <w:r w:rsidR="000929CA" w:rsidRPr="007F5722">
        <w:rPr>
          <w:rFonts w:ascii="Times New Roman" w:hAnsi="Times New Roman" w:cs="Times New Roman"/>
          <w:sz w:val="28"/>
          <w:szCs w:val="28"/>
        </w:rPr>
        <w:t>]</w:t>
      </w:r>
      <w:r w:rsidRPr="007F5722">
        <w:rPr>
          <w:rFonts w:ascii="Times New Roman" w:hAnsi="Times New Roman" w:cs="Times New Roman"/>
          <w:sz w:val="28"/>
          <w:szCs w:val="28"/>
        </w:rPr>
        <w:t xml:space="preserve">. Також у цьому дослідженні було встановлено, що тварини, яким вводився ІЛ-22, втрачали надлишкову вагу, але механізм цього явища доки не ясний. Не зважаючи на </w:t>
      </w:r>
      <w:r w:rsidRPr="007F5722">
        <w:rPr>
          <w:rFonts w:ascii="Times New Roman" w:hAnsi="Times New Roman" w:cs="Times New Roman"/>
          <w:sz w:val="28"/>
          <w:szCs w:val="28"/>
        </w:rPr>
        <w:lastRenderedPageBreak/>
        <w:t>різноманіття ефектів ІЛ-22, виявлених завдяки експериментальним дослідженням, вплив його на стан ліпідного профілю у людей є недостатньо вивченим, тому важливим і актуальним є подальше вивчення особливостей активн</w:t>
      </w:r>
      <w:r w:rsidR="007F68E5">
        <w:rPr>
          <w:rFonts w:ascii="Times New Roman" w:hAnsi="Times New Roman" w:cs="Times New Roman"/>
          <w:sz w:val="28"/>
          <w:szCs w:val="28"/>
        </w:rPr>
        <w:t>ості даного цитокіну в плазмі</w:t>
      </w:r>
      <w:r w:rsidRPr="007F5722">
        <w:rPr>
          <w:rFonts w:ascii="Times New Roman" w:hAnsi="Times New Roman" w:cs="Times New Roman"/>
          <w:sz w:val="28"/>
          <w:szCs w:val="28"/>
        </w:rPr>
        <w:t xml:space="preserve"> крові в аспекті порушень ліпідного профілю у хворих на гіпертонічну хворобу з ожирінням, що дозволить удосконалити діагностику та оптимізувати тактику лікування таких хворих.</w:t>
      </w:r>
    </w:p>
    <w:p w:rsidR="00391CF7" w:rsidRPr="007F5722" w:rsidRDefault="00391CF7" w:rsidP="00391CF7">
      <w:pPr>
        <w:spacing w:after="0" w:line="360" w:lineRule="auto"/>
        <w:ind w:firstLine="709"/>
        <w:contextualSpacing/>
        <w:jc w:val="both"/>
        <w:rPr>
          <w:rFonts w:ascii="Times New Roman" w:hAnsi="Times New Roman" w:cs="Times New Roman"/>
          <w:sz w:val="28"/>
          <w:szCs w:val="28"/>
        </w:rPr>
      </w:pPr>
      <w:r w:rsidRPr="007F5722">
        <w:rPr>
          <w:rFonts w:ascii="Times New Roman" w:hAnsi="Times New Roman" w:cs="Times New Roman"/>
          <w:sz w:val="28"/>
          <w:szCs w:val="28"/>
        </w:rPr>
        <w:t xml:space="preserve">Незважаючи на вже проведені експериментальні та клінічні дослідження, залишилася низка питань, що потребує більш детальнішого вивчення з метою розробки методів ранньої діагностики, більш ретельнішої профілактики </w:t>
      </w:r>
      <w:r w:rsidRPr="007F5722">
        <w:rPr>
          <w:rFonts w:ascii="Times New Roman" w:hAnsi="Times New Roman" w:cs="Times New Roman"/>
          <w:sz w:val="28"/>
          <w:szCs w:val="28"/>
          <w:lang w:eastAsia="uk-UA"/>
        </w:rPr>
        <w:t>гіпертонічної хвороби у поєднанні з ожирінням.</w:t>
      </w:r>
    </w:p>
    <w:p w:rsidR="00391CF7" w:rsidRPr="007F5722" w:rsidRDefault="00391CF7" w:rsidP="00391CF7">
      <w:pPr>
        <w:spacing w:after="0" w:line="360" w:lineRule="auto"/>
        <w:ind w:firstLine="709"/>
        <w:contextualSpacing/>
        <w:jc w:val="both"/>
        <w:rPr>
          <w:rFonts w:ascii="Times New Roman" w:hAnsi="Times New Roman" w:cs="Times New Roman"/>
          <w:sz w:val="28"/>
          <w:szCs w:val="28"/>
        </w:rPr>
      </w:pPr>
      <w:r w:rsidRPr="007F5722">
        <w:rPr>
          <w:rFonts w:ascii="Times New Roman" w:hAnsi="Times New Roman" w:cs="Times New Roman"/>
          <w:b/>
          <w:sz w:val="28"/>
          <w:szCs w:val="28"/>
        </w:rPr>
        <w:t>Зв'язок роботи з науковими програмами</w:t>
      </w:r>
      <w:r w:rsidRPr="007F5722">
        <w:rPr>
          <w:rFonts w:ascii="Times New Roman" w:hAnsi="Times New Roman" w:cs="Times New Roman"/>
          <w:sz w:val="28"/>
          <w:szCs w:val="28"/>
        </w:rPr>
        <w:t xml:space="preserve">, </w:t>
      </w:r>
      <w:r w:rsidRPr="007F5722">
        <w:rPr>
          <w:rFonts w:ascii="Times New Roman" w:hAnsi="Times New Roman" w:cs="Times New Roman"/>
          <w:b/>
          <w:sz w:val="28"/>
          <w:szCs w:val="28"/>
        </w:rPr>
        <w:t>планами, темами</w:t>
      </w:r>
      <w:r w:rsidRPr="007F5722">
        <w:rPr>
          <w:rFonts w:ascii="Times New Roman" w:hAnsi="Times New Roman" w:cs="Times New Roman"/>
          <w:sz w:val="28"/>
          <w:szCs w:val="28"/>
        </w:rPr>
        <w:t xml:space="preserve">. Дисертація є фрагментом науково-дослідної роботи кафедри пропедевтики внутрішньої медицини №1, основ біоетики та біобезпеки Харківського національного медичного університету МОЗ України </w:t>
      </w:r>
      <w:r w:rsidRPr="007F5722">
        <w:rPr>
          <w:rFonts w:ascii="Times New Roman" w:eastAsia="Times New Roman" w:hAnsi="Times New Roman" w:cs="Times New Roman"/>
          <w:sz w:val="28"/>
          <w:szCs w:val="28"/>
          <w:lang w:eastAsia="ru-RU"/>
        </w:rPr>
        <w:t>«Роль та прогностична концепція глюкометаболічних порушень у хворих на артеріальну гіпертензію та цукровий діабет 2 типу», номер держреєстрації 0113U002269 термін</w:t>
      </w:r>
      <w:r w:rsidR="00CC6580">
        <w:rPr>
          <w:rFonts w:ascii="Times New Roman" w:eastAsia="Times New Roman" w:hAnsi="Times New Roman" w:cs="Times New Roman"/>
          <w:sz w:val="28"/>
          <w:szCs w:val="28"/>
          <w:lang w:eastAsia="ru-RU"/>
        </w:rPr>
        <w:t xml:space="preserve"> виконання</w:t>
      </w:r>
      <w:r w:rsidRPr="007F5722">
        <w:rPr>
          <w:rFonts w:ascii="Times New Roman" w:eastAsia="Times New Roman" w:hAnsi="Times New Roman" w:cs="Times New Roman"/>
          <w:sz w:val="28"/>
          <w:szCs w:val="28"/>
          <w:lang w:eastAsia="ru-RU"/>
        </w:rPr>
        <w:t>: 01.2013 - 12.2015 рр, «Роль новітніх біомаркерів метаболізму жирової тканини в оцінці серцево-судинного ризику у хворих на артеріальну гіпертензію з ожирінням», номер держреєстрації 0116U004988 термін</w:t>
      </w:r>
      <w:r w:rsidR="00CC6580">
        <w:rPr>
          <w:rFonts w:ascii="Times New Roman" w:eastAsia="Times New Roman" w:hAnsi="Times New Roman" w:cs="Times New Roman"/>
          <w:sz w:val="28"/>
          <w:szCs w:val="28"/>
          <w:lang w:eastAsia="ru-RU"/>
        </w:rPr>
        <w:t xml:space="preserve"> виконання</w:t>
      </w:r>
      <w:r w:rsidRPr="007F5722">
        <w:rPr>
          <w:rFonts w:ascii="Times New Roman" w:eastAsia="Times New Roman" w:hAnsi="Times New Roman" w:cs="Times New Roman"/>
          <w:sz w:val="28"/>
          <w:szCs w:val="28"/>
          <w:lang w:eastAsia="ru-RU"/>
        </w:rPr>
        <w:t>: 01.2016 - 12.2018 рр.</w:t>
      </w:r>
    </w:p>
    <w:p w:rsidR="00511E42" w:rsidRPr="007F5722" w:rsidRDefault="00391CF7" w:rsidP="00511E42">
      <w:pPr>
        <w:spacing w:after="0" w:line="360" w:lineRule="auto"/>
        <w:ind w:firstLine="709"/>
        <w:contextualSpacing/>
        <w:jc w:val="both"/>
        <w:rPr>
          <w:rFonts w:ascii="Times New Roman" w:hAnsi="Times New Roman"/>
          <w:sz w:val="28"/>
          <w:szCs w:val="28"/>
        </w:rPr>
      </w:pPr>
      <w:r w:rsidRPr="007F5722">
        <w:rPr>
          <w:rFonts w:ascii="Times New Roman" w:hAnsi="Times New Roman" w:cs="Times New Roman"/>
          <w:b/>
          <w:sz w:val="28"/>
          <w:szCs w:val="28"/>
        </w:rPr>
        <w:t>Мета дослідження</w:t>
      </w:r>
      <w:r w:rsidRPr="007F5722">
        <w:rPr>
          <w:rFonts w:ascii="Times New Roman" w:hAnsi="Times New Roman" w:cs="Times New Roman"/>
          <w:sz w:val="28"/>
          <w:szCs w:val="28"/>
        </w:rPr>
        <w:t xml:space="preserve">: </w:t>
      </w:r>
      <w:r w:rsidR="00CC6580" w:rsidRPr="00013498">
        <w:rPr>
          <w:rFonts w:ascii="Times New Roman" w:hAnsi="Times New Roman"/>
          <w:sz w:val="28"/>
          <w:szCs w:val="28"/>
        </w:rPr>
        <w:t xml:space="preserve">оптимізація ранньої діагностики дисліпідемії </w:t>
      </w:r>
      <w:r w:rsidR="00CC6580">
        <w:rPr>
          <w:rFonts w:ascii="Times New Roman" w:hAnsi="Times New Roman"/>
          <w:sz w:val="28"/>
          <w:szCs w:val="28"/>
        </w:rPr>
        <w:t>та прогнозування</w:t>
      </w:r>
      <w:r w:rsidR="00CC6580" w:rsidRPr="00013498">
        <w:rPr>
          <w:rFonts w:ascii="Times New Roman" w:hAnsi="Times New Roman"/>
          <w:sz w:val="28"/>
          <w:szCs w:val="28"/>
        </w:rPr>
        <w:t xml:space="preserve"> предикторів </w:t>
      </w:r>
      <w:r w:rsidR="00CC6580" w:rsidRPr="00121B5B">
        <w:rPr>
          <w:rFonts w:ascii="Times New Roman" w:hAnsi="Times New Roman"/>
          <w:sz w:val="28"/>
          <w:szCs w:val="28"/>
        </w:rPr>
        <w:t>атерогенезу</w:t>
      </w:r>
      <w:r w:rsidR="00CC6580" w:rsidRPr="00013498">
        <w:rPr>
          <w:rFonts w:ascii="Times New Roman" w:hAnsi="Times New Roman"/>
          <w:sz w:val="28"/>
          <w:szCs w:val="28"/>
        </w:rPr>
        <w:t xml:space="preserve"> на підставі визначення показників ліпідного профілю</w:t>
      </w:r>
      <w:r w:rsidR="00CC6580" w:rsidRPr="004453FA">
        <w:rPr>
          <w:rFonts w:ascii="Times New Roman" w:hAnsi="Times New Roman"/>
          <w:sz w:val="28"/>
          <w:szCs w:val="28"/>
        </w:rPr>
        <w:t xml:space="preserve"> </w:t>
      </w:r>
      <w:r w:rsidR="00CC6580" w:rsidRPr="00013498">
        <w:rPr>
          <w:rFonts w:ascii="Times New Roman" w:hAnsi="Times New Roman"/>
          <w:sz w:val="28"/>
          <w:szCs w:val="28"/>
        </w:rPr>
        <w:t>натще та постпрандіально</w:t>
      </w:r>
      <w:r w:rsidR="00CC6580" w:rsidRPr="00C80F18">
        <w:rPr>
          <w:rFonts w:ascii="Times New Roman" w:hAnsi="Times New Roman"/>
          <w:sz w:val="28"/>
          <w:szCs w:val="28"/>
        </w:rPr>
        <w:t>,</w:t>
      </w:r>
      <w:r w:rsidR="00CC6580" w:rsidRPr="00013498">
        <w:rPr>
          <w:rFonts w:ascii="Times New Roman" w:hAnsi="Times New Roman"/>
          <w:sz w:val="28"/>
          <w:szCs w:val="28"/>
        </w:rPr>
        <w:t xml:space="preserve"> аполіпопротеіну В</w:t>
      </w:r>
      <w:r w:rsidR="00CC6580">
        <w:rPr>
          <w:rFonts w:ascii="Times New Roman" w:hAnsi="Times New Roman"/>
          <w:sz w:val="28"/>
          <w:szCs w:val="28"/>
        </w:rPr>
        <w:t>,</w:t>
      </w:r>
      <w:r w:rsidR="00CC6580" w:rsidRPr="00013498">
        <w:rPr>
          <w:rFonts w:ascii="Times New Roman" w:hAnsi="Times New Roman"/>
          <w:sz w:val="28"/>
          <w:szCs w:val="28"/>
        </w:rPr>
        <w:t xml:space="preserve"> плаз</w:t>
      </w:r>
      <w:r w:rsidR="00CC6580">
        <w:rPr>
          <w:rFonts w:ascii="Times New Roman" w:hAnsi="Times New Roman"/>
          <w:sz w:val="28"/>
          <w:szCs w:val="28"/>
        </w:rPr>
        <w:t>матичного рівня інтерлейкіну-22</w:t>
      </w:r>
      <w:r w:rsidR="00CC6580" w:rsidRPr="00013498">
        <w:rPr>
          <w:rFonts w:ascii="Times New Roman" w:hAnsi="Times New Roman"/>
          <w:sz w:val="28"/>
          <w:szCs w:val="28"/>
        </w:rPr>
        <w:t xml:space="preserve"> у комплексі з оцінкою структурно-функціональних змін серця та судин у хворих на гіпертонічну хворобу з ожирінням.</w:t>
      </w:r>
      <w:r w:rsidR="00511E42" w:rsidRPr="007F5722">
        <w:rPr>
          <w:rFonts w:ascii="Times New Roman" w:hAnsi="Times New Roman"/>
          <w:sz w:val="28"/>
          <w:szCs w:val="28"/>
        </w:rPr>
        <w:t>.</w:t>
      </w:r>
    </w:p>
    <w:p w:rsidR="00391CF7" w:rsidRPr="007F5722" w:rsidRDefault="00391CF7" w:rsidP="00391CF7">
      <w:pPr>
        <w:spacing w:after="0" w:line="360" w:lineRule="auto"/>
        <w:ind w:firstLine="709"/>
        <w:contextualSpacing/>
        <w:jc w:val="both"/>
        <w:rPr>
          <w:rFonts w:ascii="Times New Roman" w:hAnsi="Times New Roman" w:cs="Times New Roman"/>
          <w:sz w:val="28"/>
          <w:szCs w:val="28"/>
        </w:rPr>
      </w:pPr>
      <w:r w:rsidRPr="007F5722">
        <w:rPr>
          <w:rFonts w:ascii="Times New Roman" w:hAnsi="Times New Roman" w:cs="Times New Roman"/>
          <w:sz w:val="28"/>
          <w:szCs w:val="28"/>
        </w:rPr>
        <w:t>Виходячи з поставленої мети, визначено наступні завдання дослідження:</w:t>
      </w:r>
    </w:p>
    <w:p w:rsidR="00511E42" w:rsidRPr="007F5722" w:rsidRDefault="00CC6580" w:rsidP="00511E42">
      <w:pPr>
        <w:pStyle w:val="a8"/>
        <w:numPr>
          <w:ilvl w:val="0"/>
          <w:numId w:val="6"/>
        </w:numPr>
        <w:spacing w:after="0" w:line="360" w:lineRule="auto"/>
        <w:jc w:val="both"/>
        <w:rPr>
          <w:rFonts w:ascii="Times New Roman" w:hAnsi="Times New Roman"/>
          <w:sz w:val="28"/>
          <w:szCs w:val="28"/>
        </w:rPr>
      </w:pPr>
      <w:r w:rsidRPr="00B70793">
        <w:rPr>
          <w:rFonts w:ascii="Times New Roman" w:hAnsi="Times New Roman"/>
          <w:sz w:val="28"/>
          <w:szCs w:val="28"/>
        </w:rPr>
        <w:t xml:space="preserve">Дослідити </w:t>
      </w:r>
      <w:r>
        <w:rPr>
          <w:rFonts w:ascii="Times New Roman" w:hAnsi="Times New Roman"/>
          <w:sz w:val="28"/>
          <w:szCs w:val="28"/>
        </w:rPr>
        <w:t>плазматичний</w:t>
      </w:r>
      <w:r w:rsidRPr="00B70793">
        <w:rPr>
          <w:rFonts w:ascii="Times New Roman" w:hAnsi="Times New Roman"/>
          <w:sz w:val="28"/>
          <w:szCs w:val="28"/>
        </w:rPr>
        <w:t xml:space="preserve"> рівень інтерлейкіну-22 у пацієнтів на гіпертонічну хворобу залежно від наяв</w:t>
      </w:r>
      <w:r>
        <w:rPr>
          <w:rFonts w:ascii="Times New Roman" w:hAnsi="Times New Roman"/>
          <w:sz w:val="28"/>
          <w:szCs w:val="28"/>
        </w:rPr>
        <w:t>ності, ступеня та типу ожиріння</w:t>
      </w:r>
      <w:r w:rsidR="00511E42" w:rsidRPr="007F5722">
        <w:rPr>
          <w:rFonts w:ascii="Times New Roman" w:hAnsi="Times New Roman"/>
          <w:sz w:val="28"/>
          <w:szCs w:val="28"/>
        </w:rPr>
        <w:t xml:space="preserve">. </w:t>
      </w:r>
    </w:p>
    <w:p w:rsidR="00511E42" w:rsidRPr="007F5722" w:rsidRDefault="00CC6580" w:rsidP="00511E42">
      <w:pPr>
        <w:pStyle w:val="a8"/>
        <w:numPr>
          <w:ilvl w:val="0"/>
          <w:numId w:val="6"/>
        </w:numPr>
        <w:spacing w:after="0" w:line="360" w:lineRule="auto"/>
        <w:jc w:val="both"/>
        <w:rPr>
          <w:rFonts w:ascii="Times New Roman" w:hAnsi="Times New Roman"/>
          <w:sz w:val="28"/>
          <w:szCs w:val="28"/>
        </w:rPr>
      </w:pPr>
      <w:r w:rsidRPr="00B70793">
        <w:rPr>
          <w:rFonts w:ascii="Times New Roman" w:hAnsi="Times New Roman"/>
          <w:sz w:val="28"/>
          <w:szCs w:val="28"/>
        </w:rPr>
        <w:lastRenderedPageBreak/>
        <w:t>Визначити параметри ліпідного профілю натще та після стандартного жирового навантаження (сурогатного сніданку) і рівень аполіпопротеїну В у хворих на гіпертонічну хворобу в залежності від наявності ожиріння.</w:t>
      </w:r>
    </w:p>
    <w:p w:rsidR="00511E42" w:rsidRPr="007F5722" w:rsidRDefault="00CC6580" w:rsidP="00511E42">
      <w:pPr>
        <w:pStyle w:val="a8"/>
        <w:numPr>
          <w:ilvl w:val="0"/>
          <w:numId w:val="6"/>
        </w:numPr>
        <w:spacing w:after="0" w:line="360" w:lineRule="auto"/>
        <w:jc w:val="both"/>
        <w:rPr>
          <w:rFonts w:ascii="Times New Roman" w:hAnsi="Times New Roman"/>
          <w:sz w:val="28"/>
          <w:szCs w:val="28"/>
        </w:rPr>
      </w:pPr>
      <w:r w:rsidRPr="00B70793">
        <w:rPr>
          <w:rFonts w:ascii="Times New Roman" w:hAnsi="Times New Roman"/>
          <w:sz w:val="28"/>
          <w:szCs w:val="28"/>
        </w:rPr>
        <w:t>Вивчити</w:t>
      </w:r>
      <w:r>
        <w:rPr>
          <w:rFonts w:ascii="Times New Roman" w:hAnsi="Times New Roman"/>
          <w:sz w:val="28"/>
          <w:szCs w:val="28"/>
        </w:rPr>
        <w:t xml:space="preserve"> </w:t>
      </w:r>
      <w:r w:rsidRPr="00B70793">
        <w:rPr>
          <w:rFonts w:ascii="Times New Roman" w:hAnsi="Times New Roman"/>
          <w:sz w:val="28"/>
          <w:szCs w:val="28"/>
        </w:rPr>
        <w:t xml:space="preserve">у плазмі крові вміст </w:t>
      </w:r>
      <w:r w:rsidRPr="00EC6913">
        <w:rPr>
          <w:rFonts w:ascii="Times New Roman" w:hAnsi="Times New Roman"/>
          <w:sz w:val="28"/>
          <w:szCs w:val="28"/>
        </w:rPr>
        <w:t>прозапального інтерлейкіну-22 у</w:t>
      </w:r>
      <w:r w:rsidRPr="00B70793">
        <w:rPr>
          <w:rFonts w:ascii="Times New Roman" w:hAnsi="Times New Roman"/>
          <w:sz w:val="28"/>
          <w:szCs w:val="28"/>
        </w:rPr>
        <w:t xml:space="preserve"> взаємозв’язку з параметрами ліпідного </w:t>
      </w:r>
      <w:r>
        <w:rPr>
          <w:rFonts w:ascii="Times New Roman" w:hAnsi="Times New Roman"/>
          <w:sz w:val="28"/>
          <w:szCs w:val="28"/>
        </w:rPr>
        <w:t>профілю</w:t>
      </w:r>
      <w:r w:rsidRPr="00B70793">
        <w:rPr>
          <w:rFonts w:ascii="Times New Roman" w:hAnsi="Times New Roman"/>
          <w:sz w:val="28"/>
          <w:szCs w:val="28"/>
        </w:rPr>
        <w:t xml:space="preserve"> та аполіпопротеїну В у хворих на гіпертонічну хворобу з ожирінням.</w:t>
      </w:r>
    </w:p>
    <w:p w:rsidR="00511E42" w:rsidRPr="007F5722" w:rsidRDefault="00CC6580" w:rsidP="00511E42">
      <w:pPr>
        <w:pStyle w:val="a8"/>
        <w:numPr>
          <w:ilvl w:val="0"/>
          <w:numId w:val="6"/>
        </w:numPr>
        <w:spacing w:after="0" w:line="360" w:lineRule="auto"/>
        <w:jc w:val="both"/>
        <w:rPr>
          <w:rFonts w:ascii="Times New Roman" w:hAnsi="Times New Roman"/>
          <w:sz w:val="28"/>
          <w:szCs w:val="28"/>
        </w:rPr>
      </w:pPr>
      <w:r w:rsidRPr="00B70793">
        <w:rPr>
          <w:rFonts w:ascii="Times New Roman" w:hAnsi="Times New Roman"/>
          <w:sz w:val="28"/>
          <w:szCs w:val="28"/>
        </w:rPr>
        <w:t>Проаналізувати структурно-фун</w:t>
      </w:r>
      <w:r>
        <w:rPr>
          <w:rFonts w:ascii="Times New Roman" w:hAnsi="Times New Roman"/>
          <w:sz w:val="28"/>
          <w:szCs w:val="28"/>
        </w:rPr>
        <w:t>кціональні параметри міокарду лівого шлуночка</w:t>
      </w:r>
      <w:r w:rsidRPr="00B70793">
        <w:rPr>
          <w:rFonts w:ascii="Times New Roman" w:hAnsi="Times New Roman"/>
          <w:sz w:val="28"/>
          <w:szCs w:val="28"/>
        </w:rPr>
        <w:t xml:space="preserve"> та визначити особливості ремоделювання міокарду лівого шлуночка у хворих на гіпертонічну хворобу з ожирінням в залежності від рівня інтерлейкіну-22</w:t>
      </w:r>
      <w:r w:rsidR="00511E42" w:rsidRPr="007F5722">
        <w:rPr>
          <w:rFonts w:ascii="Times New Roman" w:hAnsi="Times New Roman"/>
          <w:sz w:val="28"/>
          <w:szCs w:val="28"/>
        </w:rPr>
        <w:t>.</w:t>
      </w:r>
    </w:p>
    <w:p w:rsidR="00511E42" w:rsidRPr="007F5722" w:rsidRDefault="00CC6580" w:rsidP="00511E42">
      <w:pPr>
        <w:pStyle w:val="a8"/>
        <w:numPr>
          <w:ilvl w:val="0"/>
          <w:numId w:val="6"/>
        </w:numPr>
        <w:spacing w:after="0" w:line="360" w:lineRule="auto"/>
        <w:jc w:val="both"/>
        <w:rPr>
          <w:rFonts w:ascii="Times New Roman" w:hAnsi="Times New Roman"/>
          <w:sz w:val="28"/>
          <w:szCs w:val="28"/>
        </w:rPr>
      </w:pPr>
      <w:r w:rsidRPr="00B70793">
        <w:rPr>
          <w:rFonts w:ascii="Times New Roman" w:hAnsi="Times New Roman"/>
          <w:sz w:val="28"/>
          <w:szCs w:val="28"/>
        </w:rPr>
        <w:t>Дослідити екстракраніальні судини та визначити особливості ремоделювання загальних сонних артерій у хворих на гіпертонічну хворобу з ожирінням залежно від рівня інтер</w:t>
      </w:r>
      <w:r>
        <w:rPr>
          <w:rFonts w:ascii="Times New Roman" w:hAnsi="Times New Roman"/>
          <w:sz w:val="28"/>
          <w:szCs w:val="28"/>
        </w:rPr>
        <w:t>лейкіну-22 та аполіпопротеїну В</w:t>
      </w:r>
      <w:r w:rsidR="00511E42" w:rsidRPr="007F5722">
        <w:rPr>
          <w:rFonts w:ascii="Times New Roman" w:hAnsi="Times New Roman"/>
          <w:sz w:val="28"/>
          <w:szCs w:val="28"/>
        </w:rPr>
        <w:t>.</w:t>
      </w:r>
    </w:p>
    <w:p w:rsidR="00391CF7" w:rsidRPr="007F5722" w:rsidRDefault="00391CF7" w:rsidP="007C1DEA">
      <w:pPr>
        <w:pStyle w:val="a8"/>
        <w:spacing w:after="0" w:line="360" w:lineRule="auto"/>
        <w:ind w:left="0" w:firstLine="708"/>
        <w:jc w:val="both"/>
        <w:rPr>
          <w:rFonts w:ascii="Times New Roman" w:hAnsi="Times New Roman" w:cs="Times New Roman"/>
          <w:sz w:val="28"/>
          <w:szCs w:val="28"/>
        </w:rPr>
      </w:pPr>
      <w:r w:rsidRPr="007F5722">
        <w:rPr>
          <w:rFonts w:ascii="Times New Roman" w:hAnsi="Times New Roman" w:cs="Times New Roman"/>
          <w:i/>
          <w:sz w:val="28"/>
          <w:szCs w:val="28"/>
        </w:rPr>
        <w:t>Об'єкт дослідження</w:t>
      </w:r>
      <w:r w:rsidRPr="007F5722">
        <w:rPr>
          <w:rFonts w:ascii="Times New Roman" w:hAnsi="Times New Roman" w:cs="Times New Roman"/>
          <w:sz w:val="28"/>
          <w:szCs w:val="28"/>
        </w:rPr>
        <w:t xml:space="preserve">: гіпертонічна хвороба в поєднанні з ожирінням. </w:t>
      </w:r>
    </w:p>
    <w:p w:rsidR="00C4058B" w:rsidRPr="007F5722" w:rsidRDefault="00391CF7" w:rsidP="007C1DEA">
      <w:pPr>
        <w:pStyle w:val="a8"/>
        <w:spacing w:after="0" w:line="360" w:lineRule="auto"/>
        <w:ind w:left="0" w:firstLine="708"/>
        <w:jc w:val="both"/>
        <w:rPr>
          <w:rFonts w:ascii="Times New Roman" w:hAnsi="Times New Roman" w:cs="Times New Roman"/>
          <w:sz w:val="28"/>
          <w:szCs w:val="28"/>
        </w:rPr>
      </w:pPr>
      <w:r w:rsidRPr="007F5722">
        <w:rPr>
          <w:rFonts w:ascii="Times New Roman" w:hAnsi="Times New Roman" w:cs="Times New Roman"/>
          <w:i/>
          <w:sz w:val="28"/>
          <w:szCs w:val="28"/>
        </w:rPr>
        <w:t>Предмет дослідження</w:t>
      </w:r>
      <w:r w:rsidRPr="007F5722">
        <w:rPr>
          <w:rFonts w:ascii="Times New Roman" w:hAnsi="Times New Roman" w:cs="Times New Roman"/>
          <w:sz w:val="28"/>
          <w:szCs w:val="28"/>
        </w:rPr>
        <w:t xml:space="preserve">: клінічні, антропометричні показники, показники кардіогемодинаміки, параметри ліпідного </w:t>
      </w:r>
      <w:r w:rsidR="00CC6580">
        <w:rPr>
          <w:rFonts w:ascii="Times New Roman" w:hAnsi="Times New Roman" w:cs="Times New Roman"/>
          <w:sz w:val="28"/>
          <w:szCs w:val="28"/>
        </w:rPr>
        <w:t>профілю</w:t>
      </w:r>
      <w:r w:rsidRPr="007F5722">
        <w:rPr>
          <w:rFonts w:ascii="Times New Roman" w:hAnsi="Times New Roman" w:cs="Times New Roman"/>
          <w:sz w:val="28"/>
          <w:szCs w:val="28"/>
        </w:rPr>
        <w:t xml:space="preserve"> натще та постпрандіально, аполіпопротеїну В, інтерлейк</w:t>
      </w:r>
      <w:r w:rsidR="00C4058B" w:rsidRPr="007F5722">
        <w:rPr>
          <w:rFonts w:ascii="Times New Roman" w:hAnsi="Times New Roman" w:cs="Times New Roman"/>
          <w:sz w:val="28"/>
          <w:szCs w:val="28"/>
        </w:rPr>
        <w:t>ін-22, ремоделювання</w:t>
      </w:r>
      <w:r w:rsidRPr="007F5722">
        <w:rPr>
          <w:rFonts w:ascii="Times New Roman" w:hAnsi="Times New Roman" w:cs="Times New Roman"/>
          <w:sz w:val="28"/>
          <w:szCs w:val="28"/>
        </w:rPr>
        <w:t xml:space="preserve"> </w:t>
      </w:r>
      <w:r w:rsidR="00F5401A">
        <w:rPr>
          <w:rFonts w:ascii="Times New Roman" w:hAnsi="Times New Roman" w:cs="Times New Roman"/>
          <w:sz w:val="28"/>
          <w:szCs w:val="28"/>
        </w:rPr>
        <w:t xml:space="preserve">міокарду та </w:t>
      </w:r>
      <w:r w:rsidRPr="007F5722">
        <w:rPr>
          <w:rFonts w:ascii="Times New Roman" w:hAnsi="Times New Roman" w:cs="Times New Roman"/>
          <w:sz w:val="28"/>
          <w:szCs w:val="28"/>
        </w:rPr>
        <w:t xml:space="preserve">загальної сонної артерії у хворих на гіпертонічну хворобу з ожирінням. </w:t>
      </w:r>
    </w:p>
    <w:p w:rsidR="00391CF7" w:rsidRPr="007F5722" w:rsidRDefault="00391CF7" w:rsidP="007C1DEA">
      <w:pPr>
        <w:pStyle w:val="a8"/>
        <w:spacing w:after="0" w:line="360" w:lineRule="auto"/>
        <w:ind w:left="0" w:firstLine="708"/>
        <w:jc w:val="both"/>
        <w:rPr>
          <w:rFonts w:ascii="Times New Roman" w:hAnsi="Times New Roman" w:cs="Times New Roman"/>
          <w:sz w:val="28"/>
          <w:szCs w:val="28"/>
        </w:rPr>
      </w:pPr>
      <w:r w:rsidRPr="007F5722">
        <w:rPr>
          <w:rFonts w:ascii="Times New Roman" w:hAnsi="Times New Roman" w:cs="Times New Roman"/>
          <w:i/>
          <w:sz w:val="28"/>
          <w:szCs w:val="28"/>
        </w:rPr>
        <w:t>Методи дослідження</w:t>
      </w:r>
      <w:r w:rsidRPr="007F5722">
        <w:rPr>
          <w:rFonts w:ascii="Times New Roman" w:hAnsi="Times New Roman" w:cs="Times New Roman"/>
          <w:sz w:val="28"/>
          <w:szCs w:val="28"/>
        </w:rPr>
        <w:t>: загальноклінічні, лабораторні, біохімічні, імуноферментні, інструментальні, статистичні.</w:t>
      </w:r>
      <w:r w:rsidRPr="007F5722">
        <w:rPr>
          <w:rFonts w:ascii="Times New Roman" w:hAnsi="Times New Roman" w:cs="Times New Roman"/>
          <w:sz w:val="28"/>
          <w:szCs w:val="28"/>
        </w:rPr>
        <w:tab/>
      </w:r>
    </w:p>
    <w:p w:rsidR="00391CF7" w:rsidRPr="007F5722" w:rsidRDefault="00391CF7" w:rsidP="00391CF7">
      <w:pPr>
        <w:tabs>
          <w:tab w:val="left" w:pos="1134"/>
        </w:tabs>
        <w:spacing w:after="0" w:line="360" w:lineRule="auto"/>
        <w:jc w:val="both"/>
        <w:rPr>
          <w:rFonts w:ascii="Times New Roman" w:hAnsi="Times New Roman" w:cs="Times New Roman"/>
          <w:b/>
          <w:bCs/>
          <w:sz w:val="28"/>
          <w:szCs w:val="28"/>
        </w:rPr>
      </w:pPr>
      <w:r w:rsidRPr="007F5722">
        <w:rPr>
          <w:rFonts w:ascii="Times New Roman" w:hAnsi="Times New Roman" w:cs="Times New Roman"/>
          <w:sz w:val="28"/>
          <w:szCs w:val="28"/>
        </w:rPr>
        <w:tab/>
      </w:r>
      <w:r w:rsidRPr="007F5722">
        <w:rPr>
          <w:rFonts w:ascii="Times New Roman" w:hAnsi="Times New Roman" w:cs="Times New Roman"/>
          <w:b/>
          <w:bCs/>
          <w:sz w:val="28"/>
          <w:szCs w:val="28"/>
        </w:rPr>
        <w:t>Наукова новизна одержаних результатів</w:t>
      </w:r>
    </w:p>
    <w:p w:rsidR="00391CF7" w:rsidRPr="007F5722" w:rsidRDefault="00CC6580" w:rsidP="00391CF7">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391CF7" w:rsidRPr="007F5722">
        <w:rPr>
          <w:rFonts w:ascii="Times New Roman" w:hAnsi="Times New Roman" w:cs="Times New Roman"/>
          <w:sz w:val="28"/>
          <w:szCs w:val="28"/>
        </w:rPr>
        <w:t>перше проведено клінічне дослідження щодо ком</w:t>
      </w:r>
      <w:r w:rsidR="00480375" w:rsidRPr="007F5722">
        <w:rPr>
          <w:rFonts w:ascii="Times New Roman" w:hAnsi="Times New Roman" w:cs="Times New Roman"/>
          <w:sz w:val="28"/>
          <w:szCs w:val="28"/>
        </w:rPr>
        <w:t xml:space="preserve">плексного вивчення </w:t>
      </w:r>
      <w:r>
        <w:rPr>
          <w:rFonts w:ascii="Times New Roman" w:hAnsi="Times New Roman" w:cs="Times New Roman"/>
          <w:sz w:val="28"/>
          <w:szCs w:val="28"/>
        </w:rPr>
        <w:t>плазматичного</w:t>
      </w:r>
      <w:r w:rsidR="00391CF7" w:rsidRPr="007F5722">
        <w:rPr>
          <w:rFonts w:ascii="Times New Roman" w:hAnsi="Times New Roman" w:cs="Times New Roman"/>
          <w:sz w:val="28"/>
          <w:szCs w:val="28"/>
        </w:rPr>
        <w:t xml:space="preserve"> рівня інтерлейкіну – 22</w:t>
      </w:r>
      <w:r w:rsidR="0080465C" w:rsidRPr="007F5722">
        <w:rPr>
          <w:rFonts w:ascii="Times New Roman" w:hAnsi="Times New Roman" w:cs="Times New Roman"/>
          <w:sz w:val="28"/>
          <w:szCs w:val="28"/>
        </w:rPr>
        <w:t xml:space="preserve">, показників ліпідного </w:t>
      </w:r>
      <w:r>
        <w:rPr>
          <w:rFonts w:ascii="Times New Roman" w:hAnsi="Times New Roman" w:cs="Times New Roman"/>
          <w:sz w:val="28"/>
          <w:szCs w:val="28"/>
        </w:rPr>
        <w:t>спектру</w:t>
      </w:r>
      <w:r w:rsidR="0080465C" w:rsidRPr="007F5722">
        <w:rPr>
          <w:rFonts w:ascii="Times New Roman" w:hAnsi="Times New Roman" w:cs="Times New Roman"/>
          <w:sz w:val="28"/>
          <w:szCs w:val="28"/>
        </w:rPr>
        <w:t xml:space="preserve"> натще та постпрандіаьно, аполіпопротеїну В, антропометричних показників, параметрів центральної та периферичної кардіогемодинаміки, оцінкою структурно-функціональни</w:t>
      </w:r>
      <w:r w:rsidR="00F5401A">
        <w:rPr>
          <w:rFonts w:ascii="Times New Roman" w:hAnsi="Times New Roman" w:cs="Times New Roman"/>
          <w:sz w:val="28"/>
          <w:szCs w:val="28"/>
        </w:rPr>
        <w:t>х змін загальних сонних артерій</w:t>
      </w:r>
      <w:r w:rsidR="00391CF7" w:rsidRPr="007F5722">
        <w:rPr>
          <w:rFonts w:ascii="Times New Roman" w:hAnsi="Times New Roman" w:cs="Times New Roman"/>
          <w:sz w:val="28"/>
          <w:szCs w:val="28"/>
        </w:rPr>
        <w:t xml:space="preserve"> у хворих на гіпертонічну хворобу, асоційовану з ожирінням. </w:t>
      </w:r>
      <w:r w:rsidR="0080465C" w:rsidRPr="007F5722">
        <w:rPr>
          <w:rFonts w:ascii="Times New Roman" w:hAnsi="Times New Roman" w:cs="Times New Roman"/>
          <w:sz w:val="28"/>
          <w:szCs w:val="28"/>
        </w:rPr>
        <w:t>Встановлено прогіпертензивний ефект ІЛ-22, про що свідч</w:t>
      </w:r>
      <w:r>
        <w:rPr>
          <w:rFonts w:ascii="Times New Roman" w:hAnsi="Times New Roman" w:cs="Times New Roman"/>
          <w:sz w:val="28"/>
          <w:szCs w:val="28"/>
        </w:rPr>
        <w:t>ать достовірно вищі</w:t>
      </w:r>
      <w:r w:rsidR="0080465C" w:rsidRPr="007F5722">
        <w:rPr>
          <w:rFonts w:ascii="Times New Roman" w:hAnsi="Times New Roman" w:cs="Times New Roman"/>
          <w:sz w:val="28"/>
          <w:szCs w:val="28"/>
        </w:rPr>
        <w:t xml:space="preserve"> його </w:t>
      </w:r>
      <w:r w:rsidR="0080465C" w:rsidRPr="007F5722">
        <w:rPr>
          <w:rFonts w:ascii="Times New Roman" w:hAnsi="Times New Roman" w:cs="Times New Roman"/>
          <w:sz w:val="28"/>
          <w:szCs w:val="28"/>
        </w:rPr>
        <w:lastRenderedPageBreak/>
        <w:t>значення у хворих на ГХ порівняно з нормотензивними особами контрольної групи та, що підтверджу</w:t>
      </w:r>
      <w:r w:rsidR="00124D41">
        <w:rPr>
          <w:rFonts w:ascii="Times New Roman" w:hAnsi="Times New Roman" w:cs="Times New Roman"/>
          <w:sz w:val="28"/>
          <w:szCs w:val="28"/>
        </w:rPr>
        <w:t>ється</w:t>
      </w:r>
      <w:r w:rsidR="0080465C" w:rsidRPr="007F5722">
        <w:rPr>
          <w:rFonts w:ascii="Times New Roman" w:hAnsi="Times New Roman" w:cs="Times New Roman"/>
          <w:sz w:val="28"/>
          <w:szCs w:val="28"/>
        </w:rPr>
        <w:t xml:space="preserve"> наявністю достовірних кореляційних зв’язків між ІЛ-22 та </w:t>
      </w:r>
      <w:r w:rsidR="003D6AB1" w:rsidRPr="007F5722">
        <w:rPr>
          <w:rFonts w:ascii="Times New Roman" w:hAnsi="Times New Roman" w:cs="Times New Roman"/>
          <w:sz w:val="28"/>
          <w:szCs w:val="28"/>
        </w:rPr>
        <w:t xml:space="preserve">рівнем АТ. </w:t>
      </w:r>
      <w:r w:rsidR="00124D41">
        <w:rPr>
          <w:rFonts w:ascii="Times New Roman" w:hAnsi="Times New Roman" w:cs="Times New Roman"/>
          <w:sz w:val="28"/>
          <w:szCs w:val="28"/>
        </w:rPr>
        <w:t>Виявле</w:t>
      </w:r>
      <w:r w:rsidR="003D6AB1" w:rsidRPr="007F5722">
        <w:rPr>
          <w:rFonts w:ascii="Times New Roman" w:hAnsi="Times New Roman" w:cs="Times New Roman"/>
          <w:sz w:val="28"/>
          <w:szCs w:val="28"/>
        </w:rPr>
        <w:t xml:space="preserve">но </w:t>
      </w:r>
      <w:r w:rsidR="00124D41">
        <w:rPr>
          <w:rFonts w:ascii="Times New Roman" w:hAnsi="Times New Roman" w:cs="Times New Roman"/>
          <w:sz w:val="28"/>
          <w:szCs w:val="28"/>
        </w:rPr>
        <w:t>асоціацію</w:t>
      </w:r>
      <w:r w:rsidR="003D6AB1" w:rsidRPr="007F5722">
        <w:rPr>
          <w:rFonts w:ascii="Times New Roman" w:hAnsi="Times New Roman" w:cs="Times New Roman"/>
          <w:sz w:val="28"/>
          <w:szCs w:val="28"/>
        </w:rPr>
        <w:t xml:space="preserve"> ІЛ-22 </w:t>
      </w:r>
      <w:r w:rsidR="00124D41">
        <w:rPr>
          <w:rFonts w:ascii="Times New Roman" w:hAnsi="Times New Roman" w:cs="Times New Roman"/>
          <w:sz w:val="28"/>
          <w:szCs w:val="28"/>
        </w:rPr>
        <w:t>з</w:t>
      </w:r>
      <w:r w:rsidR="003D6AB1" w:rsidRPr="007F5722">
        <w:rPr>
          <w:rFonts w:ascii="Times New Roman" w:hAnsi="Times New Roman" w:cs="Times New Roman"/>
          <w:sz w:val="28"/>
          <w:szCs w:val="28"/>
        </w:rPr>
        <w:t xml:space="preserve"> розвитк</w:t>
      </w:r>
      <w:r w:rsidR="00124D41">
        <w:rPr>
          <w:rFonts w:ascii="Times New Roman" w:hAnsi="Times New Roman" w:cs="Times New Roman"/>
          <w:sz w:val="28"/>
          <w:szCs w:val="28"/>
        </w:rPr>
        <w:t>ом</w:t>
      </w:r>
      <w:r w:rsidR="003D6AB1" w:rsidRPr="007F5722">
        <w:rPr>
          <w:rFonts w:ascii="Times New Roman" w:hAnsi="Times New Roman" w:cs="Times New Roman"/>
          <w:sz w:val="28"/>
          <w:szCs w:val="28"/>
        </w:rPr>
        <w:t xml:space="preserve"> ожиріння, особливо абдомінального його типу у хворих на ГХ.</w:t>
      </w:r>
      <w:r w:rsidR="0080465C" w:rsidRPr="007F5722">
        <w:rPr>
          <w:rFonts w:ascii="Times New Roman" w:hAnsi="Times New Roman" w:cs="Times New Roman"/>
          <w:sz w:val="28"/>
          <w:szCs w:val="28"/>
        </w:rPr>
        <w:t xml:space="preserve"> </w:t>
      </w:r>
      <w:r w:rsidR="00391CF7" w:rsidRPr="007F5722">
        <w:rPr>
          <w:rFonts w:ascii="Times New Roman" w:hAnsi="Times New Roman" w:cs="Times New Roman"/>
          <w:sz w:val="28"/>
          <w:szCs w:val="28"/>
        </w:rPr>
        <w:t>Визначено вплив досліджуваного цитокіну на формування порушень ліпідного</w:t>
      </w:r>
      <w:r w:rsidR="00124D41">
        <w:rPr>
          <w:rFonts w:ascii="Times New Roman" w:hAnsi="Times New Roman" w:cs="Times New Roman"/>
          <w:sz w:val="28"/>
          <w:szCs w:val="28"/>
        </w:rPr>
        <w:t xml:space="preserve"> профілю</w:t>
      </w:r>
      <w:r w:rsidR="00391CF7" w:rsidRPr="007F5722">
        <w:rPr>
          <w:rFonts w:ascii="Times New Roman" w:hAnsi="Times New Roman" w:cs="Times New Roman"/>
          <w:sz w:val="28"/>
          <w:szCs w:val="28"/>
        </w:rPr>
        <w:t xml:space="preserve">. </w:t>
      </w:r>
      <w:r w:rsidR="00124D41">
        <w:rPr>
          <w:rFonts w:ascii="Times New Roman" w:hAnsi="Times New Roman"/>
          <w:sz w:val="28"/>
          <w:szCs w:val="28"/>
        </w:rPr>
        <w:t>В</w:t>
      </w:r>
      <w:r w:rsidR="00124D41" w:rsidRPr="00036045">
        <w:rPr>
          <w:rFonts w:ascii="Times New Roman" w:hAnsi="Times New Roman"/>
          <w:sz w:val="28"/>
          <w:szCs w:val="28"/>
        </w:rPr>
        <w:t xml:space="preserve">перше проведено вивчення взаємозв'язку між рівнем інтерлейкіну – 22 в </w:t>
      </w:r>
      <w:r w:rsidR="00124D41">
        <w:rPr>
          <w:rFonts w:ascii="Times New Roman" w:hAnsi="Times New Roman"/>
          <w:sz w:val="28"/>
          <w:szCs w:val="28"/>
        </w:rPr>
        <w:t>плазмі</w:t>
      </w:r>
      <w:r w:rsidR="00124D41" w:rsidRPr="00036045">
        <w:rPr>
          <w:rFonts w:ascii="Times New Roman" w:hAnsi="Times New Roman"/>
          <w:sz w:val="28"/>
          <w:szCs w:val="28"/>
        </w:rPr>
        <w:t xml:space="preserve"> крові</w:t>
      </w:r>
      <w:r w:rsidR="00124D41">
        <w:rPr>
          <w:rFonts w:ascii="Times New Roman" w:hAnsi="Times New Roman"/>
          <w:sz w:val="28"/>
          <w:szCs w:val="28"/>
        </w:rPr>
        <w:t xml:space="preserve"> та показниками ліпідного профілю натще та</w:t>
      </w:r>
      <w:r w:rsidR="00124D41" w:rsidRPr="00036045">
        <w:rPr>
          <w:rFonts w:ascii="Times New Roman" w:hAnsi="Times New Roman"/>
          <w:sz w:val="28"/>
          <w:szCs w:val="28"/>
        </w:rPr>
        <w:t xml:space="preserve"> пост</w:t>
      </w:r>
      <w:r w:rsidR="00124D41">
        <w:rPr>
          <w:rFonts w:ascii="Times New Roman" w:hAnsi="Times New Roman"/>
          <w:sz w:val="28"/>
          <w:szCs w:val="28"/>
        </w:rPr>
        <w:t xml:space="preserve">прандіальними змінами ліпідів крові </w:t>
      </w:r>
      <w:r w:rsidR="00124D41" w:rsidRPr="00036045">
        <w:rPr>
          <w:rFonts w:ascii="Times New Roman" w:hAnsi="Times New Roman"/>
          <w:sz w:val="28"/>
          <w:szCs w:val="28"/>
        </w:rPr>
        <w:t>та асимптом</w:t>
      </w:r>
      <w:r w:rsidR="00124D41">
        <w:rPr>
          <w:rFonts w:ascii="Times New Roman" w:hAnsi="Times New Roman"/>
          <w:sz w:val="28"/>
          <w:szCs w:val="28"/>
        </w:rPr>
        <w:t>ним</w:t>
      </w:r>
      <w:r w:rsidR="00124D41" w:rsidRPr="00036045">
        <w:rPr>
          <w:rFonts w:ascii="Times New Roman" w:hAnsi="Times New Roman"/>
          <w:sz w:val="28"/>
          <w:szCs w:val="28"/>
        </w:rPr>
        <w:t xml:space="preserve"> атеросклерозом у хворих на гіпертонічну хворобу з ожирінням</w:t>
      </w:r>
      <w:r w:rsidR="00391CF7" w:rsidRPr="007F5722">
        <w:rPr>
          <w:rFonts w:ascii="Times New Roman" w:hAnsi="Times New Roman" w:cs="Times New Roman"/>
          <w:sz w:val="28"/>
          <w:szCs w:val="28"/>
        </w:rPr>
        <w:t>.</w:t>
      </w:r>
      <w:r w:rsidR="00142ED9" w:rsidRPr="007F5722">
        <w:rPr>
          <w:rFonts w:ascii="Times New Roman" w:hAnsi="Times New Roman" w:cs="Times New Roman"/>
          <w:sz w:val="28"/>
          <w:szCs w:val="28"/>
        </w:rPr>
        <w:t xml:space="preserve"> П</w:t>
      </w:r>
      <w:r w:rsidR="004C5DDE" w:rsidRPr="007F5722">
        <w:rPr>
          <w:rFonts w:ascii="Times New Roman" w:hAnsi="Times New Roman" w:cs="Times New Roman"/>
          <w:sz w:val="28"/>
          <w:szCs w:val="28"/>
        </w:rPr>
        <w:t xml:space="preserve">оряд з базальною дисліпідемією, </w:t>
      </w:r>
      <w:r w:rsidR="00142ED9" w:rsidRPr="007F5722">
        <w:rPr>
          <w:rFonts w:ascii="Times New Roman" w:hAnsi="Times New Roman" w:cs="Times New Roman"/>
          <w:sz w:val="28"/>
          <w:szCs w:val="28"/>
        </w:rPr>
        <w:t xml:space="preserve">виявлено </w:t>
      </w:r>
      <w:r w:rsidR="004C5DDE" w:rsidRPr="007F5722">
        <w:rPr>
          <w:rFonts w:ascii="Times New Roman" w:hAnsi="Times New Roman" w:cs="Times New Roman"/>
          <w:sz w:val="28"/>
          <w:szCs w:val="28"/>
        </w:rPr>
        <w:t xml:space="preserve">наявність прихованих порушень ліпідного метаболізму у пацієнтів на ГХ на підставі аналізу результатів постпрандіальних показників ліпідного спектру після проведення стандартного тесту жирового навантаження. </w:t>
      </w:r>
      <w:r w:rsidR="00124D41">
        <w:rPr>
          <w:rFonts w:ascii="Times New Roman" w:hAnsi="Times New Roman"/>
          <w:sz w:val="28"/>
          <w:szCs w:val="28"/>
        </w:rPr>
        <w:t xml:space="preserve">У хворих на ГХ з супутнім ожирінням продемонстровано максимальні значення ІЛ-22 </w:t>
      </w:r>
      <w:r w:rsidR="00124D41" w:rsidRPr="00210C0B">
        <w:rPr>
          <w:rFonts w:ascii="Times New Roman" w:hAnsi="Times New Roman"/>
          <w:sz w:val="28"/>
          <w:szCs w:val="28"/>
        </w:rPr>
        <w:t>на тлі зростання проатерогенних фракцій ліпідів та зниження</w:t>
      </w:r>
      <w:r w:rsidR="00124D41" w:rsidRPr="00774A5F">
        <w:rPr>
          <w:rFonts w:ascii="Times New Roman" w:hAnsi="Times New Roman"/>
          <w:color w:val="FF0000"/>
          <w:sz w:val="28"/>
          <w:szCs w:val="28"/>
        </w:rPr>
        <w:t xml:space="preserve"> </w:t>
      </w:r>
      <w:r w:rsidR="00124D41">
        <w:rPr>
          <w:rFonts w:ascii="Times New Roman" w:hAnsi="Times New Roman"/>
          <w:sz w:val="28"/>
          <w:szCs w:val="28"/>
        </w:rPr>
        <w:t>антиатерогенних фракцій.</w:t>
      </w:r>
      <w:r w:rsidR="00142ED9" w:rsidRPr="007F5722">
        <w:rPr>
          <w:rFonts w:ascii="Times New Roman" w:hAnsi="Times New Roman" w:cs="Times New Roman"/>
          <w:sz w:val="28"/>
          <w:szCs w:val="28"/>
        </w:rPr>
        <w:t xml:space="preserve"> </w:t>
      </w:r>
      <w:r w:rsidR="00124D41">
        <w:rPr>
          <w:rFonts w:ascii="Times New Roman" w:hAnsi="Times New Roman" w:cs="Times New Roman"/>
          <w:sz w:val="28"/>
          <w:szCs w:val="28"/>
        </w:rPr>
        <w:t>Відзнач</w:t>
      </w:r>
      <w:r w:rsidR="00142ED9" w:rsidRPr="007F5722">
        <w:rPr>
          <w:rFonts w:ascii="Times New Roman" w:hAnsi="Times New Roman" w:cs="Times New Roman"/>
          <w:sz w:val="28"/>
          <w:szCs w:val="28"/>
        </w:rPr>
        <w:t xml:space="preserve">ено </w:t>
      </w:r>
      <w:r w:rsidR="00124D41">
        <w:rPr>
          <w:rFonts w:ascii="Times New Roman" w:hAnsi="Times New Roman" w:cs="Times New Roman"/>
          <w:sz w:val="28"/>
          <w:szCs w:val="28"/>
        </w:rPr>
        <w:t>асоціацію</w:t>
      </w:r>
      <w:r w:rsidR="00142ED9" w:rsidRPr="007F5722">
        <w:rPr>
          <w:rFonts w:ascii="Times New Roman" w:hAnsi="Times New Roman" w:cs="Times New Roman"/>
          <w:sz w:val="28"/>
          <w:szCs w:val="28"/>
        </w:rPr>
        <w:t xml:space="preserve"> ІЛ-22 </w:t>
      </w:r>
      <w:r w:rsidR="00124D41">
        <w:rPr>
          <w:rFonts w:ascii="Times New Roman" w:hAnsi="Times New Roman" w:cs="Times New Roman"/>
          <w:sz w:val="28"/>
          <w:szCs w:val="28"/>
        </w:rPr>
        <w:t>з</w:t>
      </w:r>
      <w:r w:rsidR="00142ED9" w:rsidRPr="007F5722">
        <w:rPr>
          <w:rFonts w:ascii="Times New Roman" w:hAnsi="Times New Roman" w:cs="Times New Roman"/>
          <w:sz w:val="28"/>
          <w:szCs w:val="28"/>
        </w:rPr>
        <w:t xml:space="preserve"> розвитк</w:t>
      </w:r>
      <w:r w:rsidR="00124D41">
        <w:rPr>
          <w:rFonts w:ascii="Times New Roman" w:hAnsi="Times New Roman" w:cs="Times New Roman"/>
          <w:sz w:val="28"/>
          <w:szCs w:val="28"/>
        </w:rPr>
        <w:t>ом</w:t>
      </w:r>
      <w:r w:rsidR="00142ED9" w:rsidRPr="007F5722">
        <w:rPr>
          <w:rFonts w:ascii="Times New Roman" w:hAnsi="Times New Roman" w:cs="Times New Roman"/>
          <w:sz w:val="28"/>
          <w:szCs w:val="28"/>
        </w:rPr>
        <w:t xml:space="preserve"> гіпертрофії міокарду </w:t>
      </w:r>
      <w:r w:rsidR="00124D41">
        <w:rPr>
          <w:rFonts w:ascii="Times New Roman" w:hAnsi="Times New Roman" w:cs="Times New Roman"/>
          <w:sz w:val="28"/>
          <w:szCs w:val="28"/>
        </w:rPr>
        <w:t>(ГМ</w:t>
      </w:r>
      <w:r w:rsidR="00142ED9" w:rsidRPr="007F5722">
        <w:rPr>
          <w:rFonts w:ascii="Times New Roman" w:hAnsi="Times New Roman" w:cs="Times New Roman"/>
          <w:sz w:val="28"/>
          <w:szCs w:val="28"/>
        </w:rPr>
        <w:t>ЛШ</w:t>
      </w:r>
      <w:r w:rsidR="00124D41">
        <w:rPr>
          <w:rFonts w:ascii="Times New Roman" w:hAnsi="Times New Roman" w:cs="Times New Roman"/>
          <w:sz w:val="28"/>
          <w:szCs w:val="28"/>
        </w:rPr>
        <w:t>)</w:t>
      </w:r>
      <w:r w:rsidR="0039057F" w:rsidRPr="007F5722">
        <w:rPr>
          <w:rFonts w:ascii="Times New Roman" w:hAnsi="Times New Roman" w:cs="Times New Roman"/>
          <w:sz w:val="28"/>
          <w:szCs w:val="28"/>
        </w:rPr>
        <w:t xml:space="preserve"> та його достовірно високий рівень у хворих на ГХ з гіпертрофічними типами ремоделювання міокарду </w:t>
      </w:r>
      <w:r w:rsidR="00124D41">
        <w:rPr>
          <w:rFonts w:ascii="Times New Roman" w:hAnsi="Times New Roman" w:cs="Times New Roman"/>
          <w:sz w:val="28"/>
          <w:szCs w:val="28"/>
        </w:rPr>
        <w:t>ЛШ</w:t>
      </w:r>
      <w:r w:rsidR="0039057F" w:rsidRPr="007F5722">
        <w:rPr>
          <w:rFonts w:ascii="Times New Roman" w:hAnsi="Times New Roman" w:cs="Times New Roman"/>
          <w:sz w:val="28"/>
          <w:szCs w:val="28"/>
        </w:rPr>
        <w:t xml:space="preserve"> – гіпертрофічна та ексцентрична гіпертрофія. Виявлено взаємозв’язок між вмістом ІЛ-22 та аполіпопротеїну В та характером структурно-функціональних змін загальних сонних артерій за даними ультразвукового дослідження, формуванням концентричної гіпертрофії та концентричного ремоделювання загальних сонних артер</w:t>
      </w:r>
      <w:r w:rsidR="00124D41">
        <w:rPr>
          <w:rFonts w:ascii="Times New Roman" w:hAnsi="Times New Roman" w:cs="Times New Roman"/>
          <w:sz w:val="28"/>
          <w:szCs w:val="28"/>
        </w:rPr>
        <w:t>ій, що може свідчити про можливу</w:t>
      </w:r>
      <w:r w:rsidR="0039057F" w:rsidRPr="007F5722">
        <w:rPr>
          <w:rFonts w:ascii="Times New Roman" w:hAnsi="Times New Roman" w:cs="Times New Roman"/>
          <w:sz w:val="28"/>
          <w:szCs w:val="28"/>
        </w:rPr>
        <w:t xml:space="preserve"> </w:t>
      </w:r>
      <w:r w:rsidR="00124D41">
        <w:rPr>
          <w:rFonts w:ascii="Times New Roman" w:hAnsi="Times New Roman" w:cs="Times New Roman"/>
          <w:sz w:val="28"/>
          <w:szCs w:val="28"/>
        </w:rPr>
        <w:t>асоціацію</w:t>
      </w:r>
      <w:r w:rsidR="0039057F" w:rsidRPr="007F5722">
        <w:rPr>
          <w:rFonts w:ascii="Times New Roman" w:hAnsi="Times New Roman" w:cs="Times New Roman"/>
          <w:sz w:val="28"/>
          <w:szCs w:val="28"/>
        </w:rPr>
        <w:t xml:space="preserve"> ІЛ-22 </w:t>
      </w:r>
      <w:r w:rsidR="00124D41">
        <w:rPr>
          <w:rFonts w:ascii="Times New Roman" w:hAnsi="Times New Roman" w:cs="Times New Roman"/>
          <w:sz w:val="28"/>
          <w:szCs w:val="28"/>
        </w:rPr>
        <w:t>з</w:t>
      </w:r>
      <w:r w:rsidR="0039057F" w:rsidRPr="007F5722">
        <w:rPr>
          <w:rFonts w:ascii="Times New Roman" w:hAnsi="Times New Roman" w:cs="Times New Roman"/>
          <w:sz w:val="28"/>
          <w:szCs w:val="28"/>
        </w:rPr>
        <w:t xml:space="preserve"> атерогенез</w:t>
      </w:r>
      <w:r w:rsidR="00124D41">
        <w:rPr>
          <w:rFonts w:ascii="Times New Roman" w:hAnsi="Times New Roman" w:cs="Times New Roman"/>
          <w:sz w:val="28"/>
          <w:szCs w:val="28"/>
        </w:rPr>
        <w:t>ом</w:t>
      </w:r>
      <w:r w:rsidR="0039057F" w:rsidRPr="007F5722">
        <w:rPr>
          <w:rFonts w:ascii="Times New Roman" w:hAnsi="Times New Roman" w:cs="Times New Roman"/>
          <w:sz w:val="28"/>
          <w:szCs w:val="28"/>
        </w:rPr>
        <w:t xml:space="preserve"> у хво</w:t>
      </w:r>
      <w:r w:rsidR="00C70E86" w:rsidRPr="007F5722">
        <w:rPr>
          <w:rFonts w:ascii="Times New Roman" w:hAnsi="Times New Roman" w:cs="Times New Roman"/>
          <w:sz w:val="28"/>
          <w:szCs w:val="28"/>
        </w:rPr>
        <w:t>рих на ГХ з супутнім ожирінням.</w:t>
      </w:r>
    </w:p>
    <w:p w:rsidR="00391CF7" w:rsidRPr="007F5722" w:rsidRDefault="00391CF7" w:rsidP="00391CF7">
      <w:pPr>
        <w:pStyle w:val="a8"/>
        <w:spacing w:after="0" w:line="360" w:lineRule="auto"/>
        <w:ind w:left="0" w:firstLine="709"/>
        <w:jc w:val="both"/>
        <w:rPr>
          <w:rFonts w:ascii="Times New Roman" w:hAnsi="Times New Roman" w:cs="Times New Roman"/>
          <w:sz w:val="28"/>
          <w:szCs w:val="28"/>
        </w:rPr>
      </w:pPr>
      <w:r w:rsidRPr="007F5722">
        <w:rPr>
          <w:rFonts w:ascii="Times New Roman" w:hAnsi="Times New Roman" w:cs="Times New Roman"/>
          <w:b/>
          <w:sz w:val="28"/>
          <w:szCs w:val="28"/>
        </w:rPr>
        <w:t>Практична значимість отриманих результатів</w:t>
      </w:r>
    </w:p>
    <w:p w:rsidR="009A3FE9" w:rsidRPr="009A3FE9" w:rsidRDefault="009A3FE9" w:rsidP="009A3FE9">
      <w:pPr>
        <w:spacing w:after="0" w:line="360" w:lineRule="auto"/>
        <w:ind w:firstLine="709"/>
        <w:contextualSpacing/>
        <w:jc w:val="both"/>
        <w:rPr>
          <w:rFonts w:ascii="Times New Roman" w:hAnsi="Times New Roman" w:cs="Times New Roman"/>
          <w:sz w:val="28"/>
          <w:szCs w:val="28"/>
        </w:rPr>
      </w:pPr>
      <w:r w:rsidRPr="009A3FE9">
        <w:rPr>
          <w:rFonts w:ascii="Times New Roman" w:hAnsi="Times New Roman" w:cs="Times New Roman"/>
          <w:sz w:val="28"/>
          <w:szCs w:val="28"/>
        </w:rPr>
        <w:t xml:space="preserve">Розроблено комплексний підхід до виявлення предикторів розвитку атеросклерозу у хворих на гіпертонічну хворобу з ожирінням. Отримані результати обґрунтовують необхідність обстеження пацієнтів хворих на гіпертонічну хворобу у поєднанні з ожирінням в аспекті визначення рівню інтерлейкіну – 22 в плазмі крові, параметрів ліпідного спектру крові (загального холестерину, тригліцеридів, холестерину ліпопротеїнів високої </w:t>
      </w:r>
      <w:r w:rsidRPr="009A3FE9">
        <w:rPr>
          <w:rFonts w:ascii="Times New Roman" w:hAnsi="Times New Roman" w:cs="Times New Roman"/>
          <w:sz w:val="28"/>
          <w:szCs w:val="28"/>
        </w:rPr>
        <w:lastRenderedPageBreak/>
        <w:t>щільності, холестерину ліпопротеїнів дуже низької щільності, холестерину ліпопротеїнів не-ЛПВЩ, аполіпотротеїну В та розрахунок коефіцієнту атерогенності), проведення ультразвукового дослідження серця та судин з метою ранньої персоніфікованої діагностики проатерогенних порушень та субклінічного ураження серця та судин. З метою оптимізації ранньої діагностики прихованої дисліпідемії обгрунтовано доцільність проведення у хворих на ГХ з нормальними показниками параметрів ліпідного профілю натще стандартного тесту жирового навантаження з аналізом через 6 годин ліпідного спектру постпрандіально у даної категорії хворих. Урахування даних, отриманих у дослідженні, дозволить оптимізувати діагностично-лікувальну тактику ведення хворих на гіпертонічну хворобу, асоційовану з ожирінням, надасть можливість лікарям розробити персоніфіковані стратегічні підходи з метою попередження виникнення дисліпідемії, що призведе до зменшення кардіоваскулярного ризику.</w:t>
      </w:r>
    </w:p>
    <w:p w:rsidR="00391CF7" w:rsidRPr="007F5722" w:rsidRDefault="009A3FE9" w:rsidP="009A3FE9">
      <w:pPr>
        <w:spacing w:after="0" w:line="360" w:lineRule="auto"/>
        <w:ind w:firstLine="709"/>
        <w:contextualSpacing/>
        <w:jc w:val="both"/>
        <w:rPr>
          <w:rFonts w:ascii="Times New Roman" w:hAnsi="Times New Roman" w:cs="Times New Roman"/>
          <w:sz w:val="28"/>
          <w:szCs w:val="28"/>
        </w:rPr>
      </w:pPr>
      <w:r w:rsidRPr="009A3FE9">
        <w:rPr>
          <w:rFonts w:ascii="Times New Roman" w:hAnsi="Times New Roman" w:cs="Times New Roman"/>
          <w:sz w:val="28"/>
          <w:szCs w:val="28"/>
        </w:rPr>
        <w:t>Результати дисертаційної роботи впроваджено в діяльність закладів практичної охорони здоров’я, а саме КЗОЗ «Харківська міська клінічна лікарня №13», КЗОЗ «Харківська міська лікарня №3», КЗ «Центр первинної медико-санітарної допомоги №1» м. Кременчуг, Київська клінічна лікарня на залізничному транспорті №2 філія «Центр охорони здоров’я» ПАТ «Укрзалізниця», центр первинної медико-санітарної допомоги м. Ізюм, поліклініка Лозівської міської лікарні, КЗ «Центр первинної медико-санітарної допомоги №3» м. Кременчуг з метою поліпшення якості ранньої діагностики порушень ліпідного обміну та оцінки кардіоваскулярного ризику, вдосконалення клінічних підходів до диференційованого лікування та покращення якості життя пацієнтів на гіпертонічну хворобу з супутнім ожирінням.</w:t>
      </w:r>
    </w:p>
    <w:p w:rsidR="00391CF7" w:rsidRPr="007F5722" w:rsidRDefault="00391CF7" w:rsidP="00391CF7">
      <w:pPr>
        <w:spacing w:after="0" w:line="360" w:lineRule="auto"/>
        <w:ind w:firstLine="709"/>
        <w:contextualSpacing/>
        <w:jc w:val="both"/>
        <w:rPr>
          <w:rFonts w:ascii="Times New Roman" w:hAnsi="Times New Roman" w:cs="Times New Roman"/>
          <w:sz w:val="28"/>
          <w:szCs w:val="28"/>
        </w:rPr>
      </w:pPr>
      <w:r w:rsidRPr="007F5722">
        <w:rPr>
          <w:rFonts w:ascii="Times New Roman" w:hAnsi="Times New Roman" w:cs="Times New Roman"/>
          <w:b/>
          <w:sz w:val="28"/>
          <w:szCs w:val="28"/>
        </w:rPr>
        <w:t>Особистий внесок дисертанта</w:t>
      </w:r>
      <w:r w:rsidRPr="007F5722">
        <w:rPr>
          <w:rFonts w:ascii="Times New Roman" w:hAnsi="Times New Roman" w:cs="Times New Roman"/>
          <w:sz w:val="28"/>
          <w:szCs w:val="28"/>
        </w:rPr>
        <w:t xml:space="preserve">. </w:t>
      </w:r>
      <w:r w:rsidR="009A3FE9" w:rsidRPr="009A3FE9">
        <w:rPr>
          <w:rFonts w:ascii="Times New Roman" w:hAnsi="Times New Roman" w:cs="Times New Roman"/>
          <w:sz w:val="28"/>
          <w:szCs w:val="28"/>
        </w:rPr>
        <w:t xml:space="preserve">Здобувачем проаналізовано стан питання на сучасному етапі з визначенням об’єкту та предмету дослідження. Розроблено карти обстеження хворих, заповнено первинну медичну документацію особисто. Визначено основні методи та методики дослідження. </w:t>
      </w:r>
      <w:r w:rsidR="009A3FE9" w:rsidRPr="009A3FE9">
        <w:rPr>
          <w:rFonts w:ascii="Times New Roman" w:hAnsi="Times New Roman" w:cs="Times New Roman"/>
          <w:sz w:val="28"/>
          <w:szCs w:val="28"/>
        </w:rPr>
        <w:lastRenderedPageBreak/>
        <w:t>Проведено скринінг пацієнтів з гіпертонічною хворобою та ожирінням для участі у дослідженні. Усі клінічні обстеження і науковий аналіз результатів імунологічних і біохімічних досліджень тематичних хворих виконано особисто. Створено комп’ютерну базу даних пацієнтів, проведено статистичну обробку, науковий аналіз отриманих результатів та підготовлено публікації за темою дисертаційної роботи. Самостійно оформлені результати дослідження, сформульовані основні положення дисертації.</w:t>
      </w:r>
    </w:p>
    <w:p w:rsidR="00391CF7" w:rsidRPr="007F5722" w:rsidRDefault="00391CF7" w:rsidP="00391CF7">
      <w:pPr>
        <w:spacing w:after="0" w:line="360" w:lineRule="auto"/>
        <w:ind w:left="142"/>
        <w:jc w:val="both"/>
        <w:rPr>
          <w:rFonts w:ascii="Times New Roman" w:hAnsi="Times New Roman" w:cs="Times New Roman"/>
          <w:sz w:val="28"/>
          <w:szCs w:val="28"/>
        </w:rPr>
      </w:pPr>
      <w:r w:rsidRPr="007F5722">
        <w:rPr>
          <w:rFonts w:ascii="Times New Roman" w:hAnsi="Times New Roman" w:cs="Times New Roman"/>
          <w:sz w:val="28"/>
          <w:szCs w:val="28"/>
        </w:rPr>
        <w:tab/>
      </w:r>
      <w:r w:rsidRPr="007F5722">
        <w:rPr>
          <w:rFonts w:ascii="Times New Roman" w:hAnsi="Times New Roman" w:cs="Times New Roman"/>
          <w:b/>
          <w:sz w:val="28"/>
          <w:szCs w:val="28"/>
        </w:rPr>
        <w:t>Апробація результатів дослідження</w:t>
      </w:r>
      <w:r w:rsidRPr="007F5722">
        <w:rPr>
          <w:rFonts w:ascii="Times New Roman" w:hAnsi="Times New Roman" w:cs="Times New Roman"/>
          <w:sz w:val="28"/>
          <w:szCs w:val="28"/>
        </w:rPr>
        <w:t xml:space="preserve">. Основні положення дисертації представлено на </w:t>
      </w:r>
      <w:r w:rsidRPr="007F5722">
        <w:rPr>
          <w:rFonts w:ascii="Times New Roman" w:hAnsi="Times New Roman" w:cs="Times New Roman"/>
          <w:color w:val="000000"/>
          <w:sz w:val="28"/>
          <w:szCs w:val="28"/>
        </w:rPr>
        <w:t xml:space="preserve">науково-практичній конференції з міжнародною участю “Коморбідні стани – міждисциплінарна проблема” (Харків, 19 травня 2017 р.), конгресі “Профілактика. Антиейджинг. Україна” (Харків, 28-29 вересня 2017 р.), </w:t>
      </w:r>
      <w:r w:rsidRPr="007F5722">
        <w:rPr>
          <w:rFonts w:ascii="Times New Roman" w:hAnsi="Times New Roman" w:cs="Times New Roman"/>
          <w:sz w:val="28"/>
          <w:szCs w:val="28"/>
        </w:rPr>
        <w:t xml:space="preserve">міжвузівській конференції молодих вчених та студентів, присвяченої 213-ій річниці відкриття Харківської вищої медичної школи, «Медицина третього тисячоліття» (Харків, 23-24 січня 2018 р.), на </w:t>
      </w:r>
      <w:r w:rsidRPr="007F5722">
        <w:rPr>
          <w:rFonts w:ascii="Times New Roman" w:hAnsi="Times New Roman" w:cs="Times New Roman"/>
          <w:color w:val="000000"/>
          <w:sz w:val="28"/>
          <w:szCs w:val="28"/>
        </w:rPr>
        <w:t xml:space="preserve">науково-практичній конференції з міжнародною участю, </w:t>
      </w:r>
      <w:r w:rsidRPr="007F5722">
        <w:rPr>
          <w:rFonts w:ascii="Times New Roman" w:hAnsi="Times New Roman" w:cs="Times New Roman"/>
          <w:sz w:val="28"/>
          <w:szCs w:val="28"/>
        </w:rPr>
        <w:t>що присвячена 125-річчю кафедри пропедевтики внутрішньої медицини №1, основ біоетики та біобезпеки, “Реалії, пріоритети та перспективи внутрішньої медицини” (Харків, 18 квітня 2018 р.)</w:t>
      </w:r>
      <w:r w:rsidR="00C4058B" w:rsidRPr="007F5722">
        <w:rPr>
          <w:rFonts w:ascii="Times New Roman" w:hAnsi="Times New Roman" w:cs="Times New Roman"/>
          <w:sz w:val="28"/>
          <w:szCs w:val="28"/>
        </w:rPr>
        <w:t>, міжвузівській конференції молодих вчен</w:t>
      </w:r>
      <w:r w:rsidR="00F5401A">
        <w:rPr>
          <w:rFonts w:ascii="Times New Roman" w:hAnsi="Times New Roman" w:cs="Times New Roman"/>
          <w:sz w:val="28"/>
          <w:szCs w:val="28"/>
        </w:rPr>
        <w:t>их та студентів, присвяченої 215</w:t>
      </w:r>
      <w:r w:rsidR="00C4058B" w:rsidRPr="007F5722">
        <w:rPr>
          <w:rFonts w:ascii="Times New Roman" w:hAnsi="Times New Roman" w:cs="Times New Roman"/>
          <w:sz w:val="28"/>
          <w:szCs w:val="28"/>
        </w:rPr>
        <w:t>-ій річниці відкриття Харківської вищої медичної школи, «Медицина т</w:t>
      </w:r>
      <w:r w:rsidR="00B514AC" w:rsidRPr="007F5722">
        <w:rPr>
          <w:rFonts w:ascii="Times New Roman" w:hAnsi="Times New Roman" w:cs="Times New Roman"/>
          <w:sz w:val="28"/>
          <w:szCs w:val="28"/>
        </w:rPr>
        <w:t>ретього тисячоліття» (Харків, 30</w:t>
      </w:r>
      <w:r w:rsidR="00C4058B" w:rsidRPr="007F5722">
        <w:rPr>
          <w:rFonts w:ascii="Times New Roman" w:hAnsi="Times New Roman" w:cs="Times New Roman"/>
          <w:sz w:val="28"/>
          <w:szCs w:val="28"/>
        </w:rPr>
        <w:t>-3</w:t>
      </w:r>
      <w:r w:rsidR="00B514AC" w:rsidRPr="007F5722">
        <w:rPr>
          <w:rFonts w:ascii="Times New Roman" w:hAnsi="Times New Roman" w:cs="Times New Roman"/>
          <w:sz w:val="28"/>
          <w:szCs w:val="28"/>
        </w:rPr>
        <w:t>1</w:t>
      </w:r>
      <w:r w:rsidR="00C4058B" w:rsidRPr="007F5722">
        <w:rPr>
          <w:rFonts w:ascii="Times New Roman" w:hAnsi="Times New Roman" w:cs="Times New Roman"/>
          <w:sz w:val="28"/>
          <w:szCs w:val="28"/>
        </w:rPr>
        <w:t xml:space="preserve"> січня 2019 р.), </w:t>
      </w:r>
      <w:r w:rsidR="00B514AC" w:rsidRPr="007F5722">
        <w:rPr>
          <w:rFonts w:ascii="Times New Roman" w:hAnsi="Times New Roman" w:cs="Times New Roman"/>
          <w:sz w:val="28"/>
          <w:szCs w:val="28"/>
        </w:rPr>
        <w:t>Буковинському міжнародному медико-фармацевтичному конгресі студентів і молодих вчених, BIMCO (Чернівці, 5 квітня 2019 р.), VII Евразийскому Конгресі кардиологів, (Ташкент, 17–18 мая 2019 г.)</w:t>
      </w:r>
      <w:r w:rsidRPr="007F5722">
        <w:rPr>
          <w:rFonts w:ascii="Times New Roman" w:hAnsi="Times New Roman" w:cs="Times New Roman"/>
          <w:sz w:val="28"/>
          <w:szCs w:val="28"/>
        </w:rPr>
        <w:t>.</w:t>
      </w:r>
    </w:p>
    <w:p w:rsidR="00CE74C1" w:rsidRPr="009A3FE9" w:rsidRDefault="00391CF7" w:rsidP="009A3FE9">
      <w:pPr>
        <w:spacing w:after="0" w:line="360" w:lineRule="auto"/>
        <w:jc w:val="both"/>
        <w:rPr>
          <w:rFonts w:ascii="Times New Roman" w:hAnsi="Times New Roman" w:cs="Times New Roman"/>
          <w:i/>
          <w:sz w:val="28"/>
          <w:szCs w:val="28"/>
        </w:rPr>
      </w:pPr>
      <w:r w:rsidRPr="007F5722">
        <w:rPr>
          <w:rFonts w:ascii="Times New Roman" w:hAnsi="Times New Roman" w:cs="Times New Roman"/>
          <w:sz w:val="28"/>
          <w:szCs w:val="28"/>
        </w:rPr>
        <w:tab/>
      </w:r>
      <w:r w:rsidRPr="007F5722">
        <w:rPr>
          <w:rFonts w:ascii="Times New Roman" w:hAnsi="Times New Roman" w:cs="Times New Roman"/>
          <w:b/>
          <w:bCs/>
          <w:sz w:val="28"/>
          <w:szCs w:val="28"/>
        </w:rPr>
        <w:t xml:space="preserve">Публікації. </w:t>
      </w:r>
      <w:r w:rsidR="009A3FE9" w:rsidRPr="009A3FE9">
        <w:rPr>
          <w:rFonts w:ascii="Times New Roman" w:hAnsi="Times New Roman" w:cs="Times New Roman"/>
          <w:sz w:val="28"/>
          <w:szCs w:val="28"/>
        </w:rPr>
        <w:t xml:space="preserve">За результатами дисертації опубліковано 18 наукових робіт, серед яких 7 статей, 5 статей </w:t>
      </w:r>
      <w:r w:rsidR="009A3FE9" w:rsidRPr="009A3FE9">
        <w:rPr>
          <w:rFonts w:ascii="Times New Roman" w:hAnsi="Times New Roman" w:cs="Times New Roman"/>
          <w:bCs/>
          <w:sz w:val="28"/>
          <w:szCs w:val="28"/>
        </w:rPr>
        <w:t>у фахових виданнях, рекомендованих МОН України,</w:t>
      </w:r>
      <w:r w:rsidR="009A3FE9" w:rsidRPr="009A3FE9">
        <w:rPr>
          <w:rFonts w:ascii="Times New Roman" w:hAnsi="Times New Roman" w:cs="Times New Roman"/>
          <w:sz w:val="28"/>
          <w:szCs w:val="28"/>
        </w:rPr>
        <w:t xml:space="preserve"> і 2 статті у іноземних виданнях, з них 1 одноосібно, отримано</w:t>
      </w:r>
      <w:r w:rsidR="009A3FE9" w:rsidRPr="009A3FE9">
        <w:rPr>
          <w:rFonts w:ascii="Times New Roman" w:hAnsi="Times New Roman" w:cs="Times New Roman"/>
          <w:sz w:val="28"/>
          <w:szCs w:val="28"/>
          <w:lang w:val="ru-RU"/>
        </w:rPr>
        <w:t xml:space="preserve"> 1 патент України на корисну модель, </w:t>
      </w:r>
      <w:r w:rsidR="009A3FE9" w:rsidRPr="009A3FE9">
        <w:rPr>
          <w:rFonts w:ascii="Times New Roman" w:hAnsi="Times New Roman" w:cs="Times New Roman"/>
          <w:sz w:val="28"/>
          <w:szCs w:val="28"/>
        </w:rPr>
        <w:t>10 тез у матеріалах конгресів, з’їздів і конференцій.</w:t>
      </w:r>
    </w:p>
    <w:p w:rsidR="00CE74C1" w:rsidRPr="007F5722" w:rsidRDefault="00CE74C1" w:rsidP="00CE74C1">
      <w:pPr>
        <w:spacing w:after="0" w:line="360" w:lineRule="auto"/>
        <w:jc w:val="both"/>
        <w:rPr>
          <w:rFonts w:ascii="Times New Roman" w:hAnsi="Times New Roman" w:cs="Times New Roman"/>
          <w:i/>
          <w:sz w:val="28"/>
          <w:szCs w:val="28"/>
        </w:rPr>
        <w:sectPr w:rsidR="00CE74C1" w:rsidRPr="007F5722" w:rsidSect="007C0B93">
          <w:pgSz w:w="11906" w:h="16838"/>
          <w:pgMar w:top="1134" w:right="850" w:bottom="1134" w:left="1701" w:header="708" w:footer="708" w:gutter="0"/>
          <w:cols w:space="708"/>
          <w:docGrid w:linePitch="360"/>
        </w:sectPr>
      </w:pPr>
    </w:p>
    <w:p w:rsidR="00CE74C1" w:rsidRPr="007F5722" w:rsidRDefault="00CE74C1" w:rsidP="00CE74C1">
      <w:pPr>
        <w:spacing w:after="0" w:line="360" w:lineRule="auto"/>
        <w:jc w:val="center"/>
        <w:rPr>
          <w:rFonts w:ascii="Times New Roman" w:hAnsi="Times New Roman" w:cs="Times New Roman"/>
          <w:b/>
          <w:sz w:val="28"/>
          <w:szCs w:val="28"/>
        </w:rPr>
      </w:pPr>
      <w:r w:rsidRPr="007F5722">
        <w:rPr>
          <w:rFonts w:ascii="Times New Roman" w:hAnsi="Times New Roman" w:cs="Times New Roman"/>
          <w:b/>
          <w:sz w:val="28"/>
          <w:szCs w:val="28"/>
        </w:rPr>
        <w:lastRenderedPageBreak/>
        <w:t>РОЗДІЛ 1</w:t>
      </w:r>
    </w:p>
    <w:p w:rsidR="00CE74C1" w:rsidRPr="007F5722" w:rsidRDefault="00CE74C1" w:rsidP="00CE74C1">
      <w:pPr>
        <w:tabs>
          <w:tab w:val="left" w:pos="1134"/>
        </w:tabs>
        <w:spacing w:after="0" w:line="360" w:lineRule="auto"/>
        <w:jc w:val="center"/>
        <w:rPr>
          <w:rFonts w:ascii="Times New Roman" w:hAnsi="Times New Roman" w:cs="Times New Roman"/>
          <w:b/>
          <w:sz w:val="28"/>
          <w:szCs w:val="28"/>
        </w:rPr>
      </w:pPr>
      <w:r w:rsidRPr="007F5722">
        <w:rPr>
          <w:rFonts w:ascii="Times New Roman" w:hAnsi="Times New Roman" w:cs="Times New Roman"/>
          <w:b/>
          <w:sz w:val="28"/>
          <w:szCs w:val="28"/>
        </w:rPr>
        <w:t>ОГЛЯД ЛІТЕРАТУРИ</w:t>
      </w:r>
    </w:p>
    <w:p w:rsidR="00CE74C1" w:rsidRPr="007F5722" w:rsidRDefault="00CE74C1" w:rsidP="00CE74C1">
      <w:pPr>
        <w:tabs>
          <w:tab w:val="left" w:pos="1134"/>
        </w:tabs>
        <w:spacing w:after="0" w:line="360" w:lineRule="auto"/>
        <w:jc w:val="center"/>
        <w:rPr>
          <w:rFonts w:ascii="Times New Roman" w:hAnsi="Times New Roman" w:cs="Times New Roman"/>
          <w:b/>
          <w:sz w:val="28"/>
          <w:szCs w:val="28"/>
        </w:rPr>
      </w:pPr>
    </w:p>
    <w:p w:rsidR="00CE74C1" w:rsidRPr="007F5722" w:rsidRDefault="00CE74C1" w:rsidP="00CE74C1">
      <w:pPr>
        <w:pStyle w:val="a8"/>
        <w:numPr>
          <w:ilvl w:val="1"/>
          <w:numId w:val="7"/>
        </w:numPr>
        <w:spacing w:after="0" w:line="360" w:lineRule="auto"/>
        <w:jc w:val="center"/>
        <w:rPr>
          <w:rFonts w:ascii="Times New Roman" w:hAnsi="Times New Roman" w:cs="Times New Roman"/>
          <w:b/>
          <w:sz w:val="28"/>
          <w:szCs w:val="28"/>
        </w:rPr>
      </w:pPr>
      <w:r w:rsidRPr="007F5722">
        <w:rPr>
          <w:rFonts w:ascii="Times New Roman" w:hAnsi="Times New Roman" w:cs="Times New Roman"/>
          <w:b/>
          <w:sz w:val="28"/>
          <w:szCs w:val="28"/>
        </w:rPr>
        <w:t>Сучасний погляд на особливості клінічного перебігу гіпертонічної хвороби з ожирінням. Роль інтерлейкінів</w:t>
      </w:r>
    </w:p>
    <w:p w:rsidR="00CE74C1" w:rsidRPr="007F5722" w:rsidRDefault="00CE74C1" w:rsidP="00CE74C1">
      <w:pPr>
        <w:pStyle w:val="a8"/>
        <w:spacing w:after="0" w:line="360" w:lineRule="auto"/>
        <w:ind w:left="525"/>
        <w:rPr>
          <w:rFonts w:ascii="Times New Roman" w:hAnsi="Times New Roman" w:cs="Times New Roman"/>
          <w:sz w:val="28"/>
          <w:szCs w:val="28"/>
        </w:rPr>
      </w:pPr>
    </w:p>
    <w:p w:rsidR="00CE74C1" w:rsidRPr="007F5722" w:rsidRDefault="00CE74C1" w:rsidP="00CE74C1">
      <w:pPr>
        <w:spacing w:after="0" w:line="360" w:lineRule="auto"/>
        <w:ind w:firstLine="708"/>
        <w:jc w:val="both"/>
        <w:rPr>
          <w:rFonts w:ascii="Times New Roman" w:hAnsi="Times New Roman" w:cs="Times New Roman"/>
          <w:sz w:val="28"/>
          <w:szCs w:val="28"/>
          <w:lang w:eastAsia="uk-UA"/>
        </w:rPr>
      </w:pPr>
      <w:r w:rsidRPr="007F5722">
        <w:rPr>
          <w:rFonts w:ascii="Times New Roman" w:hAnsi="Times New Roman" w:cs="Times New Roman"/>
          <w:sz w:val="28"/>
          <w:szCs w:val="28"/>
        </w:rPr>
        <w:t xml:space="preserve">Коморбідність </w:t>
      </w:r>
      <w:r w:rsidR="00CB5B2F" w:rsidRPr="007F5722">
        <w:rPr>
          <w:rFonts w:ascii="Times New Roman" w:hAnsi="Times New Roman" w:cs="Times New Roman"/>
          <w:sz w:val="28"/>
          <w:szCs w:val="28"/>
        </w:rPr>
        <w:t>гіпертонічної хвороби (</w:t>
      </w:r>
      <w:r w:rsidRPr="007F5722">
        <w:rPr>
          <w:rFonts w:ascii="Times New Roman" w:hAnsi="Times New Roman" w:cs="Times New Roman"/>
          <w:sz w:val="28"/>
          <w:szCs w:val="28"/>
        </w:rPr>
        <w:t>ГХ</w:t>
      </w:r>
      <w:r w:rsidR="00CB5B2F" w:rsidRPr="007F5722">
        <w:rPr>
          <w:rFonts w:ascii="Times New Roman" w:hAnsi="Times New Roman" w:cs="Times New Roman"/>
          <w:sz w:val="28"/>
          <w:szCs w:val="28"/>
        </w:rPr>
        <w:t>)</w:t>
      </w:r>
      <w:r w:rsidRPr="007F5722">
        <w:rPr>
          <w:rFonts w:ascii="Times New Roman" w:hAnsi="Times New Roman" w:cs="Times New Roman"/>
          <w:sz w:val="28"/>
          <w:szCs w:val="28"/>
        </w:rPr>
        <w:t xml:space="preserve"> та </w:t>
      </w:r>
      <w:r w:rsidR="000A009B" w:rsidRPr="007F5722">
        <w:rPr>
          <w:rFonts w:ascii="Times New Roman" w:hAnsi="Times New Roman" w:cs="Times New Roman"/>
          <w:sz w:val="28"/>
          <w:szCs w:val="28"/>
        </w:rPr>
        <w:t>атеросклерозу</w:t>
      </w:r>
      <w:r w:rsidRPr="007F5722">
        <w:rPr>
          <w:rFonts w:ascii="Times New Roman" w:hAnsi="Times New Roman" w:cs="Times New Roman"/>
          <w:sz w:val="28"/>
          <w:szCs w:val="28"/>
        </w:rPr>
        <w:t xml:space="preserve"> має несприятливий вплив на формування </w:t>
      </w:r>
      <w:r w:rsidR="000A009B" w:rsidRPr="007F5722">
        <w:rPr>
          <w:rFonts w:ascii="Times New Roman" w:hAnsi="Times New Roman" w:cs="Times New Roman"/>
          <w:sz w:val="28"/>
          <w:szCs w:val="28"/>
        </w:rPr>
        <w:t>фатальних</w:t>
      </w:r>
      <w:r w:rsidRPr="007F5722">
        <w:rPr>
          <w:rFonts w:ascii="Times New Roman" w:hAnsi="Times New Roman" w:cs="Times New Roman"/>
          <w:sz w:val="28"/>
          <w:szCs w:val="28"/>
        </w:rPr>
        <w:t xml:space="preserve"> та нефатальних серцево-судинних ускладнень, насамперед інфаркту міокарду та інсульту. </w:t>
      </w:r>
      <w:r w:rsidR="000A009B" w:rsidRPr="007F5722">
        <w:rPr>
          <w:rFonts w:ascii="Times New Roman" w:hAnsi="Times New Roman" w:cs="Times New Roman"/>
          <w:sz w:val="28"/>
          <w:szCs w:val="28"/>
        </w:rPr>
        <w:t>Поєднання</w:t>
      </w:r>
      <w:r w:rsidRPr="007F5722">
        <w:rPr>
          <w:rFonts w:ascii="Times New Roman" w:hAnsi="Times New Roman" w:cs="Times New Roman"/>
          <w:sz w:val="28"/>
          <w:szCs w:val="28"/>
        </w:rPr>
        <w:t xml:space="preserve"> ГХ та атеросклерозу представляють небезпечний коморбідний стан, який характеризується </w:t>
      </w:r>
      <w:r w:rsidRPr="007F5722">
        <w:rPr>
          <w:rFonts w:ascii="Times New Roman" w:hAnsi="Times New Roman" w:cs="Times New Roman"/>
          <w:sz w:val="28"/>
          <w:szCs w:val="28"/>
          <w:lang w:eastAsia="uk-UA"/>
        </w:rPr>
        <w:t>високою агресивністю і раннім розвитком серцево-судинних ускладнень. Клінічні та експериментальні дослідження встановили загальні нейрогуморальні, імунозапальні, ендотелій-залежні міжклітинні порушення, які є спільними ланками патогенезу ГХ та атеросклерозу.</w:t>
      </w:r>
    </w:p>
    <w:p w:rsidR="00CE74C1" w:rsidRPr="007F5722" w:rsidRDefault="00CE74C1" w:rsidP="00CE74C1">
      <w:pPr>
        <w:spacing w:after="0" w:line="360" w:lineRule="auto"/>
        <w:ind w:firstLine="708"/>
        <w:jc w:val="both"/>
        <w:rPr>
          <w:rFonts w:ascii="Times New Roman" w:hAnsi="Times New Roman" w:cs="Times New Roman"/>
          <w:sz w:val="28"/>
          <w:szCs w:val="28"/>
          <w:lang w:eastAsia="uk-UA"/>
        </w:rPr>
      </w:pPr>
      <w:r w:rsidRPr="007F5722">
        <w:rPr>
          <w:rFonts w:ascii="Times New Roman" w:hAnsi="Times New Roman" w:cs="Times New Roman"/>
          <w:sz w:val="28"/>
          <w:szCs w:val="28"/>
          <w:lang w:eastAsia="uk-UA"/>
        </w:rPr>
        <w:t>На підставі експериментальних і клініко-морфологічних досліджень встановлено, що патогенетичні фактори ГХ потенціюють класичні механізми атерогенезу і викликають акселерацію атеросклеротичної бляшки в результаті запуску патологічного каскаду тканинних руйнівних процесів, пусковим моментом яких можливо розглядати хронічний гемодинамічний стрес при ГХ. Атерогенез на сучасному етапі представля</w:t>
      </w:r>
      <w:r w:rsidR="00DB3E13" w:rsidRPr="007F5722">
        <w:rPr>
          <w:rFonts w:ascii="Times New Roman" w:hAnsi="Times New Roman" w:cs="Times New Roman"/>
          <w:sz w:val="28"/>
          <w:szCs w:val="28"/>
          <w:lang w:eastAsia="uk-UA"/>
        </w:rPr>
        <w:t>ють</w:t>
      </w:r>
      <w:r w:rsidRPr="007F5722">
        <w:rPr>
          <w:rFonts w:ascii="Times New Roman" w:hAnsi="Times New Roman" w:cs="Times New Roman"/>
          <w:sz w:val="28"/>
          <w:szCs w:val="28"/>
          <w:lang w:eastAsia="uk-UA"/>
        </w:rPr>
        <w:t xml:space="preserve"> як складний запальний фи</w:t>
      </w:r>
      <w:r w:rsidR="000A009B" w:rsidRPr="007F5722">
        <w:rPr>
          <w:rFonts w:ascii="Times New Roman" w:hAnsi="Times New Roman" w:cs="Times New Roman"/>
          <w:sz w:val="28"/>
          <w:szCs w:val="28"/>
          <w:lang w:eastAsia="uk-UA"/>
        </w:rPr>
        <w:t>бропролі</w:t>
      </w:r>
      <w:r w:rsidRPr="007F5722">
        <w:rPr>
          <w:rFonts w:ascii="Times New Roman" w:hAnsi="Times New Roman" w:cs="Times New Roman"/>
          <w:sz w:val="28"/>
          <w:szCs w:val="28"/>
          <w:lang w:eastAsia="uk-UA"/>
        </w:rPr>
        <w:t>ф</w:t>
      </w:r>
      <w:r w:rsidR="000A009B" w:rsidRPr="007F5722">
        <w:rPr>
          <w:rFonts w:ascii="Times New Roman" w:hAnsi="Times New Roman" w:cs="Times New Roman"/>
          <w:sz w:val="28"/>
          <w:szCs w:val="28"/>
          <w:lang w:eastAsia="uk-UA"/>
        </w:rPr>
        <w:t>еративний процес</w:t>
      </w:r>
      <w:r w:rsidRPr="007F5722">
        <w:rPr>
          <w:rFonts w:ascii="Times New Roman" w:hAnsi="Times New Roman" w:cs="Times New Roman"/>
          <w:sz w:val="28"/>
          <w:szCs w:val="28"/>
          <w:lang w:eastAsia="uk-UA"/>
        </w:rPr>
        <w:t xml:space="preserve"> </w:t>
      </w:r>
      <w:r w:rsidR="000A009B" w:rsidRPr="007F5722">
        <w:rPr>
          <w:rFonts w:ascii="Times New Roman" w:hAnsi="Times New Roman" w:cs="Times New Roman"/>
          <w:sz w:val="28"/>
          <w:szCs w:val="28"/>
          <w:lang w:eastAsia="uk-UA"/>
        </w:rPr>
        <w:t>реорганізації (структурної та функціональної)</w:t>
      </w:r>
      <w:r w:rsidRPr="007F5722">
        <w:rPr>
          <w:rFonts w:ascii="Times New Roman" w:hAnsi="Times New Roman" w:cs="Times New Roman"/>
          <w:sz w:val="28"/>
          <w:szCs w:val="28"/>
          <w:lang w:eastAsia="uk-UA"/>
        </w:rPr>
        <w:t xml:space="preserve"> ендотелію та гладком’язових клітин стінки артерій у відповідь на пошкодження, яке має складний множинний характер механічного, імунозапаль</w:t>
      </w:r>
      <w:r w:rsidR="00DB3E13" w:rsidRPr="007F5722">
        <w:rPr>
          <w:rFonts w:ascii="Times New Roman" w:hAnsi="Times New Roman" w:cs="Times New Roman"/>
          <w:sz w:val="28"/>
          <w:szCs w:val="28"/>
          <w:lang w:eastAsia="uk-UA"/>
        </w:rPr>
        <w:t>ного, токсичного, метаболічного та</w:t>
      </w:r>
      <w:r w:rsidRPr="007F5722">
        <w:rPr>
          <w:rFonts w:ascii="Times New Roman" w:hAnsi="Times New Roman" w:cs="Times New Roman"/>
          <w:sz w:val="28"/>
          <w:szCs w:val="28"/>
          <w:lang w:eastAsia="uk-UA"/>
        </w:rPr>
        <w:t xml:space="preserve"> оксидативного стресу [12].</w:t>
      </w:r>
    </w:p>
    <w:p w:rsidR="00CE74C1" w:rsidRPr="007F5722" w:rsidRDefault="00CE74C1" w:rsidP="00CE74C1">
      <w:pPr>
        <w:spacing w:after="0" w:line="360" w:lineRule="auto"/>
        <w:ind w:firstLine="708"/>
        <w:jc w:val="both"/>
        <w:rPr>
          <w:rFonts w:ascii="Times New Roman" w:hAnsi="Times New Roman" w:cs="Times New Roman"/>
          <w:sz w:val="28"/>
          <w:szCs w:val="28"/>
          <w:lang w:eastAsia="uk-UA"/>
        </w:rPr>
      </w:pPr>
      <w:r w:rsidRPr="007F5722">
        <w:rPr>
          <w:rFonts w:ascii="Times New Roman" w:hAnsi="Times New Roman" w:cs="Times New Roman"/>
          <w:sz w:val="28"/>
          <w:szCs w:val="28"/>
          <w:lang w:eastAsia="uk-UA"/>
        </w:rPr>
        <w:t xml:space="preserve">Механізми акселерації атеросклерозу умовно </w:t>
      </w:r>
      <w:r w:rsidR="00DB3E13" w:rsidRPr="007F5722">
        <w:rPr>
          <w:rFonts w:ascii="Times New Roman" w:hAnsi="Times New Roman" w:cs="Times New Roman"/>
          <w:sz w:val="28"/>
          <w:szCs w:val="28"/>
          <w:lang w:eastAsia="uk-UA"/>
        </w:rPr>
        <w:t>можна</w:t>
      </w:r>
      <w:r w:rsidRPr="007F5722">
        <w:rPr>
          <w:rFonts w:ascii="Times New Roman" w:hAnsi="Times New Roman" w:cs="Times New Roman"/>
          <w:sz w:val="28"/>
          <w:szCs w:val="28"/>
          <w:lang w:eastAsia="uk-UA"/>
        </w:rPr>
        <w:t xml:space="preserve"> розділити на прямі та опосередковані. Прямі ефекти пов’язані з безпосереднім впливом підвищеного артеріального тиску (АТ) на пошкодження судинної стінки внаслідок таких гемодинамічних факторів, як зміни току крові з утворенням турбулентного потоку, що призводить до формування такого</w:t>
      </w:r>
      <w:r w:rsidR="00036045" w:rsidRPr="007F5722">
        <w:rPr>
          <w:rFonts w:ascii="Times New Roman" w:hAnsi="Times New Roman" w:cs="Times New Roman"/>
          <w:sz w:val="28"/>
          <w:szCs w:val="28"/>
          <w:lang w:eastAsia="uk-UA"/>
        </w:rPr>
        <w:t xml:space="preserve"> феномену</w:t>
      </w:r>
      <w:r w:rsidR="001B1452" w:rsidRPr="007F5722">
        <w:rPr>
          <w:rFonts w:ascii="Times New Roman" w:hAnsi="Times New Roman" w:cs="Times New Roman"/>
          <w:sz w:val="28"/>
          <w:szCs w:val="28"/>
          <w:lang w:eastAsia="uk-UA"/>
        </w:rPr>
        <w:t>, як напруження зсуву -</w:t>
      </w:r>
      <w:r w:rsidR="00036045" w:rsidRPr="007F5722">
        <w:rPr>
          <w:rFonts w:ascii="Times New Roman" w:hAnsi="Times New Roman" w:cs="Times New Roman"/>
          <w:sz w:val="28"/>
          <w:szCs w:val="28"/>
          <w:lang w:eastAsia="uk-UA"/>
        </w:rPr>
        <w:t xml:space="preserve"> shear stress</w:t>
      </w:r>
      <w:r w:rsidRPr="007F5722">
        <w:rPr>
          <w:rFonts w:ascii="Times New Roman" w:hAnsi="Times New Roman" w:cs="Times New Roman"/>
          <w:sz w:val="28"/>
          <w:szCs w:val="28"/>
          <w:lang w:eastAsia="uk-UA"/>
        </w:rPr>
        <w:t xml:space="preserve">. Непрямі (опосередковані) </w:t>
      </w:r>
      <w:r w:rsidR="000A009B" w:rsidRPr="007F5722">
        <w:rPr>
          <w:rFonts w:ascii="Times New Roman" w:hAnsi="Times New Roman" w:cs="Times New Roman"/>
          <w:sz w:val="28"/>
          <w:szCs w:val="28"/>
          <w:lang w:eastAsia="uk-UA"/>
        </w:rPr>
        <w:t xml:space="preserve">механізми </w:t>
      </w:r>
      <w:r w:rsidRPr="007F5722">
        <w:rPr>
          <w:rFonts w:ascii="Times New Roman" w:hAnsi="Times New Roman" w:cs="Times New Roman"/>
          <w:sz w:val="28"/>
          <w:szCs w:val="28"/>
          <w:lang w:eastAsia="uk-UA"/>
        </w:rPr>
        <w:lastRenderedPageBreak/>
        <w:t xml:space="preserve">акселерації атеросклерозу </w:t>
      </w:r>
      <w:r w:rsidR="000A009B" w:rsidRPr="007F5722">
        <w:rPr>
          <w:rFonts w:ascii="Times New Roman" w:hAnsi="Times New Roman" w:cs="Times New Roman"/>
          <w:sz w:val="28"/>
          <w:szCs w:val="28"/>
          <w:lang w:eastAsia="uk-UA"/>
        </w:rPr>
        <w:t>пов’язані</w:t>
      </w:r>
      <w:r w:rsidRPr="007F5722">
        <w:rPr>
          <w:rFonts w:ascii="Times New Roman" w:hAnsi="Times New Roman" w:cs="Times New Roman"/>
          <w:sz w:val="28"/>
          <w:szCs w:val="28"/>
          <w:lang w:eastAsia="uk-UA"/>
        </w:rPr>
        <w:t xml:space="preserve"> з непрямими ефект</w:t>
      </w:r>
      <w:r w:rsidR="009C2CE6">
        <w:rPr>
          <w:rFonts w:ascii="Times New Roman" w:hAnsi="Times New Roman" w:cs="Times New Roman"/>
          <w:sz w:val="28"/>
          <w:szCs w:val="28"/>
          <w:lang w:eastAsia="uk-UA"/>
        </w:rPr>
        <w:t>ами різних регуляторних систем з</w:t>
      </w:r>
      <w:r w:rsidRPr="007F5722">
        <w:rPr>
          <w:rFonts w:ascii="Times New Roman" w:hAnsi="Times New Roman" w:cs="Times New Roman"/>
          <w:sz w:val="28"/>
          <w:szCs w:val="28"/>
          <w:lang w:eastAsia="uk-UA"/>
        </w:rPr>
        <w:t xml:space="preserve"> множинними біологічними реакціями. Основними з яких при ГХ є нейрогуморальна активація симпато-адреналової системи (САС) та ренін-ангіотензи-адреналової</w:t>
      </w:r>
      <w:r w:rsidR="009C2CE6">
        <w:rPr>
          <w:rFonts w:ascii="Times New Roman" w:hAnsi="Times New Roman" w:cs="Times New Roman"/>
          <w:sz w:val="28"/>
          <w:szCs w:val="28"/>
          <w:lang w:eastAsia="uk-UA"/>
        </w:rPr>
        <w:t xml:space="preserve"> системи</w:t>
      </w:r>
      <w:r w:rsidRPr="007F5722">
        <w:rPr>
          <w:rFonts w:ascii="Times New Roman" w:hAnsi="Times New Roman" w:cs="Times New Roman"/>
          <w:sz w:val="28"/>
          <w:szCs w:val="28"/>
          <w:lang w:eastAsia="uk-UA"/>
        </w:rPr>
        <w:t xml:space="preserve"> (РААС) з дисбалансом вазопресорних та вазодепресорних субстанцій, </w:t>
      </w:r>
      <w:r w:rsidR="000A009B" w:rsidRPr="007F5722">
        <w:rPr>
          <w:rFonts w:ascii="Times New Roman" w:hAnsi="Times New Roman" w:cs="Times New Roman"/>
          <w:sz w:val="28"/>
          <w:szCs w:val="28"/>
          <w:lang w:eastAsia="uk-UA"/>
        </w:rPr>
        <w:t>ендотеліальна дисфункція</w:t>
      </w:r>
      <w:r w:rsidRPr="007F5722">
        <w:rPr>
          <w:rFonts w:ascii="Times New Roman" w:hAnsi="Times New Roman" w:cs="Times New Roman"/>
          <w:sz w:val="28"/>
          <w:szCs w:val="28"/>
          <w:lang w:eastAsia="uk-UA"/>
        </w:rPr>
        <w:t xml:space="preserve">, судинний оксидативний стрес зі збільшенням </w:t>
      </w:r>
      <w:r w:rsidR="000A009B" w:rsidRPr="007F5722">
        <w:rPr>
          <w:rFonts w:ascii="Times New Roman" w:hAnsi="Times New Roman" w:cs="Times New Roman"/>
          <w:sz w:val="28"/>
          <w:szCs w:val="28"/>
          <w:lang w:eastAsia="uk-UA"/>
        </w:rPr>
        <w:t>продукції</w:t>
      </w:r>
      <w:r w:rsidRPr="007F5722">
        <w:rPr>
          <w:rFonts w:ascii="Times New Roman" w:hAnsi="Times New Roman" w:cs="Times New Roman"/>
          <w:sz w:val="28"/>
          <w:szCs w:val="28"/>
          <w:lang w:eastAsia="uk-UA"/>
        </w:rPr>
        <w:t xml:space="preserve"> вільних радикалів, збільшення хемотаксису, адгезії моноцитів, Т-лімфоцитів, лейкоцитів до ендотелію і міграція макрофагів, ліпідів в інтиму</w:t>
      </w:r>
      <w:r w:rsidR="000A009B" w:rsidRPr="007F5722">
        <w:rPr>
          <w:rFonts w:ascii="Times New Roman" w:hAnsi="Times New Roman" w:cs="Times New Roman"/>
          <w:sz w:val="28"/>
          <w:szCs w:val="28"/>
          <w:lang w:eastAsia="uk-UA"/>
        </w:rPr>
        <w:t xml:space="preserve">, </w:t>
      </w:r>
      <w:r w:rsidR="009C2CE6">
        <w:rPr>
          <w:rFonts w:ascii="Times New Roman" w:hAnsi="Times New Roman" w:cs="Times New Roman"/>
          <w:sz w:val="28"/>
          <w:szCs w:val="28"/>
          <w:lang w:eastAsia="uk-UA"/>
        </w:rPr>
        <w:t>експресія цитокінів</w:t>
      </w:r>
      <w:r w:rsidR="000A009B" w:rsidRPr="007F5722">
        <w:rPr>
          <w:rFonts w:ascii="Times New Roman" w:hAnsi="Times New Roman" w:cs="Times New Roman"/>
          <w:sz w:val="28"/>
          <w:szCs w:val="28"/>
          <w:lang w:eastAsia="uk-UA"/>
        </w:rPr>
        <w:t xml:space="preserve"> та пов</w:t>
      </w:r>
      <w:r w:rsidR="009C2CE6">
        <w:rPr>
          <w:rFonts w:ascii="Times New Roman" w:hAnsi="Times New Roman" w:cs="Times New Roman"/>
          <w:sz w:val="28"/>
          <w:szCs w:val="28"/>
          <w:lang w:eastAsia="uk-UA"/>
        </w:rPr>
        <w:t>’</w:t>
      </w:r>
      <w:r w:rsidR="000A009B" w:rsidRPr="007F5722">
        <w:rPr>
          <w:rFonts w:ascii="Times New Roman" w:hAnsi="Times New Roman" w:cs="Times New Roman"/>
          <w:sz w:val="28"/>
          <w:szCs w:val="28"/>
          <w:lang w:eastAsia="uk-UA"/>
        </w:rPr>
        <w:t>язана з цим</w:t>
      </w:r>
      <w:r w:rsidRPr="007F5722">
        <w:rPr>
          <w:rFonts w:ascii="Times New Roman" w:hAnsi="Times New Roman" w:cs="Times New Roman"/>
          <w:sz w:val="28"/>
          <w:szCs w:val="28"/>
          <w:lang w:eastAsia="uk-UA"/>
        </w:rPr>
        <w:t xml:space="preserve"> запальна проліферація гладком</w:t>
      </w:r>
      <w:r w:rsidR="009C2CE6">
        <w:rPr>
          <w:rFonts w:ascii="Times New Roman" w:hAnsi="Times New Roman" w:cs="Times New Roman"/>
          <w:sz w:val="28"/>
          <w:szCs w:val="28"/>
          <w:lang w:eastAsia="uk-UA"/>
        </w:rPr>
        <w:t>’</w:t>
      </w:r>
      <w:r w:rsidRPr="007F5722">
        <w:rPr>
          <w:rFonts w:ascii="Times New Roman" w:hAnsi="Times New Roman" w:cs="Times New Roman"/>
          <w:sz w:val="28"/>
          <w:szCs w:val="28"/>
          <w:lang w:eastAsia="uk-UA"/>
        </w:rPr>
        <w:t>язових клітин стінки артерій.</w:t>
      </w:r>
    </w:p>
    <w:p w:rsidR="000A009B" w:rsidRPr="007F5722" w:rsidRDefault="00CE74C1" w:rsidP="000C106E">
      <w:pPr>
        <w:spacing w:after="0" w:line="360" w:lineRule="auto"/>
        <w:ind w:firstLine="708"/>
        <w:jc w:val="both"/>
        <w:rPr>
          <w:rFonts w:ascii="Times New Roman" w:hAnsi="Times New Roman" w:cs="Times New Roman"/>
          <w:sz w:val="28"/>
          <w:szCs w:val="28"/>
          <w:lang w:eastAsia="uk-UA"/>
        </w:rPr>
      </w:pPr>
      <w:r w:rsidRPr="007F5722">
        <w:rPr>
          <w:rFonts w:ascii="Times New Roman" w:hAnsi="Times New Roman" w:cs="Times New Roman"/>
          <w:sz w:val="28"/>
          <w:szCs w:val="28"/>
          <w:lang w:eastAsia="uk-UA"/>
        </w:rPr>
        <w:t xml:space="preserve">При ГХ ключовим первинним фактором запуску ендотеліальних реакцій </w:t>
      </w:r>
      <w:r w:rsidR="000A009B" w:rsidRPr="007F5722">
        <w:rPr>
          <w:rFonts w:ascii="Times New Roman" w:hAnsi="Times New Roman" w:cs="Times New Roman"/>
          <w:sz w:val="28"/>
          <w:szCs w:val="28"/>
          <w:lang w:eastAsia="uk-UA"/>
        </w:rPr>
        <w:t>є</w:t>
      </w:r>
      <w:r w:rsidRPr="007F5722">
        <w:rPr>
          <w:rFonts w:ascii="Times New Roman" w:hAnsi="Times New Roman" w:cs="Times New Roman"/>
          <w:sz w:val="28"/>
          <w:szCs w:val="28"/>
          <w:lang w:eastAsia="uk-UA"/>
        </w:rPr>
        <w:t xml:space="preserve"> гемодинамічні фактори. </w:t>
      </w:r>
      <w:r w:rsidR="00036045" w:rsidRPr="007F5722">
        <w:rPr>
          <w:rFonts w:ascii="Times New Roman" w:hAnsi="Times New Roman" w:cs="Times New Roman"/>
          <w:sz w:val="28"/>
          <w:szCs w:val="28"/>
          <w:lang w:eastAsia="uk-UA"/>
        </w:rPr>
        <w:t>Коливання гемодинамі</w:t>
      </w:r>
      <w:r w:rsidR="000A009B" w:rsidRPr="007F5722">
        <w:rPr>
          <w:rFonts w:ascii="Times New Roman" w:hAnsi="Times New Roman" w:cs="Times New Roman"/>
          <w:sz w:val="28"/>
          <w:szCs w:val="28"/>
          <w:lang w:eastAsia="uk-UA"/>
        </w:rPr>
        <w:t xml:space="preserve">чного </w:t>
      </w:r>
      <w:r w:rsidR="00036045" w:rsidRPr="007F5722">
        <w:rPr>
          <w:rFonts w:ascii="Times New Roman" w:hAnsi="Times New Roman" w:cs="Times New Roman"/>
          <w:sz w:val="28"/>
          <w:szCs w:val="28"/>
          <w:lang w:eastAsia="uk-UA"/>
        </w:rPr>
        <w:t>навантаження</w:t>
      </w:r>
      <w:r w:rsidR="000A009B" w:rsidRPr="007F5722">
        <w:rPr>
          <w:rFonts w:ascii="Times New Roman" w:hAnsi="Times New Roman" w:cs="Times New Roman"/>
          <w:sz w:val="28"/>
          <w:szCs w:val="28"/>
          <w:lang w:eastAsia="uk-UA"/>
        </w:rPr>
        <w:t xml:space="preserve"> при ГХ</w:t>
      </w:r>
      <w:r w:rsidRPr="007F5722">
        <w:rPr>
          <w:rFonts w:ascii="Times New Roman" w:hAnsi="Times New Roman" w:cs="Times New Roman"/>
          <w:sz w:val="28"/>
          <w:szCs w:val="28"/>
          <w:lang w:eastAsia="uk-UA"/>
        </w:rPr>
        <w:t xml:space="preserve"> призводить </w:t>
      </w:r>
      <w:r w:rsidR="000A009B" w:rsidRPr="007F5722">
        <w:rPr>
          <w:rFonts w:ascii="Times New Roman" w:hAnsi="Times New Roman" w:cs="Times New Roman"/>
          <w:sz w:val="28"/>
          <w:szCs w:val="28"/>
          <w:lang w:eastAsia="uk-UA"/>
        </w:rPr>
        <w:t>до формування</w:t>
      </w:r>
      <w:r w:rsidRPr="007F5722">
        <w:rPr>
          <w:rFonts w:ascii="Times New Roman" w:hAnsi="Times New Roman" w:cs="Times New Roman"/>
          <w:sz w:val="28"/>
          <w:szCs w:val="28"/>
          <w:lang w:eastAsia="uk-UA"/>
        </w:rPr>
        <w:t xml:space="preserve"> напруж</w:t>
      </w:r>
      <w:r w:rsidR="000C106E" w:rsidRPr="007F5722">
        <w:rPr>
          <w:rFonts w:ascii="Times New Roman" w:hAnsi="Times New Roman" w:cs="Times New Roman"/>
          <w:sz w:val="28"/>
          <w:szCs w:val="28"/>
          <w:lang w:eastAsia="uk-UA"/>
        </w:rPr>
        <w:t>е</w:t>
      </w:r>
      <w:r w:rsidRPr="007F5722">
        <w:rPr>
          <w:rFonts w:ascii="Times New Roman" w:hAnsi="Times New Roman" w:cs="Times New Roman"/>
          <w:sz w:val="28"/>
          <w:szCs w:val="28"/>
          <w:lang w:eastAsia="uk-UA"/>
        </w:rPr>
        <w:t>ння зсуву</w:t>
      </w:r>
      <w:r w:rsidR="000A009B" w:rsidRPr="007F5722">
        <w:rPr>
          <w:rFonts w:ascii="Times New Roman" w:hAnsi="Times New Roman" w:cs="Times New Roman"/>
          <w:sz w:val="28"/>
          <w:szCs w:val="28"/>
          <w:lang w:eastAsia="uk-UA"/>
        </w:rPr>
        <w:t xml:space="preserve"> ендотеліоцитів. </w:t>
      </w:r>
      <w:r w:rsidR="005E105B" w:rsidRPr="007F5722">
        <w:rPr>
          <w:rFonts w:ascii="Times New Roman" w:hAnsi="Times New Roman" w:cs="Times New Roman"/>
          <w:sz w:val="28"/>
          <w:szCs w:val="28"/>
          <w:lang w:eastAsia="uk-UA"/>
        </w:rPr>
        <w:t xml:space="preserve">Цей процес характерезиується тим, що </w:t>
      </w:r>
      <w:r w:rsidR="000A009B" w:rsidRPr="007F5722">
        <w:rPr>
          <w:rFonts w:ascii="Times New Roman" w:hAnsi="Times New Roman" w:cs="Times New Roman"/>
          <w:sz w:val="28"/>
          <w:szCs w:val="28"/>
          <w:lang w:eastAsia="uk-UA"/>
        </w:rPr>
        <w:t xml:space="preserve">клітини ендотелію </w:t>
      </w:r>
      <w:r w:rsidR="001B1452" w:rsidRPr="007F5722">
        <w:rPr>
          <w:rFonts w:ascii="Times New Roman" w:hAnsi="Times New Roman" w:cs="Times New Roman"/>
          <w:sz w:val="28"/>
          <w:szCs w:val="28"/>
          <w:lang w:eastAsia="uk-UA"/>
        </w:rPr>
        <w:t>змінюють</w:t>
      </w:r>
      <w:r w:rsidR="000A009B" w:rsidRPr="007F5722">
        <w:rPr>
          <w:rFonts w:ascii="Times New Roman" w:hAnsi="Times New Roman" w:cs="Times New Roman"/>
          <w:sz w:val="28"/>
          <w:szCs w:val="28"/>
          <w:lang w:eastAsia="uk-UA"/>
        </w:rPr>
        <w:t xml:space="preserve"> форму і розміри, розташовую</w:t>
      </w:r>
      <w:r w:rsidR="005E105B" w:rsidRPr="007F5722">
        <w:rPr>
          <w:rFonts w:ascii="Times New Roman" w:hAnsi="Times New Roman" w:cs="Times New Roman"/>
          <w:sz w:val="28"/>
          <w:szCs w:val="28"/>
          <w:lang w:eastAsia="uk-UA"/>
        </w:rPr>
        <w:t>ться</w:t>
      </w:r>
      <w:r w:rsidR="000A009B" w:rsidRPr="007F5722">
        <w:rPr>
          <w:rFonts w:ascii="Times New Roman" w:hAnsi="Times New Roman" w:cs="Times New Roman"/>
          <w:sz w:val="28"/>
          <w:szCs w:val="28"/>
          <w:lang w:eastAsia="uk-UA"/>
        </w:rPr>
        <w:t xml:space="preserve"> хаотично</w:t>
      </w:r>
      <w:r w:rsidR="005E105B" w:rsidRPr="007F5722">
        <w:rPr>
          <w:rFonts w:ascii="Times New Roman" w:hAnsi="Times New Roman" w:cs="Times New Roman"/>
          <w:sz w:val="28"/>
          <w:szCs w:val="28"/>
          <w:lang w:eastAsia="uk-UA"/>
        </w:rPr>
        <w:t>. Розміри ендотеліоцитів з</w:t>
      </w:r>
      <w:r w:rsidR="000A009B" w:rsidRPr="007F5722">
        <w:rPr>
          <w:rFonts w:ascii="Times New Roman" w:hAnsi="Times New Roman" w:cs="Times New Roman"/>
          <w:sz w:val="28"/>
          <w:szCs w:val="28"/>
          <w:lang w:eastAsia="uk-UA"/>
        </w:rPr>
        <w:t xml:space="preserve">більшуються в зонах великих гемодинамічних навантажень (турбулентні зміни току крові) та виникають конгломерати деформованих ендотеліоцитів. Ці зони стають вразливими для бактеріальної та вірусної агресії, схильні до пошкодження при дисліпідеміях та імунозапальних зсувах, </w:t>
      </w:r>
      <w:r w:rsidR="00036045" w:rsidRPr="007F5722">
        <w:rPr>
          <w:rFonts w:ascii="Times New Roman" w:hAnsi="Times New Roman" w:cs="Times New Roman"/>
          <w:sz w:val="28"/>
          <w:szCs w:val="28"/>
          <w:lang w:eastAsia="uk-UA"/>
        </w:rPr>
        <w:t>та</w:t>
      </w:r>
      <w:r w:rsidR="000A009B" w:rsidRPr="007F5722">
        <w:rPr>
          <w:rFonts w:ascii="Times New Roman" w:hAnsi="Times New Roman" w:cs="Times New Roman"/>
          <w:sz w:val="28"/>
          <w:szCs w:val="28"/>
          <w:lang w:eastAsia="uk-UA"/>
        </w:rPr>
        <w:t xml:space="preserve"> формують тканинн</w:t>
      </w:r>
      <w:r w:rsidR="009C2CE6">
        <w:rPr>
          <w:rFonts w:ascii="Times New Roman" w:hAnsi="Times New Roman" w:cs="Times New Roman"/>
          <w:sz w:val="28"/>
          <w:szCs w:val="28"/>
          <w:lang w:eastAsia="uk-UA"/>
        </w:rPr>
        <w:t>у відповідь на напруження зсуву</w:t>
      </w:r>
      <w:r w:rsidR="000A009B" w:rsidRPr="007F5722">
        <w:rPr>
          <w:rFonts w:ascii="Times New Roman" w:hAnsi="Times New Roman" w:cs="Times New Roman"/>
          <w:sz w:val="28"/>
          <w:szCs w:val="28"/>
          <w:lang w:eastAsia="uk-UA"/>
        </w:rPr>
        <w:t xml:space="preserve"> “shear stress response element”. У субендотеліальному шарі під деформованими ендотеліоцитами виявляється скупчення </w:t>
      </w:r>
      <w:r w:rsidR="001B1452" w:rsidRPr="007F5722">
        <w:rPr>
          <w:rFonts w:ascii="Times New Roman" w:hAnsi="Times New Roman" w:cs="Times New Roman"/>
          <w:sz w:val="28"/>
          <w:szCs w:val="28"/>
          <w:lang w:eastAsia="uk-UA"/>
        </w:rPr>
        <w:t>імунокомпетентних клітин – нейтрофілів, макрофагів, мононуклеарів, які</w:t>
      </w:r>
      <w:r w:rsidR="000A009B" w:rsidRPr="007F5722">
        <w:rPr>
          <w:rFonts w:ascii="Times New Roman" w:hAnsi="Times New Roman" w:cs="Times New Roman"/>
          <w:sz w:val="28"/>
          <w:szCs w:val="28"/>
          <w:lang w:eastAsia="uk-UA"/>
        </w:rPr>
        <w:t xml:space="preserve"> утворюють в глибині інтими </w:t>
      </w:r>
      <w:r w:rsidR="001B1452" w:rsidRPr="007F5722">
        <w:rPr>
          <w:rFonts w:ascii="Times New Roman" w:hAnsi="Times New Roman" w:cs="Times New Roman"/>
          <w:sz w:val="28"/>
          <w:szCs w:val="28"/>
          <w:lang w:eastAsia="uk-UA"/>
        </w:rPr>
        <w:t xml:space="preserve">клітинні </w:t>
      </w:r>
      <w:r w:rsidR="000A009B" w:rsidRPr="007F5722">
        <w:rPr>
          <w:rFonts w:ascii="Times New Roman" w:hAnsi="Times New Roman" w:cs="Times New Roman"/>
          <w:sz w:val="28"/>
          <w:szCs w:val="28"/>
          <w:lang w:eastAsia="uk-UA"/>
        </w:rPr>
        <w:t xml:space="preserve">колонії, що продукують колаген </w:t>
      </w:r>
      <w:r w:rsidR="001B1452" w:rsidRPr="007F5722">
        <w:rPr>
          <w:rFonts w:ascii="Times New Roman" w:hAnsi="Times New Roman" w:cs="Times New Roman"/>
          <w:sz w:val="28"/>
          <w:szCs w:val="28"/>
          <w:lang w:eastAsia="uk-UA"/>
        </w:rPr>
        <w:t>та</w:t>
      </w:r>
      <w:r w:rsidR="000A009B" w:rsidRPr="007F5722">
        <w:rPr>
          <w:rFonts w:ascii="Times New Roman" w:hAnsi="Times New Roman" w:cs="Times New Roman"/>
          <w:sz w:val="28"/>
          <w:szCs w:val="28"/>
          <w:lang w:eastAsia="uk-UA"/>
        </w:rPr>
        <w:t xml:space="preserve"> інші структури позакклітинного матриксу, що сприяє формуванню ліпідного ядра атероматозної бляшки </w:t>
      </w:r>
      <w:r w:rsidR="001B1452" w:rsidRPr="007F5722">
        <w:rPr>
          <w:rFonts w:ascii="Times New Roman" w:hAnsi="Times New Roman" w:cs="Times New Roman"/>
          <w:sz w:val="28"/>
          <w:szCs w:val="28"/>
          <w:lang w:eastAsia="uk-UA"/>
        </w:rPr>
        <w:t xml:space="preserve"> та призводить до ремоделювання судин </w:t>
      </w:r>
      <w:r w:rsidR="000A009B" w:rsidRPr="007F5722">
        <w:rPr>
          <w:rFonts w:ascii="Times New Roman" w:hAnsi="Times New Roman" w:cs="Times New Roman"/>
          <w:sz w:val="28"/>
          <w:szCs w:val="28"/>
          <w:lang w:eastAsia="uk-UA"/>
        </w:rPr>
        <w:t>[13].</w:t>
      </w:r>
    </w:p>
    <w:p w:rsidR="00CE74C1" w:rsidRPr="007F5722" w:rsidRDefault="000A009B" w:rsidP="00036045">
      <w:pPr>
        <w:spacing w:after="0" w:line="360" w:lineRule="auto"/>
        <w:ind w:firstLine="708"/>
        <w:jc w:val="both"/>
        <w:rPr>
          <w:rFonts w:ascii="Times New Roman" w:hAnsi="Times New Roman" w:cs="Times New Roman"/>
          <w:sz w:val="28"/>
          <w:szCs w:val="28"/>
          <w:lang w:eastAsia="uk-UA"/>
        </w:rPr>
      </w:pPr>
      <w:r w:rsidRPr="007F5722">
        <w:rPr>
          <w:rFonts w:ascii="Times New Roman" w:hAnsi="Times New Roman" w:cs="Times New Roman"/>
          <w:sz w:val="28"/>
          <w:szCs w:val="28"/>
          <w:lang w:eastAsia="uk-UA"/>
        </w:rPr>
        <w:t>Така структурна</w:t>
      </w:r>
      <w:r w:rsidR="00036045" w:rsidRPr="007F5722">
        <w:rPr>
          <w:rFonts w:ascii="Times New Roman" w:hAnsi="Times New Roman" w:cs="Times New Roman"/>
          <w:sz w:val="28"/>
          <w:szCs w:val="28"/>
          <w:lang w:eastAsia="uk-UA"/>
        </w:rPr>
        <w:t xml:space="preserve"> перебудова ендотеліоцитів при </w:t>
      </w:r>
      <w:r w:rsidR="001B1452" w:rsidRPr="007F5722">
        <w:rPr>
          <w:rFonts w:ascii="Times New Roman" w:hAnsi="Times New Roman" w:cs="Times New Roman"/>
          <w:sz w:val="28"/>
          <w:szCs w:val="28"/>
          <w:lang w:eastAsia="uk-UA"/>
        </w:rPr>
        <w:t>ГХ</w:t>
      </w:r>
      <w:r w:rsidR="00036045" w:rsidRPr="007F5722">
        <w:rPr>
          <w:rFonts w:ascii="Times New Roman" w:hAnsi="Times New Roman" w:cs="Times New Roman"/>
          <w:sz w:val="28"/>
          <w:szCs w:val="28"/>
          <w:lang w:eastAsia="uk-UA"/>
        </w:rPr>
        <w:t xml:space="preserve"> сприяє тому, що ендотеліоцити</w:t>
      </w:r>
      <w:r w:rsidR="00CE74C1" w:rsidRPr="007F5722">
        <w:rPr>
          <w:rFonts w:ascii="Times New Roman" w:hAnsi="Times New Roman" w:cs="Times New Roman"/>
          <w:sz w:val="28"/>
          <w:szCs w:val="28"/>
          <w:lang w:eastAsia="uk-UA"/>
        </w:rPr>
        <w:t xml:space="preserve"> формують </w:t>
      </w:r>
      <w:r w:rsidR="00036045" w:rsidRPr="007F5722">
        <w:rPr>
          <w:rFonts w:ascii="Times New Roman" w:hAnsi="Times New Roman" w:cs="Times New Roman"/>
          <w:sz w:val="28"/>
          <w:szCs w:val="28"/>
          <w:lang w:eastAsia="uk-UA"/>
        </w:rPr>
        <w:t xml:space="preserve">і патологічно змінену </w:t>
      </w:r>
      <w:r w:rsidR="00CE74C1" w:rsidRPr="007F5722">
        <w:rPr>
          <w:rFonts w:ascii="Times New Roman" w:hAnsi="Times New Roman" w:cs="Times New Roman"/>
          <w:sz w:val="28"/>
          <w:szCs w:val="28"/>
          <w:lang w:eastAsia="uk-UA"/>
        </w:rPr>
        <w:t xml:space="preserve">функціональну відповідь. </w:t>
      </w:r>
      <w:r w:rsidR="00036045" w:rsidRPr="007F5722">
        <w:rPr>
          <w:rFonts w:ascii="Times New Roman" w:hAnsi="Times New Roman" w:cs="Times New Roman"/>
          <w:sz w:val="28"/>
          <w:szCs w:val="28"/>
          <w:lang w:eastAsia="uk-UA"/>
        </w:rPr>
        <w:t>А саме, з</w:t>
      </w:r>
      <w:r w:rsidR="00CE74C1" w:rsidRPr="007F5722">
        <w:rPr>
          <w:rFonts w:ascii="Times New Roman" w:hAnsi="Times New Roman" w:cs="Times New Roman"/>
          <w:sz w:val="28"/>
          <w:szCs w:val="28"/>
          <w:lang w:eastAsia="uk-UA"/>
        </w:rPr>
        <w:t>меншення продукції біологічно акт</w:t>
      </w:r>
      <w:r w:rsidR="000C106E" w:rsidRPr="007F5722">
        <w:rPr>
          <w:rFonts w:ascii="Times New Roman" w:hAnsi="Times New Roman" w:cs="Times New Roman"/>
          <w:sz w:val="28"/>
          <w:szCs w:val="28"/>
          <w:lang w:eastAsia="uk-UA"/>
        </w:rPr>
        <w:t>ивних речовин з вазодилятируючим</w:t>
      </w:r>
      <w:r w:rsidR="00CE74C1" w:rsidRPr="007F5722">
        <w:rPr>
          <w:rFonts w:ascii="Times New Roman" w:hAnsi="Times New Roman" w:cs="Times New Roman"/>
          <w:sz w:val="28"/>
          <w:szCs w:val="28"/>
          <w:lang w:eastAsia="uk-UA"/>
        </w:rPr>
        <w:t xml:space="preserve"> ефектом (насамперед NO) і підвищена відповідь судинної стінки на пресорні агенти в результаті</w:t>
      </w:r>
      <w:r w:rsidR="00CE74C1" w:rsidRPr="007F5722">
        <w:rPr>
          <w:rFonts w:ascii="Times New Roman" w:hAnsi="Times New Roman" w:cs="Times New Roman"/>
          <w:vanish/>
          <w:color w:val="008000"/>
          <w:sz w:val="28"/>
          <w:szCs w:val="28"/>
          <w:lang w:eastAsia="uk-UA"/>
        </w:rPr>
        <w:t xml:space="preserve"> </w:t>
      </w:r>
      <w:r w:rsidR="000A1D4F" w:rsidRPr="007F5722">
        <w:rPr>
          <w:rFonts w:ascii="Times New Roman" w:hAnsi="Times New Roman" w:cs="Times New Roman"/>
          <w:sz w:val="28"/>
          <w:szCs w:val="28"/>
          <w:lang w:eastAsia="uk-UA"/>
        </w:rPr>
        <w:t>метаболічного стресу</w:t>
      </w:r>
      <w:r w:rsidR="001B1452" w:rsidRPr="007F5722">
        <w:rPr>
          <w:rFonts w:ascii="Times New Roman" w:hAnsi="Times New Roman" w:cs="Times New Roman"/>
          <w:sz w:val="28"/>
          <w:szCs w:val="28"/>
          <w:lang w:eastAsia="uk-UA"/>
        </w:rPr>
        <w:t xml:space="preserve"> та апоптозу</w:t>
      </w:r>
      <w:r w:rsidR="00CE74C1" w:rsidRPr="007F5722">
        <w:rPr>
          <w:rFonts w:ascii="Times New Roman" w:hAnsi="Times New Roman" w:cs="Times New Roman"/>
          <w:sz w:val="28"/>
          <w:szCs w:val="28"/>
          <w:lang w:eastAsia="uk-UA"/>
        </w:rPr>
        <w:t xml:space="preserve"> клітин створюють основу для формування спазму, підвищення АТ, збільшення проникності </w:t>
      </w:r>
      <w:r w:rsidR="00CE74C1" w:rsidRPr="007F5722">
        <w:rPr>
          <w:rFonts w:ascii="Times New Roman" w:hAnsi="Times New Roman" w:cs="Times New Roman"/>
          <w:sz w:val="28"/>
          <w:szCs w:val="28"/>
          <w:lang w:eastAsia="uk-UA"/>
        </w:rPr>
        <w:lastRenderedPageBreak/>
        <w:t>стінки судин</w:t>
      </w:r>
      <w:r w:rsidR="00CE74C1" w:rsidRPr="007F5722">
        <w:rPr>
          <w:rFonts w:ascii="Times New Roman" w:hAnsi="Times New Roman" w:cs="Times New Roman"/>
          <w:color w:val="008000"/>
          <w:sz w:val="28"/>
          <w:szCs w:val="28"/>
          <w:lang w:eastAsia="uk-UA"/>
        </w:rPr>
        <w:t xml:space="preserve"> </w:t>
      </w:r>
      <w:r w:rsidR="000C106E" w:rsidRPr="007F5722">
        <w:rPr>
          <w:rFonts w:ascii="Times New Roman" w:hAnsi="Times New Roman" w:cs="Times New Roman"/>
          <w:sz w:val="28"/>
          <w:szCs w:val="28"/>
          <w:lang w:eastAsia="uk-UA"/>
        </w:rPr>
        <w:t>для білків, ліпопротеїдів, ві</w:t>
      </w:r>
      <w:r w:rsidR="00CE74C1" w:rsidRPr="007F5722">
        <w:rPr>
          <w:rFonts w:ascii="Times New Roman" w:hAnsi="Times New Roman" w:cs="Times New Roman"/>
          <w:sz w:val="28"/>
          <w:szCs w:val="28"/>
          <w:lang w:eastAsia="uk-UA"/>
        </w:rPr>
        <w:t>льних радикалів та медіа</w:t>
      </w:r>
      <w:r w:rsidR="000C106E" w:rsidRPr="007F5722">
        <w:rPr>
          <w:rFonts w:ascii="Times New Roman" w:hAnsi="Times New Roman" w:cs="Times New Roman"/>
          <w:sz w:val="28"/>
          <w:szCs w:val="28"/>
          <w:lang w:eastAsia="uk-UA"/>
        </w:rPr>
        <w:t>торів запалення. Таким чином створюються умови дл</w:t>
      </w:r>
      <w:r w:rsidR="00CE74C1" w:rsidRPr="007F5722">
        <w:rPr>
          <w:rFonts w:ascii="Times New Roman" w:hAnsi="Times New Roman" w:cs="Times New Roman"/>
          <w:sz w:val="28"/>
          <w:szCs w:val="28"/>
          <w:lang w:eastAsia="uk-UA"/>
        </w:rPr>
        <w:t>я прогресування як підвищення АТ , так и формування ат</w:t>
      </w:r>
      <w:r w:rsidR="000C106E" w:rsidRPr="007F5722">
        <w:rPr>
          <w:rFonts w:ascii="Times New Roman" w:hAnsi="Times New Roman" w:cs="Times New Roman"/>
          <w:sz w:val="28"/>
          <w:szCs w:val="28"/>
          <w:lang w:eastAsia="uk-UA"/>
        </w:rPr>
        <w:t>ероми.</w:t>
      </w:r>
    </w:p>
    <w:p w:rsidR="00CE74C1" w:rsidRPr="007F5722" w:rsidRDefault="00CE74C1" w:rsidP="000C106E">
      <w:pPr>
        <w:spacing w:after="0" w:line="360" w:lineRule="auto"/>
        <w:ind w:firstLine="567"/>
        <w:jc w:val="both"/>
        <w:rPr>
          <w:rFonts w:ascii="Times New Roman" w:hAnsi="Times New Roman" w:cs="Times New Roman"/>
          <w:sz w:val="28"/>
          <w:szCs w:val="28"/>
          <w:lang w:eastAsia="uk-UA"/>
        </w:rPr>
      </w:pPr>
      <w:r w:rsidRPr="007F5722">
        <w:rPr>
          <w:rFonts w:ascii="Times New Roman" w:hAnsi="Times New Roman" w:cs="Times New Roman"/>
          <w:sz w:val="28"/>
          <w:szCs w:val="28"/>
          <w:lang w:eastAsia="uk-UA"/>
        </w:rPr>
        <w:t>У відповідь на біомеханічний зсув напруги, підвищується біосинтетична активність ендотеліоцитів, що проявляється зміною синтезу в системі</w:t>
      </w:r>
      <w:r w:rsidR="000C106E" w:rsidRPr="007F5722">
        <w:rPr>
          <w:rFonts w:ascii="Times New Roman" w:hAnsi="Times New Roman" w:cs="Times New Roman"/>
          <w:sz w:val="28"/>
          <w:szCs w:val="28"/>
          <w:lang w:eastAsia="uk-UA"/>
        </w:rPr>
        <w:t xml:space="preserve"> тромбоксан/простациклін, дисбал</w:t>
      </w:r>
      <w:r w:rsidRPr="007F5722">
        <w:rPr>
          <w:rFonts w:ascii="Times New Roman" w:hAnsi="Times New Roman" w:cs="Times New Roman"/>
          <w:sz w:val="28"/>
          <w:szCs w:val="28"/>
          <w:lang w:eastAsia="uk-UA"/>
        </w:rPr>
        <w:t>а</w:t>
      </w:r>
      <w:r w:rsidR="000C106E" w:rsidRPr="007F5722">
        <w:rPr>
          <w:rFonts w:ascii="Times New Roman" w:hAnsi="Times New Roman" w:cs="Times New Roman"/>
          <w:sz w:val="28"/>
          <w:szCs w:val="28"/>
          <w:lang w:eastAsia="uk-UA"/>
        </w:rPr>
        <w:t>н</w:t>
      </w:r>
      <w:r w:rsidRPr="007F5722">
        <w:rPr>
          <w:rFonts w:ascii="Times New Roman" w:hAnsi="Times New Roman" w:cs="Times New Roman"/>
          <w:sz w:val="28"/>
          <w:szCs w:val="28"/>
          <w:lang w:eastAsia="uk-UA"/>
        </w:rPr>
        <w:t>сом факторів росту, компонентів систем коагуляції/фібринолізу, молекул позаклітинного матриксу, дисбалансом синтезу вазоконстриктори/вазодилятори [</w:t>
      </w:r>
      <w:r w:rsidR="000C106E" w:rsidRPr="007F5722">
        <w:rPr>
          <w:rFonts w:ascii="Times New Roman" w:hAnsi="Times New Roman" w:cs="Times New Roman"/>
          <w:sz w:val="28"/>
          <w:szCs w:val="28"/>
          <w:lang w:eastAsia="uk-UA"/>
        </w:rPr>
        <w:t>14</w:t>
      </w:r>
      <w:r w:rsidRPr="007F5722">
        <w:rPr>
          <w:rFonts w:ascii="Times New Roman" w:hAnsi="Times New Roman" w:cs="Times New Roman"/>
          <w:sz w:val="28"/>
          <w:szCs w:val="28"/>
          <w:lang w:eastAsia="uk-UA"/>
        </w:rPr>
        <w:t>].</w:t>
      </w:r>
      <w:r w:rsidR="000C106E" w:rsidRPr="007F5722">
        <w:rPr>
          <w:rFonts w:ascii="Times New Roman" w:hAnsi="Times New Roman" w:cs="Times New Roman"/>
          <w:sz w:val="28"/>
          <w:szCs w:val="28"/>
          <w:lang w:eastAsia="uk-UA"/>
        </w:rPr>
        <w:t xml:space="preserve"> </w:t>
      </w:r>
      <w:r w:rsidRPr="007F5722">
        <w:rPr>
          <w:rFonts w:ascii="Times New Roman" w:hAnsi="Times New Roman" w:cs="Times New Roman"/>
          <w:sz w:val="28"/>
          <w:szCs w:val="28"/>
          <w:lang w:eastAsia="uk-UA"/>
        </w:rPr>
        <w:t>Структурні зміни судин, індуковані нейрогуморальними порушеннями та ендотеліальна дисфункція є основними механізмами формування та прогресування як ГХ, так і атеросклерозу [</w:t>
      </w:r>
      <w:r w:rsidR="000C106E" w:rsidRPr="007F5722">
        <w:rPr>
          <w:rFonts w:ascii="Times New Roman" w:hAnsi="Times New Roman" w:cs="Times New Roman"/>
          <w:sz w:val="28"/>
          <w:szCs w:val="28"/>
          <w:lang w:eastAsia="uk-UA"/>
        </w:rPr>
        <w:t>15</w:t>
      </w:r>
      <w:r w:rsidRPr="007F5722">
        <w:rPr>
          <w:rFonts w:ascii="Times New Roman" w:hAnsi="Times New Roman" w:cs="Times New Roman"/>
          <w:sz w:val="28"/>
          <w:szCs w:val="28"/>
          <w:lang w:eastAsia="uk-UA"/>
        </w:rPr>
        <w:t>].</w:t>
      </w:r>
    </w:p>
    <w:p w:rsidR="00CE74C1" w:rsidRPr="007F5722" w:rsidRDefault="00CE74C1" w:rsidP="00CE74C1">
      <w:pPr>
        <w:spacing w:after="0" w:line="360" w:lineRule="auto"/>
        <w:ind w:firstLine="851"/>
        <w:jc w:val="both"/>
        <w:rPr>
          <w:rFonts w:ascii="Times New Roman" w:hAnsi="Times New Roman" w:cs="Times New Roman"/>
          <w:sz w:val="28"/>
          <w:szCs w:val="28"/>
        </w:rPr>
      </w:pPr>
      <w:r w:rsidRPr="007F5722">
        <w:rPr>
          <w:rFonts w:ascii="Times New Roman" w:hAnsi="Times New Roman" w:cs="Times New Roman"/>
          <w:sz w:val="28"/>
          <w:szCs w:val="28"/>
          <w:lang w:eastAsia="uk-UA"/>
        </w:rPr>
        <w:t xml:space="preserve">Також важливим фактором, який запускає біологічну стимуляцію регуляторних систем, ендотеліальну дисфункцію, а також акселерацію атеросклерозу служить ожиріння. </w:t>
      </w:r>
      <w:r w:rsidRPr="007F5722">
        <w:rPr>
          <w:rFonts w:ascii="Times New Roman" w:hAnsi="Times New Roman" w:cs="Times New Roman"/>
          <w:sz w:val="28"/>
          <w:szCs w:val="28"/>
        </w:rPr>
        <w:t>Ожиріння є добре відомим фактором ризику розвитку значної кількості захворювань т</w:t>
      </w:r>
      <w:r w:rsidR="000C106E" w:rsidRPr="007F5722">
        <w:rPr>
          <w:rFonts w:ascii="Times New Roman" w:hAnsi="Times New Roman" w:cs="Times New Roman"/>
          <w:sz w:val="28"/>
          <w:szCs w:val="28"/>
        </w:rPr>
        <w:t>а патологічних станів, таких як</w:t>
      </w:r>
      <w:r w:rsidRPr="007F5722">
        <w:rPr>
          <w:rFonts w:ascii="Times New Roman" w:hAnsi="Times New Roman" w:cs="Times New Roman"/>
          <w:sz w:val="28"/>
          <w:szCs w:val="28"/>
        </w:rPr>
        <w:t xml:space="preserve"> ГХ, </w:t>
      </w:r>
      <w:r w:rsidR="001B1452" w:rsidRPr="007F5722">
        <w:rPr>
          <w:rFonts w:ascii="Times New Roman" w:hAnsi="Times New Roman" w:cs="Times New Roman"/>
          <w:sz w:val="28"/>
          <w:szCs w:val="28"/>
        </w:rPr>
        <w:t>ішемічна хвороба серця (ІХС)</w:t>
      </w:r>
      <w:r w:rsidRPr="007F5722">
        <w:rPr>
          <w:rFonts w:ascii="Times New Roman" w:hAnsi="Times New Roman" w:cs="Times New Roman"/>
          <w:sz w:val="28"/>
          <w:szCs w:val="28"/>
        </w:rPr>
        <w:t xml:space="preserve">, інсулінорезистентність (ІР) та асоційованих з </w:t>
      </w:r>
      <w:r w:rsidR="001B1452" w:rsidRPr="007F5722">
        <w:rPr>
          <w:rFonts w:ascii="Times New Roman" w:hAnsi="Times New Roman" w:cs="Times New Roman"/>
          <w:sz w:val="28"/>
          <w:szCs w:val="28"/>
        </w:rPr>
        <w:t>ожирінням</w:t>
      </w:r>
      <w:r w:rsidRPr="007F5722">
        <w:rPr>
          <w:rFonts w:ascii="Times New Roman" w:hAnsi="Times New Roman" w:cs="Times New Roman"/>
          <w:sz w:val="28"/>
          <w:szCs w:val="28"/>
        </w:rPr>
        <w:t xml:space="preserve"> метаболічних порушень. </w:t>
      </w:r>
    </w:p>
    <w:p w:rsidR="00CB5B2F" w:rsidRPr="007F5722" w:rsidRDefault="00CE74C1" w:rsidP="005E105B">
      <w:pPr>
        <w:spacing w:after="0" w:line="360" w:lineRule="auto"/>
        <w:ind w:firstLine="709"/>
        <w:jc w:val="both"/>
        <w:rPr>
          <w:rFonts w:ascii="Times New Roman" w:hAnsi="Times New Roman" w:cs="Times New Roman"/>
          <w:sz w:val="28"/>
          <w:szCs w:val="28"/>
        </w:rPr>
      </w:pPr>
      <w:r w:rsidRPr="007F5722">
        <w:rPr>
          <w:rFonts w:ascii="Times New Roman" w:hAnsi="Times New Roman" w:cs="Times New Roman"/>
          <w:sz w:val="28"/>
          <w:szCs w:val="28"/>
          <w:lang w:eastAsia="uk-UA"/>
        </w:rPr>
        <w:t>Ожиріння</w:t>
      </w:r>
      <w:r w:rsidR="005E105B" w:rsidRPr="007F5722">
        <w:rPr>
          <w:rFonts w:ascii="Times New Roman" w:hAnsi="Times New Roman" w:cs="Times New Roman"/>
          <w:sz w:val="28"/>
          <w:szCs w:val="28"/>
          <w:lang w:eastAsia="uk-UA"/>
        </w:rPr>
        <w:t xml:space="preserve"> - </w:t>
      </w:r>
      <w:r w:rsidRPr="007F5722">
        <w:rPr>
          <w:rFonts w:ascii="Times New Roman" w:hAnsi="Times New Roman" w:cs="Times New Roman"/>
          <w:sz w:val="28"/>
          <w:szCs w:val="28"/>
          <w:lang w:eastAsia="uk-UA"/>
        </w:rPr>
        <w:t>поліетіологічне хронічне захворювання, що характеризується порушенням ліпідного обміну і супроводжується надлишковим накопиченням жирової тканини в жирових депо і появою її там, де в нормі вона не зустрічається</w:t>
      </w:r>
      <w:r w:rsidR="000C106E" w:rsidRPr="007F5722">
        <w:rPr>
          <w:rFonts w:ascii="Times New Roman" w:hAnsi="Times New Roman" w:cs="Times New Roman"/>
          <w:sz w:val="28"/>
          <w:szCs w:val="28"/>
          <w:lang w:eastAsia="uk-UA"/>
        </w:rPr>
        <w:t xml:space="preserve"> [16]</w:t>
      </w:r>
      <w:r w:rsidRPr="007F5722">
        <w:rPr>
          <w:rFonts w:ascii="Times New Roman" w:hAnsi="Times New Roman" w:cs="Times New Roman"/>
          <w:sz w:val="28"/>
          <w:szCs w:val="28"/>
          <w:lang w:eastAsia="uk-UA"/>
        </w:rPr>
        <w:t>. Ожиріння обумовлено різними порушеннями витрати енергії в організмі, пов'язаними з ферментними, метаболічними дефектами, порушеннями окислювальних процесів, симпатичної іннервації. За чис</w:t>
      </w:r>
      <w:r w:rsidR="009C2CE6">
        <w:rPr>
          <w:rFonts w:ascii="Times New Roman" w:hAnsi="Times New Roman" w:cs="Times New Roman"/>
          <w:sz w:val="28"/>
          <w:szCs w:val="28"/>
          <w:lang w:eastAsia="uk-UA"/>
        </w:rPr>
        <w:t>ель</w:t>
      </w:r>
      <w:r w:rsidRPr="007F5722">
        <w:rPr>
          <w:rFonts w:ascii="Times New Roman" w:hAnsi="Times New Roman" w:cs="Times New Roman"/>
          <w:sz w:val="28"/>
          <w:szCs w:val="28"/>
          <w:lang w:eastAsia="uk-UA"/>
        </w:rPr>
        <w:t>ними даними літератури і клінічних спостережень пошкодження серцево-судинної системи у хворих з ожирінням є превалюючим [</w:t>
      </w:r>
      <w:r w:rsidR="00927F8C" w:rsidRPr="007F5722">
        <w:rPr>
          <w:rFonts w:ascii="Times New Roman" w:hAnsi="Times New Roman" w:cs="Times New Roman"/>
          <w:sz w:val="28"/>
          <w:szCs w:val="28"/>
          <w:lang w:eastAsia="uk-UA"/>
        </w:rPr>
        <w:t>17</w:t>
      </w:r>
      <w:r w:rsidRPr="007F5722">
        <w:rPr>
          <w:rFonts w:ascii="Times New Roman" w:hAnsi="Times New Roman" w:cs="Times New Roman"/>
          <w:sz w:val="28"/>
          <w:szCs w:val="28"/>
          <w:lang w:eastAsia="uk-UA"/>
        </w:rPr>
        <w:t>].</w:t>
      </w:r>
      <w:r w:rsidR="005E105B" w:rsidRPr="007F5722">
        <w:rPr>
          <w:rFonts w:ascii="Times New Roman" w:hAnsi="Times New Roman" w:cs="Times New Roman"/>
          <w:sz w:val="28"/>
          <w:szCs w:val="28"/>
          <w:lang w:eastAsia="uk-UA"/>
        </w:rPr>
        <w:t xml:space="preserve"> </w:t>
      </w:r>
      <w:r w:rsidR="00CB5B2F" w:rsidRPr="007F5722">
        <w:rPr>
          <w:rFonts w:ascii="Times New Roman" w:hAnsi="Times New Roman" w:cs="Times New Roman"/>
          <w:sz w:val="28"/>
          <w:szCs w:val="28"/>
        </w:rPr>
        <w:t>Дані наукових дослідження останн</w:t>
      </w:r>
      <w:r w:rsidR="009C2CE6">
        <w:rPr>
          <w:rFonts w:ascii="Times New Roman" w:hAnsi="Times New Roman" w:cs="Times New Roman"/>
          <w:sz w:val="28"/>
          <w:szCs w:val="28"/>
        </w:rPr>
        <w:t xml:space="preserve">іх десятиліть підкреслюють, що </w:t>
      </w:r>
      <w:r w:rsidR="00CB5B2F" w:rsidRPr="007F5722">
        <w:rPr>
          <w:rFonts w:ascii="Times New Roman" w:hAnsi="Times New Roman" w:cs="Times New Roman"/>
          <w:sz w:val="28"/>
          <w:szCs w:val="28"/>
        </w:rPr>
        <w:t xml:space="preserve">важливе значення має не тільки і не стільки загальна кількість жирової тканини, скільки особливості її розподілу. </w:t>
      </w:r>
      <w:r w:rsidR="00A94249" w:rsidRPr="007F5722">
        <w:rPr>
          <w:rFonts w:ascii="Times New Roman" w:hAnsi="Times New Roman" w:cs="Times New Roman"/>
          <w:sz w:val="28"/>
          <w:szCs w:val="28"/>
        </w:rPr>
        <w:t xml:space="preserve">Основна тригерна роль відводиться абдомінальному типу розподілу жирової тканини. Доведено, що у </w:t>
      </w:r>
      <w:r w:rsidR="005E105B" w:rsidRPr="007F5722">
        <w:rPr>
          <w:rFonts w:ascii="Times New Roman" w:hAnsi="Times New Roman" w:cs="Times New Roman"/>
          <w:sz w:val="28"/>
          <w:szCs w:val="28"/>
        </w:rPr>
        <w:t>пацієнтів</w:t>
      </w:r>
      <w:r w:rsidR="00A94249" w:rsidRPr="007F5722">
        <w:rPr>
          <w:rFonts w:ascii="Times New Roman" w:hAnsi="Times New Roman" w:cs="Times New Roman"/>
          <w:sz w:val="28"/>
          <w:szCs w:val="28"/>
        </w:rPr>
        <w:t xml:space="preserve"> незалежно від ступеня ожиріння </w:t>
      </w:r>
      <w:r w:rsidR="005E105B" w:rsidRPr="007F5722">
        <w:rPr>
          <w:rFonts w:ascii="Times New Roman" w:hAnsi="Times New Roman" w:cs="Times New Roman"/>
          <w:sz w:val="28"/>
          <w:szCs w:val="28"/>
        </w:rPr>
        <w:t>менший</w:t>
      </w:r>
      <w:r w:rsidR="00A94249" w:rsidRPr="007F5722">
        <w:rPr>
          <w:rFonts w:ascii="Times New Roman" w:hAnsi="Times New Roman" w:cs="Times New Roman"/>
          <w:sz w:val="28"/>
          <w:szCs w:val="28"/>
        </w:rPr>
        <w:t xml:space="preserve"> кардоваскулярний </w:t>
      </w:r>
      <w:r w:rsidR="00A94249" w:rsidRPr="007F5722">
        <w:rPr>
          <w:rFonts w:ascii="Times New Roman" w:hAnsi="Times New Roman" w:cs="Times New Roman"/>
          <w:sz w:val="28"/>
          <w:szCs w:val="28"/>
        </w:rPr>
        <w:lastRenderedPageBreak/>
        <w:t>ризик при гіноїдному ожирінні (жіночий, стегнево-сідничий тип) та максимальний ризик при андроїдному (чоловічий, центральний, абдомінальний тип)</w:t>
      </w:r>
      <w:r w:rsidR="005E105B" w:rsidRPr="007F5722">
        <w:rPr>
          <w:rFonts w:ascii="Times New Roman" w:hAnsi="Times New Roman" w:cs="Times New Roman"/>
          <w:sz w:val="28"/>
          <w:szCs w:val="28"/>
        </w:rPr>
        <w:t>.</w:t>
      </w:r>
    </w:p>
    <w:p w:rsidR="00CE74C1" w:rsidRPr="007F5722" w:rsidRDefault="00CE74C1" w:rsidP="00927F8C">
      <w:pPr>
        <w:spacing w:after="0" w:line="360" w:lineRule="auto"/>
        <w:ind w:firstLine="709"/>
        <w:jc w:val="both"/>
        <w:rPr>
          <w:rFonts w:ascii="Times New Roman" w:hAnsi="Times New Roman" w:cs="Times New Roman"/>
          <w:sz w:val="28"/>
          <w:szCs w:val="28"/>
          <w:lang w:eastAsia="uk-UA"/>
        </w:rPr>
      </w:pPr>
      <w:r w:rsidRPr="007F5722">
        <w:rPr>
          <w:rFonts w:ascii="Times New Roman" w:hAnsi="Times New Roman" w:cs="Times New Roman"/>
          <w:sz w:val="28"/>
          <w:szCs w:val="28"/>
          <w:lang w:eastAsia="uk-UA"/>
        </w:rPr>
        <w:t>У 1998 р</w:t>
      </w:r>
      <w:r w:rsidR="00A94249" w:rsidRPr="007F5722">
        <w:rPr>
          <w:rFonts w:ascii="Times New Roman" w:hAnsi="Times New Roman" w:cs="Times New Roman"/>
          <w:sz w:val="28"/>
          <w:szCs w:val="28"/>
          <w:lang w:eastAsia="uk-UA"/>
        </w:rPr>
        <w:t>оці</w:t>
      </w:r>
      <w:r w:rsidRPr="007F5722">
        <w:rPr>
          <w:rFonts w:ascii="Times New Roman" w:hAnsi="Times New Roman" w:cs="Times New Roman"/>
          <w:sz w:val="28"/>
          <w:szCs w:val="28"/>
          <w:lang w:eastAsia="uk-UA"/>
        </w:rPr>
        <w:t xml:space="preserve"> Американська асоціації серця підтвердила, що </w:t>
      </w:r>
      <w:r w:rsidR="00A94249" w:rsidRPr="007F5722">
        <w:rPr>
          <w:rFonts w:ascii="Times New Roman" w:hAnsi="Times New Roman" w:cs="Times New Roman"/>
          <w:sz w:val="28"/>
          <w:szCs w:val="28"/>
          <w:lang w:eastAsia="uk-UA"/>
        </w:rPr>
        <w:t xml:space="preserve">абдомінальне </w:t>
      </w:r>
      <w:r w:rsidRPr="007F5722">
        <w:rPr>
          <w:rFonts w:ascii="Times New Roman" w:hAnsi="Times New Roman" w:cs="Times New Roman"/>
          <w:sz w:val="28"/>
          <w:szCs w:val="28"/>
          <w:lang w:eastAsia="uk-UA"/>
        </w:rPr>
        <w:t>ожиріння (</w:t>
      </w:r>
      <w:r w:rsidR="00A94249" w:rsidRPr="007F5722">
        <w:rPr>
          <w:rFonts w:ascii="Times New Roman" w:hAnsi="Times New Roman" w:cs="Times New Roman"/>
          <w:sz w:val="28"/>
          <w:szCs w:val="28"/>
          <w:lang w:eastAsia="uk-UA"/>
        </w:rPr>
        <w:t>АО</w:t>
      </w:r>
      <w:r w:rsidRPr="007F5722">
        <w:rPr>
          <w:rFonts w:ascii="Times New Roman" w:hAnsi="Times New Roman" w:cs="Times New Roman"/>
          <w:sz w:val="28"/>
          <w:szCs w:val="28"/>
          <w:lang w:eastAsia="uk-UA"/>
        </w:rPr>
        <w:t xml:space="preserve">) - незалежний модифифікований фактор ризику розвитку ІХС. Так, </w:t>
      </w:r>
      <w:r w:rsidR="001B1452" w:rsidRPr="007F5722">
        <w:rPr>
          <w:rFonts w:ascii="Times New Roman" w:hAnsi="Times New Roman" w:cs="Times New Roman"/>
          <w:sz w:val="28"/>
          <w:szCs w:val="28"/>
          <w:lang w:eastAsia="uk-UA"/>
        </w:rPr>
        <w:t xml:space="preserve">в дослідження Nurses Health Study </w:t>
      </w:r>
      <w:r w:rsidRPr="007F5722">
        <w:rPr>
          <w:rFonts w:ascii="Times New Roman" w:hAnsi="Times New Roman" w:cs="Times New Roman"/>
          <w:sz w:val="28"/>
          <w:szCs w:val="28"/>
          <w:lang w:eastAsia="uk-UA"/>
        </w:rPr>
        <w:t>ризик розвитку ІХС збільшувався в 2 рази при наявності надлишкової маси тіла і в 3 рази - при ожирінні.</w:t>
      </w:r>
      <w:r w:rsidR="00927F8C" w:rsidRPr="007F5722">
        <w:rPr>
          <w:rFonts w:ascii="Times New Roman" w:hAnsi="Times New Roman" w:cs="Times New Roman"/>
          <w:sz w:val="28"/>
          <w:szCs w:val="28"/>
          <w:lang w:eastAsia="uk-UA"/>
        </w:rPr>
        <w:t xml:space="preserve"> </w:t>
      </w:r>
      <w:r w:rsidRPr="007F5722">
        <w:rPr>
          <w:rFonts w:ascii="Times New Roman" w:hAnsi="Times New Roman" w:cs="Times New Roman"/>
          <w:sz w:val="28"/>
          <w:szCs w:val="28"/>
          <w:lang w:eastAsia="uk-UA"/>
        </w:rPr>
        <w:t>Показано, що ризик розви</w:t>
      </w:r>
      <w:r w:rsidR="00927F8C" w:rsidRPr="007F5722">
        <w:rPr>
          <w:rFonts w:ascii="Times New Roman" w:hAnsi="Times New Roman" w:cs="Times New Roman"/>
          <w:sz w:val="28"/>
          <w:szCs w:val="28"/>
          <w:lang w:eastAsia="uk-UA"/>
        </w:rPr>
        <w:t>тку ССЗ</w:t>
      </w:r>
      <w:r w:rsidRPr="007F5722">
        <w:rPr>
          <w:rFonts w:ascii="Times New Roman" w:hAnsi="Times New Roman" w:cs="Times New Roman"/>
          <w:sz w:val="28"/>
          <w:szCs w:val="28"/>
          <w:lang w:eastAsia="uk-UA"/>
        </w:rPr>
        <w:t xml:space="preserve"> залежить не тільки від наявності та ступеня ожиріння</w:t>
      </w:r>
      <w:r w:rsidR="00927F8C" w:rsidRPr="007F5722">
        <w:rPr>
          <w:rFonts w:ascii="Times New Roman" w:hAnsi="Times New Roman" w:cs="Times New Roman"/>
          <w:sz w:val="28"/>
          <w:szCs w:val="28"/>
          <w:lang w:eastAsia="uk-UA"/>
        </w:rPr>
        <w:t>, а й від характеру розподілу жи</w:t>
      </w:r>
      <w:r w:rsidRPr="007F5722">
        <w:rPr>
          <w:rFonts w:ascii="Times New Roman" w:hAnsi="Times New Roman" w:cs="Times New Roman"/>
          <w:sz w:val="28"/>
          <w:szCs w:val="28"/>
          <w:lang w:eastAsia="uk-UA"/>
        </w:rPr>
        <w:t>рової тканини. Результати патоморфологічного дослідження показали, що виражений коронарний атеросклероз у осіб з товщиною абдомінальної жирової складки</w:t>
      </w:r>
      <w:r w:rsidR="00927F8C" w:rsidRPr="007F5722">
        <w:rPr>
          <w:rFonts w:ascii="Times New Roman" w:hAnsi="Times New Roman" w:cs="Times New Roman"/>
          <w:sz w:val="28"/>
          <w:szCs w:val="28"/>
          <w:lang w:eastAsia="uk-UA"/>
        </w:rPr>
        <w:t xml:space="preserve"> </w:t>
      </w:r>
      <w:r w:rsidRPr="007F5722">
        <w:rPr>
          <w:rFonts w:ascii="Times New Roman" w:hAnsi="Times New Roman" w:cs="Times New Roman"/>
          <w:sz w:val="28"/>
          <w:szCs w:val="28"/>
          <w:lang w:eastAsia="uk-UA"/>
        </w:rPr>
        <w:t>&gt; 3 см зустрічався в 2 рази частіше, ніж у т</w:t>
      </w:r>
      <w:r w:rsidR="00927F8C" w:rsidRPr="007F5722">
        <w:rPr>
          <w:rFonts w:ascii="Times New Roman" w:hAnsi="Times New Roman" w:cs="Times New Roman"/>
          <w:sz w:val="28"/>
          <w:szCs w:val="28"/>
          <w:lang w:eastAsia="uk-UA"/>
        </w:rPr>
        <w:t>их, у кого ця складка була меншою</w:t>
      </w:r>
      <w:r w:rsidRPr="007F5722">
        <w:rPr>
          <w:rFonts w:ascii="Times New Roman" w:hAnsi="Times New Roman" w:cs="Times New Roman"/>
          <w:sz w:val="28"/>
          <w:szCs w:val="28"/>
          <w:lang w:eastAsia="uk-UA"/>
        </w:rPr>
        <w:t xml:space="preserve">. </w:t>
      </w:r>
      <w:r w:rsidR="001B1452" w:rsidRPr="007F5722">
        <w:rPr>
          <w:rFonts w:ascii="Times New Roman" w:hAnsi="Times New Roman" w:cs="Times New Roman"/>
          <w:sz w:val="28"/>
          <w:szCs w:val="28"/>
          <w:lang w:eastAsia="uk-UA"/>
        </w:rPr>
        <w:t>Збільшення</w:t>
      </w:r>
      <w:r w:rsidRPr="007F5722">
        <w:rPr>
          <w:rFonts w:ascii="Times New Roman" w:hAnsi="Times New Roman" w:cs="Times New Roman"/>
          <w:sz w:val="28"/>
          <w:szCs w:val="28"/>
          <w:lang w:eastAsia="uk-UA"/>
        </w:rPr>
        <w:t xml:space="preserve"> маси тіла на 5-8 кг супроводжувалася збільшенням ризику розвитку інфаркту міокарда і смерті від ІХС на 25%, коронарна смертність збільшувалася в </w:t>
      </w:r>
      <w:r w:rsidR="001B1452" w:rsidRPr="007F5722">
        <w:rPr>
          <w:rFonts w:ascii="Times New Roman" w:hAnsi="Times New Roman" w:cs="Times New Roman"/>
          <w:sz w:val="28"/>
          <w:szCs w:val="28"/>
          <w:lang w:eastAsia="uk-UA"/>
        </w:rPr>
        <w:t>2 рази при досягненні ІМТ 27 кг/</w:t>
      </w:r>
      <w:r w:rsidRPr="007F5722">
        <w:rPr>
          <w:rFonts w:ascii="Times New Roman" w:hAnsi="Times New Roman" w:cs="Times New Roman"/>
          <w:sz w:val="28"/>
          <w:szCs w:val="28"/>
          <w:lang w:eastAsia="uk-UA"/>
        </w:rPr>
        <w:t>м</w:t>
      </w:r>
      <w:r w:rsidRPr="007F5722">
        <w:rPr>
          <w:rFonts w:ascii="Times New Roman" w:hAnsi="Times New Roman" w:cs="Times New Roman"/>
          <w:sz w:val="28"/>
          <w:szCs w:val="28"/>
          <w:vertAlign w:val="superscript"/>
          <w:lang w:eastAsia="uk-UA"/>
        </w:rPr>
        <w:t>2</w:t>
      </w:r>
      <w:r w:rsidR="001B1452" w:rsidRPr="007F5722">
        <w:rPr>
          <w:rFonts w:ascii="Times New Roman" w:hAnsi="Times New Roman" w:cs="Times New Roman"/>
          <w:sz w:val="28"/>
          <w:szCs w:val="28"/>
          <w:lang w:eastAsia="uk-UA"/>
        </w:rPr>
        <w:t>, а при ІМТ 30 кг/</w:t>
      </w:r>
      <w:r w:rsidRPr="007F5722">
        <w:rPr>
          <w:rFonts w:ascii="Times New Roman" w:hAnsi="Times New Roman" w:cs="Times New Roman"/>
          <w:sz w:val="28"/>
          <w:szCs w:val="28"/>
          <w:lang w:eastAsia="uk-UA"/>
        </w:rPr>
        <w:t>м</w:t>
      </w:r>
      <w:r w:rsidRPr="007F5722">
        <w:rPr>
          <w:rFonts w:ascii="Times New Roman" w:hAnsi="Times New Roman" w:cs="Times New Roman"/>
          <w:sz w:val="28"/>
          <w:szCs w:val="28"/>
          <w:vertAlign w:val="superscript"/>
          <w:lang w:eastAsia="uk-UA"/>
        </w:rPr>
        <w:t>2</w:t>
      </w:r>
      <w:r w:rsidRPr="007F5722">
        <w:rPr>
          <w:rFonts w:ascii="Times New Roman" w:hAnsi="Times New Roman" w:cs="Times New Roman"/>
          <w:sz w:val="28"/>
          <w:szCs w:val="28"/>
          <w:lang w:eastAsia="uk-UA"/>
        </w:rPr>
        <w:t xml:space="preserve"> - в 4,5 рази. Внесок ожиріння в структуру смертності </w:t>
      </w:r>
      <w:r w:rsidR="001B1452" w:rsidRPr="007F5722">
        <w:rPr>
          <w:rFonts w:ascii="Times New Roman" w:hAnsi="Times New Roman" w:cs="Times New Roman"/>
          <w:sz w:val="28"/>
          <w:szCs w:val="28"/>
          <w:lang w:eastAsia="uk-UA"/>
        </w:rPr>
        <w:t>від ІХС чоловіків становить 14,</w:t>
      </w:r>
      <w:r w:rsidRPr="007F5722">
        <w:rPr>
          <w:rFonts w:ascii="Times New Roman" w:hAnsi="Times New Roman" w:cs="Times New Roman"/>
          <w:sz w:val="28"/>
          <w:szCs w:val="28"/>
          <w:lang w:eastAsia="uk-UA"/>
        </w:rPr>
        <w:t>9%, а жінок - 47,7% [</w:t>
      </w:r>
      <w:r w:rsidR="00927F8C" w:rsidRPr="007F5722">
        <w:rPr>
          <w:rFonts w:ascii="Times New Roman" w:hAnsi="Times New Roman" w:cs="Times New Roman"/>
          <w:sz w:val="28"/>
          <w:szCs w:val="28"/>
          <w:lang w:eastAsia="uk-UA"/>
        </w:rPr>
        <w:t>18, 19</w:t>
      </w:r>
      <w:r w:rsidRPr="007F5722">
        <w:rPr>
          <w:rFonts w:ascii="Times New Roman" w:hAnsi="Times New Roman" w:cs="Times New Roman"/>
          <w:sz w:val="28"/>
          <w:szCs w:val="28"/>
          <w:lang w:eastAsia="uk-UA"/>
        </w:rPr>
        <w:t>].</w:t>
      </w:r>
    </w:p>
    <w:p w:rsidR="00CE74C1" w:rsidRPr="007F5722" w:rsidRDefault="009C2CE6" w:rsidP="00CE74C1">
      <w:pPr>
        <w:spacing w:after="0" w:line="36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Чіткий зв’</w:t>
      </w:r>
      <w:r w:rsidR="00CE74C1" w:rsidRPr="007F5722">
        <w:rPr>
          <w:rFonts w:ascii="Times New Roman" w:hAnsi="Times New Roman" w:cs="Times New Roman"/>
          <w:sz w:val="28"/>
          <w:szCs w:val="28"/>
          <w:lang w:eastAsia="uk-UA"/>
        </w:rPr>
        <w:t>язок між ожирінням і розвитком серцево-судинних ускладнен</w:t>
      </w:r>
      <w:r w:rsidR="00927F8C" w:rsidRPr="007F5722">
        <w:rPr>
          <w:rFonts w:ascii="Times New Roman" w:hAnsi="Times New Roman" w:cs="Times New Roman"/>
          <w:sz w:val="28"/>
          <w:szCs w:val="28"/>
          <w:lang w:eastAsia="uk-UA"/>
        </w:rPr>
        <w:t>ь була встановлен</w:t>
      </w:r>
      <w:r w:rsidR="001B1452" w:rsidRPr="007F5722">
        <w:rPr>
          <w:rFonts w:ascii="Times New Roman" w:hAnsi="Times New Roman" w:cs="Times New Roman"/>
          <w:sz w:val="28"/>
          <w:szCs w:val="28"/>
          <w:lang w:eastAsia="uk-UA"/>
        </w:rPr>
        <w:t>ий в Фремінгемському дослідженні, яке тривало 26 років та до якого було залучено</w:t>
      </w:r>
      <w:r w:rsidR="00CE74C1" w:rsidRPr="007F5722">
        <w:rPr>
          <w:rFonts w:ascii="Times New Roman" w:hAnsi="Times New Roman" w:cs="Times New Roman"/>
          <w:sz w:val="28"/>
          <w:szCs w:val="28"/>
          <w:lang w:eastAsia="uk-UA"/>
        </w:rPr>
        <w:t xml:space="preserve"> 5209 чоловік</w:t>
      </w:r>
      <w:r w:rsidR="001B1452" w:rsidRPr="007F5722">
        <w:rPr>
          <w:rFonts w:ascii="Times New Roman" w:hAnsi="Times New Roman" w:cs="Times New Roman"/>
          <w:sz w:val="28"/>
          <w:szCs w:val="28"/>
          <w:lang w:eastAsia="uk-UA"/>
        </w:rPr>
        <w:t xml:space="preserve"> та</w:t>
      </w:r>
      <w:r w:rsidR="00CB5B2F" w:rsidRPr="007F5722">
        <w:rPr>
          <w:rFonts w:ascii="Times New Roman" w:hAnsi="Times New Roman" w:cs="Times New Roman"/>
          <w:sz w:val="28"/>
          <w:szCs w:val="28"/>
          <w:lang w:eastAsia="uk-UA"/>
        </w:rPr>
        <w:t xml:space="preserve"> </w:t>
      </w:r>
      <w:r w:rsidR="001B1452" w:rsidRPr="007F5722">
        <w:rPr>
          <w:rFonts w:ascii="Times New Roman" w:hAnsi="Times New Roman" w:cs="Times New Roman"/>
          <w:sz w:val="28"/>
          <w:szCs w:val="28"/>
          <w:lang w:eastAsia="uk-UA"/>
        </w:rPr>
        <w:t>жінок</w:t>
      </w:r>
      <w:r w:rsidR="00CE74C1" w:rsidRPr="007F5722">
        <w:rPr>
          <w:rFonts w:ascii="Times New Roman" w:hAnsi="Times New Roman" w:cs="Times New Roman"/>
          <w:sz w:val="28"/>
          <w:szCs w:val="28"/>
          <w:lang w:eastAsia="uk-UA"/>
        </w:rPr>
        <w:t xml:space="preserve">. </w:t>
      </w:r>
      <w:r w:rsidR="00A94249" w:rsidRPr="007F5722">
        <w:rPr>
          <w:rFonts w:ascii="Times New Roman" w:hAnsi="Times New Roman" w:cs="Times New Roman"/>
          <w:sz w:val="28"/>
          <w:szCs w:val="28"/>
          <w:lang w:eastAsia="uk-UA"/>
        </w:rPr>
        <w:t xml:space="preserve">Однією з гілок дослідження було встановлення гендерних </w:t>
      </w:r>
      <w:r w:rsidR="00D67D42" w:rsidRPr="007F5722">
        <w:rPr>
          <w:rFonts w:ascii="Times New Roman" w:hAnsi="Times New Roman" w:cs="Times New Roman"/>
          <w:sz w:val="28"/>
          <w:szCs w:val="28"/>
          <w:lang w:eastAsia="uk-UA"/>
        </w:rPr>
        <w:t>відмінностей</w:t>
      </w:r>
      <w:r w:rsidR="00A94249" w:rsidRPr="007F5722">
        <w:rPr>
          <w:rFonts w:ascii="Times New Roman" w:hAnsi="Times New Roman" w:cs="Times New Roman"/>
          <w:sz w:val="28"/>
          <w:szCs w:val="28"/>
          <w:lang w:eastAsia="uk-UA"/>
        </w:rPr>
        <w:t xml:space="preserve"> у факторах загального кардіоваскулярного ризику</w:t>
      </w:r>
      <w:r w:rsidR="00CB5B2F" w:rsidRPr="007F5722">
        <w:rPr>
          <w:rFonts w:ascii="Times New Roman" w:hAnsi="Times New Roman" w:cs="Times New Roman"/>
          <w:sz w:val="28"/>
          <w:szCs w:val="28"/>
          <w:lang w:eastAsia="uk-UA"/>
        </w:rPr>
        <w:t xml:space="preserve">. </w:t>
      </w:r>
      <w:r w:rsidR="00CE74C1" w:rsidRPr="007F5722">
        <w:rPr>
          <w:rFonts w:ascii="Times New Roman" w:hAnsi="Times New Roman" w:cs="Times New Roman"/>
          <w:sz w:val="28"/>
          <w:szCs w:val="28"/>
          <w:lang w:eastAsia="uk-UA"/>
        </w:rPr>
        <w:t xml:space="preserve">Множинний логістичний аналіз показав, що </w:t>
      </w:r>
      <w:r w:rsidR="00CB5B2F" w:rsidRPr="007F5722">
        <w:rPr>
          <w:rFonts w:ascii="Times New Roman" w:hAnsi="Times New Roman" w:cs="Times New Roman"/>
          <w:sz w:val="28"/>
          <w:szCs w:val="28"/>
          <w:lang w:eastAsia="uk-UA"/>
        </w:rPr>
        <w:t xml:space="preserve">у чоловіків </w:t>
      </w:r>
      <w:r w:rsidR="00F16433" w:rsidRPr="007F5722">
        <w:rPr>
          <w:rFonts w:ascii="Times New Roman" w:hAnsi="Times New Roman" w:cs="Times New Roman"/>
          <w:sz w:val="28"/>
          <w:szCs w:val="28"/>
          <w:lang w:eastAsia="uk-UA"/>
        </w:rPr>
        <w:t>відносна маса тіла (дійсна маса/</w:t>
      </w:r>
      <w:r w:rsidR="00CE74C1" w:rsidRPr="007F5722">
        <w:rPr>
          <w:rFonts w:ascii="Times New Roman" w:hAnsi="Times New Roman" w:cs="Times New Roman"/>
          <w:sz w:val="28"/>
          <w:szCs w:val="28"/>
          <w:lang w:eastAsia="uk-UA"/>
        </w:rPr>
        <w:t xml:space="preserve">ідеальна маса) на початку дослідження грала прогностичну роль у розвитку </w:t>
      </w:r>
      <w:r w:rsidR="00CB5B2F" w:rsidRPr="007F5722">
        <w:rPr>
          <w:rFonts w:ascii="Times New Roman" w:hAnsi="Times New Roman" w:cs="Times New Roman"/>
          <w:sz w:val="28"/>
          <w:szCs w:val="28"/>
          <w:lang w:eastAsia="uk-UA"/>
        </w:rPr>
        <w:t xml:space="preserve">різних клінічних форм </w:t>
      </w:r>
      <w:r w:rsidR="00CE74C1" w:rsidRPr="007F5722">
        <w:rPr>
          <w:rFonts w:ascii="Times New Roman" w:hAnsi="Times New Roman" w:cs="Times New Roman"/>
          <w:sz w:val="28"/>
          <w:szCs w:val="28"/>
          <w:lang w:eastAsia="uk-UA"/>
        </w:rPr>
        <w:t>ІХС (стенокардії, нестабільної стенокардії, інфаркту міокарда, раптової смерті), серцевої сме</w:t>
      </w:r>
      <w:r w:rsidR="00CB5B2F" w:rsidRPr="007F5722">
        <w:rPr>
          <w:rFonts w:ascii="Times New Roman" w:hAnsi="Times New Roman" w:cs="Times New Roman"/>
          <w:sz w:val="28"/>
          <w:szCs w:val="28"/>
          <w:lang w:eastAsia="uk-UA"/>
        </w:rPr>
        <w:t>ртності, серцевої недостатності, а в</w:t>
      </w:r>
      <w:r w:rsidR="00CE74C1" w:rsidRPr="007F5722">
        <w:rPr>
          <w:rFonts w:ascii="Times New Roman" w:hAnsi="Times New Roman" w:cs="Times New Roman"/>
          <w:sz w:val="28"/>
          <w:szCs w:val="28"/>
          <w:lang w:eastAsia="uk-UA"/>
        </w:rPr>
        <w:t>плив ожиріння на прогноз не залежа</w:t>
      </w:r>
      <w:r w:rsidR="00CB5B2F" w:rsidRPr="007F5722">
        <w:rPr>
          <w:rFonts w:ascii="Times New Roman" w:hAnsi="Times New Roman" w:cs="Times New Roman"/>
          <w:sz w:val="28"/>
          <w:szCs w:val="28"/>
          <w:lang w:eastAsia="uk-UA"/>
        </w:rPr>
        <w:t>в</w:t>
      </w:r>
      <w:r w:rsidR="00CE74C1" w:rsidRPr="007F5722">
        <w:rPr>
          <w:rFonts w:ascii="Times New Roman" w:hAnsi="Times New Roman" w:cs="Times New Roman"/>
          <w:sz w:val="28"/>
          <w:szCs w:val="28"/>
          <w:lang w:eastAsia="uk-UA"/>
        </w:rPr>
        <w:t xml:space="preserve"> від віку, рівня </w:t>
      </w:r>
      <w:r w:rsidR="00CB5B2F" w:rsidRPr="007F5722">
        <w:rPr>
          <w:rFonts w:ascii="Times New Roman" w:hAnsi="Times New Roman" w:cs="Times New Roman"/>
          <w:sz w:val="28"/>
          <w:szCs w:val="28"/>
          <w:lang w:eastAsia="uk-UA"/>
        </w:rPr>
        <w:t>систолічного артеріального тиску (САТ)</w:t>
      </w:r>
      <w:r w:rsidR="00CE74C1" w:rsidRPr="007F5722">
        <w:rPr>
          <w:rFonts w:ascii="Times New Roman" w:hAnsi="Times New Roman" w:cs="Times New Roman"/>
          <w:sz w:val="28"/>
          <w:szCs w:val="28"/>
          <w:lang w:eastAsia="uk-UA"/>
        </w:rPr>
        <w:t xml:space="preserve">, холестерину, кількості сигарет, </w:t>
      </w:r>
      <w:r w:rsidR="00927F8C" w:rsidRPr="007F5722">
        <w:rPr>
          <w:rFonts w:ascii="Times New Roman" w:hAnsi="Times New Roman" w:cs="Times New Roman"/>
          <w:sz w:val="28"/>
          <w:szCs w:val="28"/>
          <w:lang w:eastAsia="uk-UA"/>
        </w:rPr>
        <w:t>випалених впродовж дня</w:t>
      </w:r>
      <w:r w:rsidR="00CE74C1" w:rsidRPr="007F5722">
        <w:rPr>
          <w:rFonts w:ascii="Times New Roman" w:hAnsi="Times New Roman" w:cs="Times New Roman"/>
          <w:sz w:val="28"/>
          <w:szCs w:val="28"/>
          <w:lang w:eastAsia="uk-UA"/>
        </w:rPr>
        <w:t>, ступеня гіпертрофії міокарда та наявності порушень толерантності до глюкози [</w:t>
      </w:r>
      <w:r w:rsidR="00927F8C" w:rsidRPr="007F5722">
        <w:rPr>
          <w:rFonts w:ascii="Times New Roman" w:hAnsi="Times New Roman" w:cs="Times New Roman"/>
          <w:sz w:val="28"/>
          <w:szCs w:val="28"/>
          <w:lang w:eastAsia="uk-UA"/>
        </w:rPr>
        <w:t>20</w:t>
      </w:r>
      <w:r w:rsidR="00CE74C1" w:rsidRPr="007F5722">
        <w:rPr>
          <w:rFonts w:ascii="Times New Roman" w:hAnsi="Times New Roman" w:cs="Times New Roman"/>
          <w:sz w:val="28"/>
          <w:szCs w:val="28"/>
          <w:lang w:eastAsia="uk-UA"/>
        </w:rPr>
        <w:t xml:space="preserve">]. У жінок значення відносної маси </w:t>
      </w:r>
      <w:r w:rsidR="00927F8C" w:rsidRPr="007F5722">
        <w:rPr>
          <w:rFonts w:ascii="Times New Roman" w:hAnsi="Times New Roman" w:cs="Times New Roman"/>
          <w:sz w:val="28"/>
          <w:szCs w:val="28"/>
          <w:lang w:eastAsia="uk-UA"/>
        </w:rPr>
        <w:t>тіла мало статистично достовірний</w:t>
      </w:r>
      <w:r>
        <w:rPr>
          <w:rFonts w:ascii="Times New Roman" w:hAnsi="Times New Roman" w:cs="Times New Roman"/>
          <w:sz w:val="28"/>
          <w:szCs w:val="28"/>
          <w:lang w:eastAsia="uk-UA"/>
        </w:rPr>
        <w:t xml:space="preserve"> зв’</w:t>
      </w:r>
      <w:r w:rsidR="00CE74C1" w:rsidRPr="007F5722">
        <w:rPr>
          <w:rFonts w:ascii="Times New Roman" w:hAnsi="Times New Roman" w:cs="Times New Roman"/>
          <w:sz w:val="28"/>
          <w:szCs w:val="28"/>
          <w:lang w:eastAsia="uk-UA"/>
        </w:rPr>
        <w:t xml:space="preserve">язок з розвитком інфаркту міокарда, мозкового інсульту, серцевої недостатності, а </w:t>
      </w:r>
      <w:r w:rsidR="00CE74C1" w:rsidRPr="007F5722">
        <w:rPr>
          <w:rFonts w:ascii="Times New Roman" w:hAnsi="Times New Roman" w:cs="Times New Roman"/>
          <w:sz w:val="28"/>
          <w:szCs w:val="28"/>
          <w:lang w:eastAsia="uk-UA"/>
        </w:rPr>
        <w:lastRenderedPageBreak/>
        <w:t xml:space="preserve">також з рівнем серцево-судинної смертності. </w:t>
      </w:r>
      <w:r w:rsidR="00D67D42" w:rsidRPr="007F5722">
        <w:rPr>
          <w:rFonts w:ascii="Times New Roman" w:hAnsi="Times New Roman" w:cs="Times New Roman"/>
          <w:sz w:val="28"/>
          <w:szCs w:val="28"/>
          <w:lang w:eastAsia="uk-UA"/>
        </w:rPr>
        <w:t>Стосовно вікових особливостей, встановлено, що у осіб молодше 50 років ожиріння</w:t>
      </w:r>
      <w:r w:rsidR="00CE74C1" w:rsidRPr="007F5722">
        <w:rPr>
          <w:rFonts w:ascii="Times New Roman" w:hAnsi="Times New Roman" w:cs="Times New Roman"/>
          <w:sz w:val="28"/>
          <w:szCs w:val="28"/>
          <w:lang w:eastAsia="uk-UA"/>
        </w:rPr>
        <w:t xml:space="preserve"> мало довгострокове прогностичн</w:t>
      </w:r>
      <w:r w:rsidR="00221E4C">
        <w:rPr>
          <w:rFonts w:ascii="Times New Roman" w:hAnsi="Times New Roman" w:cs="Times New Roman"/>
          <w:sz w:val="28"/>
          <w:szCs w:val="28"/>
          <w:lang w:eastAsia="uk-UA"/>
        </w:rPr>
        <w:t>е значення щодо серцево-судинних</w:t>
      </w:r>
      <w:r w:rsidR="00CE74C1" w:rsidRPr="007F5722">
        <w:rPr>
          <w:rFonts w:ascii="Times New Roman" w:hAnsi="Times New Roman" w:cs="Times New Roman"/>
          <w:sz w:val="28"/>
          <w:szCs w:val="28"/>
          <w:lang w:eastAsia="uk-UA"/>
        </w:rPr>
        <w:t xml:space="preserve"> </w:t>
      </w:r>
      <w:r w:rsidR="00D67D42" w:rsidRPr="007F5722">
        <w:rPr>
          <w:rFonts w:ascii="Times New Roman" w:hAnsi="Times New Roman" w:cs="Times New Roman"/>
          <w:sz w:val="28"/>
          <w:szCs w:val="28"/>
          <w:lang w:eastAsia="uk-UA"/>
        </w:rPr>
        <w:t>захворювань (ССЗ), а п</w:t>
      </w:r>
      <w:r w:rsidR="00CE74C1" w:rsidRPr="007F5722">
        <w:rPr>
          <w:rFonts w:ascii="Times New Roman" w:hAnsi="Times New Roman" w:cs="Times New Roman"/>
          <w:sz w:val="28"/>
          <w:szCs w:val="28"/>
          <w:lang w:eastAsia="uk-UA"/>
        </w:rPr>
        <w:t>одальше збільшення маси тіла з віком підвищу</w:t>
      </w:r>
      <w:r w:rsidR="00D67D42" w:rsidRPr="007F5722">
        <w:rPr>
          <w:rFonts w:ascii="Times New Roman" w:hAnsi="Times New Roman" w:cs="Times New Roman"/>
          <w:sz w:val="28"/>
          <w:szCs w:val="28"/>
          <w:lang w:eastAsia="uk-UA"/>
        </w:rPr>
        <w:t>вало</w:t>
      </w:r>
      <w:r w:rsidR="00CE74C1" w:rsidRPr="007F5722">
        <w:rPr>
          <w:rFonts w:ascii="Times New Roman" w:hAnsi="Times New Roman" w:cs="Times New Roman"/>
          <w:sz w:val="28"/>
          <w:szCs w:val="28"/>
          <w:lang w:eastAsia="uk-UA"/>
        </w:rPr>
        <w:t xml:space="preserve"> ступінь ризику виникне</w:t>
      </w:r>
      <w:r w:rsidR="00927F8C" w:rsidRPr="007F5722">
        <w:rPr>
          <w:rFonts w:ascii="Times New Roman" w:hAnsi="Times New Roman" w:cs="Times New Roman"/>
          <w:sz w:val="28"/>
          <w:szCs w:val="28"/>
          <w:lang w:eastAsia="uk-UA"/>
        </w:rPr>
        <w:t>ння ССЗ</w:t>
      </w:r>
      <w:r w:rsidR="00CE74C1" w:rsidRPr="007F5722">
        <w:rPr>
          <w:rFonts w:ascii="Times New Roman" w:hAnsi="Times New Roman" w:cs="Times New Roman"/>
          <w:sz w:val="28"/>
          <w:szCs w:val="28"/>
          <w:lang w:eastAsia="uk-UA"/>
        </w:rPr>
        <w:t xml:space="preserve"> як у чоловіків, так і у жінок, незалежно від початкової маси тіла або наявності інших факторів ризику, пов'язаних зі збільшенням маси тіла [</w:t>
      </w:r>
      <w:r w:rsidR="00927F8C" w:rsidRPr="007F5722">
        <w:rPr>
          <w:rFonts w:ascii="Times New Roman" w:hAnsi="Times New Roman" w:cs="Times New Roman"/>
          <w:sz w:val="28"/>
          <w:szCs w:val="28"/>
          <w:lang w:eastAsia="uk-UA"/>
        </w:rPr>
        <w:t>21</w:t>
      </w:r>
      <w:r w:rsidR="00CE74C1" w:rsidRPr="007F5722">
        <w:rPr>
          <w:rFonts w:ascii="Times New Roman" w:hAnsi="Times New Roman" w:cs="Times New Roman"/>
          <w:sz w:val="28"/>
          <w:szCs w:val="28"/>
          <w:lang w:eastAsia="uk-UA"/>
        </w:rPr>
        <w:t>]</w:t>
      </w:r>
      <w:r w:rsidR="00927F8C" w:rsidRPr="007F5722">
        <w:rPr>
          <w:rFonts w:ascii="Times New Roman" w:hAnsi="Times New Roman" w:cs="Times New Roman"/>
          <w:sz w:val="28"/>
          <w:szCs w:val="28"/>
          <w:lang w:eastAsia="uk-UA"/>
        </w:rPr>
        <w:t>.</w:t>
      </w:r>
    </w:p>
    <w:p w:rsidR="00CE74C1" w:rsidRPr="007F5722" w:rsidRDefault="00CE74C1" w:rsidP="00256EED">
      <w:pPr>
        <w:spacing w:after="0" w:line="360" w:lineRule="auto"/>
        <w:ind w:firstLine="709"/>
        <w:jc w:val="both"/>
        <w:rPr>
          <w:rFonts w:ascii="Times New Roman" w:hAnsi="Times New Roman" w:cs="Times New Roman"/>
          <w:sz w:val="28"/>
          <w:szCs w:val="28"/>
          <w:lang w:eastAsia="uk-UA"/>
        </w:rPr>
      </w:pPr>
      <w:r w:rsidRPr="007F5722">
        <w:rPr>
          <w:rFonts w:ascii="Times New Roman" w:hAnsi="Times New Roman" w:cs="Times New Roman"/>
          <w:sz w:val="28"/>
          <w:szCs w:val="28"/>
          <w:lang w:eastAsia="uk-UA"/>
        </w:rPr>
        <w:t xml:space="preserve">У осіб з </w:t>
      </w:r>
      <w:r w:rsidR="00CB5B2F" w:rsidRPr="007F5722">
        <w:rPr>
          <w:rFonts w:ascii="Times New Roman" w:hAnsi="Times New Roman" w:cs="Times New Roman"/>
          <w:sz w:val="28"/>
          <w:szCs w:val="28"/>
          <w:lang w:eastAsia="uk-UA"/>
        </w:rPr>
        <w:t>індексом маси тіла (ІМТ)&gt; 25 кг/</w:t>
      </w:r>
      <w:r w:rsidRPr="007F5722">
        <w:rPr>
          <w:rFonts w:ascii="Times New Roman" w:hAnsi="Times New Roman" w:cs="Times New Roman"/>
          <w:sz w:val="28"/>
          <w:szCs w:val="28"/>
          <w:lang w:eastAsia="uk-UA"/>
        </w:rPr>
        <w:t>м</w:t>
      </w:r>
      <w:r w:rsidRPr="007F5722">
        <w:rPr>
          <w:rFonts w:ascii="Times New Roman" w:hAnsi="Times New Roman" w:cs="Times New Roman"/>
          <w:sz w:val="28"/>
          <w:szCs w:val="28"/>
          <w:vertAlign w:val="superscript"/>
          <w:lang w:eastAsia="uk-UA"/>
        </w:rPr>
        <w:t>2</w:t>
      </w:r>
      <w:r w:rsidRPr="007F5722">
        <w:rPr>
          <w:rFonts w:ascii="Times New Roman" w:hAnsi="Times New Roman" w:cs="Times New Roman"/>
          <w:sz w:val="28"/>
          <w:szCs w:val="28"/>
          <w:lang w:eastAsia="uk-UA"/>
        </w:rPr>
        <w:t xml:space="preserve"> ризик розвит</w:t>
      </w:r>
      <w:r w:rsidR="00CB5B2F" w:rsidRPr="007F5722">
        <w:rPr>
          <w:rFonts w:ascii="Times New Roman" w:hAnsi="Times New Roman" w:cs="Times New Roman"/>
          <w:sz w:val="28"/>
          <w:szCs w:val="28"/>
          <w:lang w:eastAsia="uk-UA"/>
        </w:rPr>
        <w:t>ку ІХС</w:t>
      </w:r>
      <w:r w:rsidR="00D67D42" w:rsidRPr="007F5722">
        <w:rPr>
          <w:rFonts w:ascii="Times New Roman" w:hAnsi="Times New Roman" w:cs="Times New Roman"/>
          <w:sz w:val="28"/>
          <w:szCs w:val="28"/>
          <w:lang w:eastAsia="uk-UA"/>
        </w:rPr>
        <w:t xml:space="preserve"> збільшувався</w:t>
      </w:r>
      <w:r w:rsidR="00CB5B2F" w:rsidRPr="007F5722">
        <w:rPr>
          <w:rFonts w:ascii="Times New Roman" w:hAnsi="Times New Roman" w:cs="Times New Roman"/>
          <w:sz w:val="28"/>
          <w:szCs w:val="28"/>
          <w:lang w:eastAsia="uk-UA"/>
        </w:rPr>
        <w:t xml:space="preserve"> вдвічі, а при ІМТ&gt; 29 кг/</w:t>
      </w:r>
      <w:r w:rsidRPr="007F5722">
        <w:rPr>
          <w:rFonts w:ascii="Times New Roman" w:hAnsi="Times New Roman" w:cs="Times New Roman"/>
          <w:sz w:val="28"/>
          <w:szCs w:val="28"/>
          <w:lang w:eastAsia="uk-UA"/>
        </w:rPr>
        <w:t>м</w:t>
      </w:r>
      <w:r w:rsidRPr="007F5722">
        <w:rPr>
          <w:rFonts w:ascii="Times New Roman" w:hAnsi="Times New Roman" w:cs="Times New Roman"/>
          <w:sz w:val="28"/>
          <w:szCs w:val="28"/>
          <w:vertAlign w:val="superscript"/>
          <w:lang w:eastAsia="uk-UA"/>
        </w:rPr>
        <w:t>2</w:t>
      </w:r>
      <w:r w:rsidRPr="007F5722">
        <w:rPr>
          <w:rFonts w:ascii="Times New Roman" w:hAnsi="Times New Roman" w:cs="Times New Roman"/>
          <w:sz w:val="28"/>
          <w:szCs w:val="28"/>
          <w:lang w:eastAsia="uk-UA"/>
        </w:rPr>
        <w:t xml:space="preserve"> - вчетверо вище, ніж в осіб з нормальним ІМТ. Показано, що величина ІМТ і відносного ри</w:t>
      </w:r>
      <w:r w:rsidR="009C2CE6">
        <w:rPr>
          <w:rFonts w:ascii="Times New Roman" w:hAnsi="Times New Roman" w:cs="Times New Roman"/>
          <w:sz w:val="28"/>
          <w:szCs w:val="28"/>
          <w:lang w:eastAsia="uk-UA"/>
        </w:rPr>
        <w:t>зику смертності тісно взаємопов’язані. Підвищений ризик, пов’</w:t>
      </w:r>
      <w:r w:rsidRPr="007F5722">
        <w:rPr>
          <w:rFonts w:ascii="Times New Roman" w:hAnsi="Times New Roman" w:cs="Times New Roman"/>
          <w:sz w:val="28"/>
          <w:szCs w:val="28"/>
          <w:lang w:eastAsia="uk-UA"/>
        </w:rPr>
        <w:t>язаний з ожирінням, багато в чому обумовлений високою частотою коронарних і церебральних подій у осіб з ожирінням</w:t>
      </w:r>
      <w:r w:rsidR="00D67D42" w:rsidRPr="007F5722">
        <w:rPr>
          <w:rFonts w:ascii="Times New Roman" w:hAnsi="Times New Roman" w:cs="Times New Roman"/>
          <w:sz w:val="28"/>
          <w:szCs w:val="28"/>
          <w:lang w:eastAsia="uk-UA"/>
        </w:rPr>
        <w:t xml:space="preserve"> </w:t>
      </w:r>
      <w:r w:rsidRPr="007F5722">
        <w:rPr>
          <w:rFonts w:ascii="Times New Roman" w:hAnsi="Times New Roman" w:cs="Times New Roman"/>
          <w:sz w:val="28"/>
          <w:szCs w:val="28"/>
          <w:lang w:eastAsia="uk-UA"/>
        </w:rPr>
        <w:t>[</w:t>
      </w:r>
      <w:r w:rsidR="00927F8C" w:rsidRPr="007F5722">
        <w:rPr>
          <w:rFonts w:ascii="Times New Roman" w:hAnsi="Times New Roman" w:cs="Times New Roman"/>
          <w:sz w:val="28"/>
          <w:szCs w:val="28"/>
          <w:lang w:eastAsia="uk-UA"/>
        </w:rPr>
        <w:t>22</w:t>
      </w:r>
      <w:r w:rsidRPr="007F5722">
        <w:rPr>
          <w:rFonts w:ascii="Times New Roman" w:hAnsi="Times New Roman" w:cs="Times New Roman"/>
          <w:sz w:val="28"/>
          <w:szCs w:val="28"/>
          <w:lang w:eastAsia="uk-UA"/>
        </w:rPr>
        <w:t>]. Високі показники смертності і частоти розвитку серцевих ускладнень є в основному наслідком ураження судин, тому ожиріння є важливим фактором розвитку дисліпідемії (до 30% осіб з ожирінням мають гіперліпідемію), цукрового діабету 2 типу (до 80% хворих на діабет 2 типу мають надлишкову масу тіла або ожиріння), артеріальної гіпертензії</w:t>
      </w:r>
      <w:r w:rsidR="00256EED" w:rsidRPr="007F5722">
        <w:rPr>
          <w:rFonts w:ascii="Times New Roman" w:hAnsi="Times New Roman" w:cs="Times New Roman"/>
          <w:sz w:val="28"/>
          <w:szCs w:val="28"/>
          <w:lang w:eastAsia="uk-UA"/>
        </w:rPr>
        <w:t xml:space="preserve"> (АГ)</w:t>
      </w:r>
      <w:r w:rsidRPr="007F5722">
        <w:rPr>
          <w:rFonts w:ascii="Times New Roman" w:hAnsi="Times New Roman" w:cs="Times New Roman"/>
          <w:sz w:val="28"/>
          <w:szCs w:val="28"/>
          <w:lang w:eastAsia="uk-UA"/>
        </w:rPr>
        <w:t xml:space="preserve"> (приблизно ½ половина осіб з ожирінням одночасно мають </w:t>
      </w:r>
      <w:r w:rsidR="00256EED" w:rsidRPr="007F5722">
        <w:rPr>
          <w:rFonts w:ascii="Times New Roman" w:hAnsi="Times New Roman" w:cs="Times New Roman"/>
          <w:sz w:val="28"/>
          <w:szCs w:val="28"/>
          <w:lang w:eastAsia="uk-UA"/>
        </w:rPr>
        <w:t>АГ)</w:t>
      </w:r>
      <w:r w:rsidRPr="007F5722">
        <w:rPr>
          <w:rFonts w:ascii="Times New Roman" w:hAnsi="Times New Roman" w:cs="Times New Roman"/>
          <w:sz w:val="28"/>
          <w:szCs w:val="28"/>
          <w:lang w:eastAsia="uk-UA"/>
        </w:rPr>
        <w:t xml:space="preserve"> і раптової смерті [</w:t>
      </w:r>
      <w:r w:rsidR="00256EED" w:rsidRPr="007F5722">
        <w:rPr>
          <w:rFonts w:ascii="Times New Roman" w:hAnsi="Times New Roman" w:cs="Times New Roman"/>
          <w:sz w:val="28"/>
          <w:szCs w:val="28"/>
          <w:lang w:eastAsia="uk-UA"/>
        </w:rPr>
        <w:t>23</w:t>
      </w:r>
      <w:r w:rsidRPr="007F5722">
        <w:rPr>
          <w:rFonts w:ascii="Times New Roman" w:hAnsi="Times New Roman" w:cs="Times New Roman"/>
          <w:sz w:val="28"/>
          <w:szCs w:val="28"/>
          <w:lang w:eastAsia="uk-UA"/>
        </w:rPr>
        <w:t>].</w:t>
      </w:r>
    </w:p>
    <w:p w:rsidR="00CE74C1" w:rsidRPr="007F5722" w:rsidRDefault="00CE74C1" w:rsidP="00CE74C1">
      <w:pPr>
        <w:spacing w:after="0" w:line="360" w:lineRule="auto"/>
        <w:ind w:firstLine="709"/>
        <w:jc w:val="both"/>
        <w:rPr>
          <w:rFonts w:ascii="Times New Roman" w:hAnsi="Times New Roman" w:cs="Times New Roman"/>
          <w:color w:val="000000"/>
          <w:sz w:val="28"/>
          <w:szCs w:val="28"/>
          <w:shd w:val="clear" w:color="auto" w:fill="FDFDFD"/>
        </w:rPr>
      </w:pPr>
      <w:r w:rsidRPr="007F5722">
        <w:rPr>
          <w:rFonts w:ascii="Times New Roman" w:hAnsi="Times New Roman" w:cs="Times New Roman"/>
          <w:sz w:val="28"/>
          <w:szCs w:val="28"/>
          <w:lang w:eastAsia="uk-UA"/>
        </w:rPr>
        <w:t>Однією з основних нозологічних одиниць тісно пов</w:t>
      </w:r>
      <w:r w:rsidR="009C2CE6">
        <w:rPr>
          <w:rFonts w:ascii="Times New Roman" w:hAnsi="Times New Roman" w:cs="Times New Roman"/>
          <w:sz w:val="28"/>
          <w:szCs w:val="28"/>
          <w:lang w:eastAsia="uk-UA"/>
        </w:rPr>
        <w:t>’</w:t>
      </w:r>
      <w:r w:rsidRPr="007F5722">
        <w:rPr>
          <w:rFonts w:ascii="Times New Roman" w:hAnsi="Times New Roman" w:cs="Times New Roman"/>
          <w:sz w:val="28"/>
          <w:szCs w:val="28"/>
          <w:lang w:eastAsia="uk-UA"/>
        </w:rPr>
        <w:t>язаних з ожи</w:t>
      </w:r>
      <w:r w:rsidR="00256EED" w:rsidRPr="007F5722">
        <w:rPr>
          <w:rFonts w:ascii="Times New Roman" w:hAnsi="Times New Roman" w:cs="Times New Roman"/>
          <w:sz w:val="28"/>
          <w:szCs w:val="28"/>
          <w:lang w:eastAsia="uk-UA"/>
        </w:rPr>
        <w:t>рінням є АГ</w:t>
      </w:r>
      <w:r w:rsidRPr="007F5722">
        <w:rPr>
          <w:rFonts w:ascii="Times New Roman" w:hAnsi="Times New Roman" w:cs="Times New Roman"/>
          <w:sz w:val="28"/>
          <w:szCs w:val="28"/>
          <w:lang w:eastAsia="uk-UA"/>
        </w:rPr>
        <w:t xml:space="preserve">, широко поширена як у всьому світі, так і в Україні. </w:t>
      </w:r>
      <w:r w:rsidRPr="007F5722">
        <w:rPr>
          <w:rFonts w:ascii="Times New Roman" w:hAnsi="Times New Roman" w:cs="Times New Roman"/>
          <w:color w:val="000000"/>
          <w:sz w:val="28"/>
          <w:szCs w:val="28"/>
          <w:shd w:val="clear" w:color="auto" w:fill="FDFDFD"/>
        </w:rPr>
        <w:t>В Україні понад 12 млн</w:t>
      </w:r>
      <w:r w:rsidR="00D67D42" w:rsidRPr="007F5722">
        <w:rPr>
          <w:rFonts w:ascii="Times New Roman" w:hAnsi="Times New Roman" w:cs="Times New Roman"/>
          <w:color w:val="000000"/>
          <w:sz w:val="28"/>
          <w:szCs w:val="28"/>
          <w:shd w:val="clear" w:color="auto" w:fill="FDFDFD"/>
        </w:rPr>
        <w:t>.</w:t>
      </w:r>
      <w:r w:rsidRPr="007F5722">
        <w:rPr>
          <w:rFonts w:ascii="Times New Roman" w:hAnsi="Times New Roman" w:cs="Times New Roman"/>
          <w:color w:val="000000"/>
          <w:sz w:val="28"/>
          <w:szCs w:val="28"/>
          <w:shd w:val="clear" w:color="auto" w:fill="FDFDFD"/>
        </w:rPr>
        <w:t xml:space="preserve"> пацієнтів </w:t>
      </w:r>
      <w:r w:rsidR="00D67D42" w:rsidRPr="007F5722">
        <w:rPr>
          <w:rFonts w:ascii="Times New Roman" w:hAnsi="Times New Roman" w:cs="Times New Roman"/>
          <w:color w:val="000000"/>
          <w:sz w:val="28"/>
          <w:szCs w:val="28"/>
          <w:shd w:val="clear" w:color="auto" w:fill="FDFDFD"/>
        </w:rPr>
        <w:t>з ГХ</w:t>
      </w:r>
      <w:r w:rsidRPr="007F5722">
        <w:rPr>
          <w:rFonts w:ascii="Times New Roman" w:hAnsi="Times New Roman" w:cs="Times New Roman"/>
          <w:color w:val="000000"/>
          <w:sz w:val="28"/>
          <w:szCs w:val="28"/>
          <w:shd w:val="clear" w:color="auto" w:fill="FDFDFD"/>
        </w:rPr>
        <w:t>. Найбільший показник поширеності відзначається у віковій категорії 55-64 роки (серед жителів сіл: 80,0% чоловіків, 72,0% жінок; серед жителів міст: 65,9% чоловіків, 76,2% жінок) З</w:t>
      </w:r>
      <w:r w:rsidR="00256EED" w:rsidRPr="007F5722">
        <w:rPr>
          <w:rFonts w:ascii="Times New Roman" w:hAnsi="Times New Roman" w:cs="Times New Roman"/>
          <w:color w:val="000000"/>
          <w:sz w:val="28"/>
          <w:szCs w:val="28"/>
          <w:shd w:val="clear" w:color="auto" w:fill="FDFDFD"/>
        </w:rPr>
        <w:t xml:space="preserve"> </w:t>
      </w:r>
      <w:r w:rsidRPr="007F5722">
        <w:rPr>
          <w:rFonts w:ascii="Times New Roman" w:hAnsi="Times New Roman" w:cs="Times New Roman"/>
          <w:color w:val="000000"/>
          <w:sz w:val="28"/>
          <w:szCs w:val="28"/>
          <w:shd w:val="clear" w:color="auto" w:fill="FDFDFD"/>
        </w:rPr>
        <w:t>усіх пацієнтів обізнані про свою хворобу 63%, отримують лікування 38%, а досягають цільо</w:t>
      </w:r>
      <w:r w:rsidR="00256EED" w:rsidRPr="007F5722">
        <w:rPr>
          <w:rFonts w:ascii="Times New Roman" w:hAnsi="Times New Roman" w:cs="Times New Roman"/>
          <w:color w:val="000000"/>
          <w:sz w:val="28"/>
          <w:szCs w:val="28"/>
          <w:shd w:val="clear" w:color="auto" w:fill="FDFDFD"/>
        </w:rPr>
        <w:t>вого рівня АТ</w:t>
      </w:r>
      <w:r w:rsidRPr="007F5722">
        <w:rPr>
          <w:rFonts w:ascii="Times New Roman" w:hAnsi="Times New Roman" w:cs="Times New Roman"/>
          <w:color w:val="000000"/>
          <w:sz w:val="28"/>
          <w:szCs w:val="28"/>
          <w:shd w:val="clear" w:color="auto" w:fill="FDFDFD"/>
        </w:rPr>
        <w:t xml:space="preserve"> </w:t>
      </w:r>
      <w:r w:rsidR="00256EED" w:rsidRPr="007F5722">
        <w:rPr>
          <w:rFonts w:ascii="Times New Roman" w:hAnsi="Times New Roman" w:cs="Times New Roman"/>
          <w:color w:val="000000"/>
          <w:sz w:val="28"/>
          <w:szCs w:val="28"/>
          <w:shd w:val="clear" w:color="auto" w:fill="FDFDFD"/>
        </w:rPr>
        <w:t>тільки 14% [2</w:t>
      </w:r>
      <w:r w:rsidR="00695880" w:rsidRPr="007F5722">
        <w:rPr>
          <w:rFonts w:ascii="Times New Roman" w:hAnsi="Times New Roman" w:cs="Times New Roman"/>
          <w:color w:val="000000"/>
          <w:sz w:val="28"/>
          <w:szCs w:val="28"/>
          <w:shd w:val="clear" w:color="auto" w:fill="FDFDFD"/>
        </w:rPr>
        <w:t>4</w:t>
      </w:r>
      <w:r w:rsidR="00256EED" w:rsidRPr="007F5722">
        <w:rPr>
          <w:rFonts w:ascii="Times New Roman" w:hAnsi="Times New Roman" w:cs="Times New Roman"/>
          <w:color w:val="000000"/>
          <w:sz w:val="28"/>
          <w:szCs w:val="28"/>
          <w:shd w:val="clear" w:color="auto" w:fill="FDFDFD"/>
        </w:rPr>
        <w:t>]</w:t>
      </w:r>
      <w:r w:rsidRPr="007F5722">
        <w:rPr>
          <w:rFonts w:ascii="Times New Roman" w:hAnsi="Times New Roman" w:cs="Times New Roman"/>
          <w:color w:val="000000"/>
          <w:sz w:val="28"/>
          <w:szCs w:val="28"/>
          <w:shd w:val="clear" w:color="auto" w:fill="FDFDFD"/>
        </w:rPr>
        <w:t>.</w:t>
      </w:r>
    </w:p>
    <w:p w:rsidR="00CE74C1" w:rsidRPr="007F5722" w:rsidRDefault="00CE74C1" w:rsidP="00CE74C1">
      <w:pPr>
        <w:spacing w:after="0" w:line="360" w:lineRule="auto"/>
        <w:ind w:firstLine="709"/>
        <w:jc w:val="both"/>
        <w:rPr>
          <w:rFonts w:ascii="Times New Roman" w:hAnsi="Times New Roman" w:cs="Times New Roman"/>
          <w:sz w:val="28"/>
          <w:szCs w:val="28"/>
        </w:rPr>
      </w:pPr>
      <w:r w:rsidRPr="007F5722">
        <w:rPr>
          <w:rFonts w:ascii="Times New Roman" w:hAnsi="Times New Roman" w:cs="Times New Roman"/>
          <w:color w:val="000000"/>
          <w:sz w:val="28"/>
          <w:szCs w:val="28"/>
          <w:shd w:val="clear" w:color="auto" w:fill="FFFFFF"/>
        </w:rPr>
        <w:t>Дослідження міжнародної групи вчених показало, що 30% світового насе</w:t>
      </w:r>
      <w:r w:rsidR="00256EED" w:rsidRPr="007F5722">
        <w:rPr>
          <w:rFonts w:ascii="Times New Roman" w:hAnsi="Times New Roman" w:cs="Times New Roman"/>
          <w:color w:val="000000"/>
          <w:sz w:val="28"/>
          <w:szCs w:val="28"/>
          <w:shd w:val="clear" w:color="auto" w:fill="FFFFFF"/>
        </w:rPr>
        <w:t>лення страждає від надлишк</w:t>
      </w:r>
      <w:r w:rsidR="00D67D42" w:rsidRPr="007F5722">
        <w:rPr>
          <w:rFonts w:ascii="Times New Roman" w:hAnsi="Times New Roman" w:cs="Times New Roman"/>
          <w:color w:val="000000"/>
          <w:sz w:val="28"/>
          <w:szCs w:val="28"/>
          <w:shd w:val="clear" w:color="auto" w:fill="FFFFFF"/>
        </w:rPr>
        <w:t>ої</w:t>
      </w:r>
      <w:r w:rsidR="00256EED" w:rsidRPr="007F5722">
        <w:rPr>
          <w:rFonts w:ascii="Times New Roman" w:hAnsi="Times New Roman" w:cs="Times New Roman"/>
          <w:color w:val="000000"/>
          <w:sz w:val="28"/>
          <w:szCs w:val="28"/>
          <w:shd w:val="clear" w:color="auto" w:fill="FFFFFF"/>
        </w:rPr>
        <w:t xml:space="preserve"> маси тіла</w:t>
      </w:r>
      <w:r w:rsidR="00D67D42" w:rsidRPr="007F5722">
        <w:rPr>
          <w:rFonts w:ascii="Times New Roman" w:hAnsi="Times New Roman" w:cs="Times New Roman"/>
          <w:color w:val="000000"/>
          <w:sz w:val="28"/>
          <w:szCs w:val="28"/>
          <w:shd w:val="clear" w:color="auto" w:fill="FFFFFF"/>
        </w:rPr>
        <w:t xml:space="preserve"> (ІМТ 25-30 кг/м</w:t>
      </w:r>
      <w:r w:rsidR="00D67D42" w:rsidRPr="007F5722">
        <w:rPr>
          <w:rFonts w:ascii="Times New Roman" w:hAnsi="Times New Roman" w:cs="Times New Roman"/>
          <w:color w:val="000000"/>
          <w:sz w:val="28"/>
          <w:szCs w:val="28"/>
          <w:shd w:val="clear" w:color="auto" w:fill="FFFFFF"/>
          <w:vertAlign w:val="superscript"/>
        </w:rPr>
        <w:t>2</w:t>
      </w:r>
      <w:r w:rsidR="00D67D42" w:rsidRPr="007F5722">
        <w:rPr>
          <w:rFonts w:ascii="Times New Roman" w:hAnsi="Times New Roman" w:cs="Times New Roman"/>
          <w:color w:val="000000"/>
          <w:sz w:val="28"/>
          <w:szCs w:val="28"/>
          <w:shd w:val="clear" w:color="auto" w:fill="FFFFFF"/>
        </w:rPr>
        <w:t>)</w:t>
      </w:r>
      <w:r w:rsidRPr="007F5722">
        <w:rPr>
          <w:rFonts w:ascii="Times New Roman" w:hAnsi="Times New Roman" w:cs="Times New Roman"/>
          <w:color w:val="000000"/>
          <w:sz w:val="28"/>
          <w:szCs w:val="28"/>
          <w:shd w:val="clear" w:color="auto" w:fill="FFFFFF"/>
        </w:rPr>
        <w:t xml:space="preserve">. З кожним роком кількість людей, які </w:t>
      </w:r>
      <w:r w:rsidR="009C2CE6">
        <w:rPr>
          <w:rFonts w:ascii="Times New Roman" w:hAnsi="Times New Roman" w:cs="Times New Roman"/>
          <w:color w:val="000000"/>
          <w:sz w:val="28"/>
          <w:szCs w:val="28"/>
          <w:shd w:val="clear" w:color="auto" w:fill="FFFFFF"/>
        </w:rPr>
        <w:t>помирають від проблем зі здоров’</w:t>
      </w:r>
      <w:r w:rsidRPr="007F5722">
        <w:rPr>
          <w:rFonts w:ascii="Times New Roman" w:hAnsi="Times New Roman" w:cs="Times New Roman"/>
          <w:color w:val="000000"/>
          <w:sz w:val="28"/>
          <w:szCs w:val="28"/>
          <w:shd w:val="clear" w:color="auto" w:fill="FFFFFF"/>
        </w:rPr>
        <w:t>ям, викликаних ожирінням, збільшується. С</w:t>
      </w:r>
      <w:r w:rsidR="009C2CE6">
        <w:rPr>
          <w:rFonts w:ascii="Times New Roman" w:hAnsi="Times New Roman" w:cs="Times New Roman"/>
          <w:color w:val="000000"/>
          <w:sz w:val="28"/>
          <w:szCs w:val="28"/>
          <w:shd w:val="clear" w:color="auto" w:fill="FFFFFF"/>
        </w:rPr>
        <w:t>еред основних загроз для здоров’</w:t>
      </w:r>
      <w:r w:rsidRPr="007F5722">
        <w:rPr>
          <w:rFonts w:ascii="Times New Roman" w:hAnsi="Times New Roman" w:cs="Times New Roman"/>
          <w:color w:val="000000"/>
          <w:sz w:val="28"/>
          <w:szCs w:val="28"/>
          <w:shd w:val="clear" w:color="auto" w:fill="FFFFFF"/>
        </w:rPr>
        <w:t xml:space="preserve">я </w:t>
      </w:r>
      <w:r w:rsidR="00D67D42" w:rsidRPr="007F5722">
        <w:rPr>
          <w:rFonts w:ascii="Times New Roman" w:hAnsi="Times New Roman" w:cs="Times New Roman"/>
          <w:color w:val="000000"/>
          <w:sz w:val="28"/>
          <w:szCs w:val="28"/>
          <w:shd w:val="clear" w:color="auto" w:fill="FFFFFF"/>
        </w:rPr>
        <w:t>тучних</w:t>
      </w:r>
      <w:r w:rsidRPr="007F5722">
        <w:rPr>
          <w:rFonts w:ascii="Times New Roman" w:hAnsi="Times New Roman" w:cs="Times New Roman"/>
          <w:color w:val="000000"/>
          <w:sz w:val="28"/>
          <w:szCs w:val="28"/>
          <w:shd w:val="clear" w:color="auto" w:fill="FFFFFF"/>
        </w:rPr>
        <w:t xml:space="preserve"> людей – </w:t>
      </w:r>
      <w:r w:rsidR="00256EED" w:rsidRPr="007F5722">
        <w:rPr>
          <w:rFonts w:ascii="Times New Roman" w:hAnsi="Times New Roman" w:cs="Times New Roman"/>
          <w:color w:val="000000"/>
          <w:sz w:val="28"/>
          <w:szCs w:val="28"/>
          <w:shd w:val="clear" w:color="auto" w:fill="FFFFFF"/>
        </w:rPr>
        <w:lastRenderedPageBreak/>
        <w:t>ССЗ, діабет та</w:t>
      </w:r>
      <w:r w:rsidRPr="007F5722">
        <w:rPr>
          <w:rFonts w:ascii="Times New Roman" w:hAnsi="Times New Roman" w:cs="Times New Roman"/>
          <w:color w:val="000000"/>
          <w:sz w:val="28"/>
          <w:szCs w:val="28"/>
          <w:shd w:val="clear" w:color="auto" w:fill="FFFFFF"/>
        </w:rPr>
        <w:t xml:space="preserve"> різні види раку. У новому дослідженні були проаналізовані дані, зібрані в 195 країнах за період з 1980 по 2015 рік. За даними фахівців, у всьому с</w:t>
      </w:r>
      <w:r w:rsidR="00256EED" w:rsidRPr="007F5722">
        <w:rPr>
          <w:rFonts w:ascii="Times New Roman" w:hAnsi="Times New Roman" w:cs="Times New Roman"/>
          <w:color w:val="000000"/>
          <w:sz w:val="28"/>
          <w:szCs w:val="28"/>
          <w:shd w:val="clear" w:color="auto" w:fill="FFFFFF"/>
        </w:rPr>
        <w:t>віті в 2015 році від зайвої маси тіла страждали 2,2 м</w:t>
      </w:r>
      <w:r w:rsidR="00D67D42" w:rsidRPr="007F5722">
        <w:rPr>
          <w:rFonts w:ascii="Times New Roman" w:hAnsi="Times New Roman" w:cs="Times New Roman"/>
          <w:color w:val="000000"/>
          <w:sz w:val="28"/>
          <w:szCs w:val="28"/>
          <w:shd w:val="clear" w:color="auto" w:fill="FFFFFF"/>
        </w:rPr>
        <w:t>лрд. осіб</w:t>
      </w:r>
      <w:r w:rsidRPr="007F5722">
        <w:rPr>
          <w:rFonts w:ascii="Times New Roman" w:hAnsi="Times New Roman" w:cs="Times New Roman"/>
          <w:color w:val="000000"/>
          <w:sz w:val="28"/>
          <w:szCs w:val="28"/>
          <w:shd w:val="clear" w:color="auto" w:fill="FFFFFF"/>
        </w:rPr>
        <w:t>. Ця цифра постійно збільшується, причому темпи зростання дитячого ожиріння на сьогоднішній день набагато вищі, ніж у дорослих.</w:t>
      </w:r>
      <w:r w:rsidRPr="007F5722">
        <w:rPr>
          <w:rFonts w:ascii="Times New Roman" w:hAnsi="Times New Roman" w:cs="Times New Roman"/>
          <w:color w:val="454545"/>
          <w:sz w:val="28"/>
          <w:szCs w:val="28"/>
          <w:shd w:val="clear" w:color="auto" w:fill="FBFBFB"/>
        </w:rPr>
        <w:t xml:space="preserve"> </w:t>
      </w:r>
      <w:r w:rsidRPr="007F5722">
        <w:rPr>
          <w:rFonts w:ascii="Times New Roman" w:hAnsi="Times New Roman" w:cs="Times New Roman"/>
          <w:color w:val="000000"/>
          <w:sz w:val="28"/>
          <w:szCs w:val="28"/>
          <w:shd w:val="clear" w:color="auto" w:fill="FFFFFF"/>
        </w:rPr>
        <w:t>Найвищий рівень ожиріння серед дітей і підлітків спостерігається в США (майже 13%). Якщо говорити про доросле населення, то найбільший відсоток страждаючих ожирінням людей – в Єгипті (35%). </w:t>
      </w:r>
      <w:r w:rsidRPr="007F5722">
        <w:rPr>
          <w:rFonts w:ascii="Times New Roman" w:hAnsi="Times New Roman" w:cs="Times New Roman"/>
          <w:sz w:val="28"/>
          <w:szCs w:val="28"/>
        </w:rPr>
        <w:t xml:space="preserve"> У більшості розвинених країн Європи від ожиріння страждає від 15 до 25 % дорослого населення</w:t>
      </w:r>
      <w:r w:rsidR="00256EED" w:rsidRPr="007F5722">
        <w:rPr>
          <w:rFonts w:ascii="Times New Roman" w:hAnsi="Times New Roman" w:cs="Times New Roman"/>
          <w:sz w:val="28"/>
          <w:szCs w:val="28"/>
        </w:rPr>
        <w:t xml:space="preserve"> [25]</w:t>
      </w:r>
      <w:r w:rsidR="00CB5B2F" w:rsidRPr="007F5722">
        <w:rPr>
          <w:rFonts w:ascii="Times New Roman" w:hAnsi="Times New Roman" w:cs="Times New Roman"/>
          <w:sz w:val="28"/>
          <w:szCs w:val="28"/>
        </w:rPr>
        <w:t>.</w:t>
      </w:r>
    </w:p>
    <w:p w:rsidR="00CE74C1" w:rsidRPr="007F5722" w:rsidRDefault="00CE74C1" w:rsidP="00CE74C1">
      <w:pPr>
        <w:pStyle w:val="ac"/>
        <w:spacing w:before="0" w:beforeAutospacing="0" w:after="0" w:afterAutospacing="0" w:line="360" w:lineRule="auto"/>
        <w:ind w:firstLine="709"/>
        <w:jc w:val="both"/>
        <w:rPr>
          <w:rFonts w:ascii="Times New Roman" w:hAnsi="Times New Roman" w:cs="Times New Roman"/>
          <w:sz w:val="28"/>
          <w:szCs w:val="28"/>
          <w:lang w:eastAsia="uk-UA"/>
        </w:rPr>
      </w:pPr>
      <w:r w:rsidRPr="007F5722">
        <w:rPr>
          <w:rFonts w:ascii="Times New Roman" w:hAnsi="Times New Roman" w:cs="Times New Roman"/>
          <w:sz w:val="28"/>
          <w:szCs w:val="28"/>
          <w:lang w:eastAsia="uk-UA"/>
        </w:rPr>
        <w:t>В популяціях економічно розвинених країн о</w:t>
      </w:r>
      <w:r w:rsidR="00CB5B2F" w:rsidRPr="007F5722">
        <w:rPr>
          <w:rFonts w:ascii="Times New Roman" w:hAnsi="Times New Roman" w:cs="Times New Roman"/>
          <w:sz w:val="28"/>
          <w:szCs w:val="28"/>
          <w:lang w:eastAsia="uk-UA"/>
        </w:rPr>
        <w:t>жиріння набуває розмах пандемії, яка відображає</w:t>
      </w:r>
      <w:r w:rsidR="001A3035" w:rsidRPr="007F5722">
        <w:rPr>
          <w:rFonts w:ascii="Times New Roman" w:hAnsi="Times New Roman" w:cs="Times New Roman"/>
          <w:sz w:val="28"/>
          <w:szCs w:val="28"/>
          <w:lang w:eastAsia="uk-UA"/>
        </w:rPr>
        <w:t xml:space="preserve"> зміни </w:t>
      </w:r>
      <w:r w:rsidRPr="007F5722">
        <w:rPr>
          <w:rFonts w:ascii="Times New Roman" w:hAnsi="Times New Roman" w:cs="Times New Roman"/>
          <w:sz w:val="28"/>
          <w:szCs w:val="28"/>
          <w:lang w:eastAsia="uk-UA"/>
        </w:rPr>
        <w:t>способу життя людей (дієтичні звички, рівень фізичної активності тощо)</w:t>
      </w:r>
      <w:r w:rsidR="00CB5B2F" w:rsidRPr="007F5722">
        <w:rPr>
          <w:rFonts w:ascii="Times New Roman" w:hAnsi="Times New Roman" w:cs="Times New Roman"/>
          <w:sz w:val="28"/>
          <w:szCs w:val="28"/>
          <w:lang w:eastAsia="uk-UA"/>
        </w:rPr>
        <w:t>. І</w:t>
      </w:r>
      <w:r w:rsidRPr="007F5722">
        <w:rPr>
          <w:rFonts w:ascii="Times New Roman" w:hAnsi="Times New Roman" w:cs="Times New Roman"/>
          <w:sz w:val="28"/>
          <w:szCs w:val="28"/>
          <w:lang w:eastAsia="uk-UA"/>
        </w:rPr>
        <w:t xml:space="preserve"> тому реєстрована протягом останніх років епідемія ожиріння вже сама по собі </w:t>
      </w:r>
      <w:r w:rsidRPr="007F5722">
        <w:rPr>
          <w:rFonts w:ascii="Times New Roman" w:hAnsi="Times New Roman" w:cs="Times New Roman"/>
          <w:sz w:val="28"/>
          <w:szCs w:val="28"/>
        </w:rPr>
        <w:t xml:space="preserve">служить </w:t>
      </w:r>
      <w:r w:rsidRPr="007F5722">
        <w:rPr>
          <w:rFonts w:ascii="Times New Roman" w:hAnsi="Times New Roman" w:cs="Times New Roman"/>
          <w:sz w:val="28"/>
          <w:szCs w:val="28"/>
          <w:lang w:eastAsia="uk-UA"/>
        </w:rPr>
        <w:t>достатньою підставою для детального вивчення різних функцій жирової тканини.</w:t>
      </w:r>
    </w:p>
    <w:p w:rsidR="00CE74C1" w:rsidRPr="007F5722" w:rsidRDefault="00CE74C1" w:rsidP="00CE74C1">
      <w:pPr>
        <w:spacing w:after="0" w:line="360" w:lineRule="auto"/>
        <w:ind w:firstLine="709"/>
        <w:jc w:val="both"/>
        <w:rPr>
          <w:rFonts w:ascii="Times New Roman" w:hAnsi="Times New Roman" w:cs="Times New Roman"/>
          <w:sz w:val="28"/>
          <w:szCs w:val="28"/>
          <w:lang w:eastAsia="uk-UA"/>
        </w:rPr>
      </w:pPr>
      <w:r w:rsidRPr="007F5722">
        <w:rPr>
          <w:rFonts w:ascii="Times New Roman" w:hAnsi="Times New Roman" w:cs="Times New Roman"/>
          <w:sz w:val="28"/>
          <w:szCs w:val="28"/>
          <w:lang w:eastAsia="uk-UA"/>
        </w:rPr>
        <w:t>Особливу небезпеку для організму представляє центральний тип ожиріння з відкладанням жиру в ділянці живота (абдомінальний, вісцеральний або андроїдний) в порівнянні з нижнім (стегнової-сідничні або гіноідний) типом. Це пояснюється тим, що вісцеральна жирова тканина характеризується високою</w:t>
      </w:r>
      <w:r w:rsidR="001A3035" w:rsidRPr="007F5722">
        <w:rPr>
          <w:rFonts w:ascii="Times New Roman" w:hAnsi="Times New Roman" w:cs="Times New Roman"/>
          <w:sz w:val="28"/>
          <w:szCs w:val="28"/>
          <w:lang w:eastAsia="uk-UA"/>
        </w:rPr>
        <w:t xml:space="preserve"> </w:t>
      </w:r>
      <w:r w:rsidR="00D67D42" w:rsidRPr="007F5722">
        <w:rPr>
          <w:rFonts w:ascii="Times New Roman" w:hAnsi="Times New Roman" w:cs="Times New Roman"/>
          <w:sz w:val="28"/>
          <w:szCs w:val="28"/>
          <w:lang w:eastAsia="uk-UA"/>
        </w:rPr>
        <w:t>ендокриною активністю</w:t>
      </w:r>
      <w:r w:rsidR="001A3035" w:rsidRPr="007F5722">
        <w:rPr>
          <w:rFonts w:ascii="Times New Roman" w:hAnsi="Times New Roman" w:cs="Times New Roman"/>
          <w:sz w:val="28"/>
          <w:szCs w:val="28"/>
          <w:lang w:eastAsia="uk-UA"/>
        </w:rPr>
        <w:t xml:space="preserve"> і грає</w:t>
      </w:r>
      <w:r w:rsidRPr="007F5722">
        <w:rPr>
          <w:rFonts w:ascii="Times New Roman" w:hAnsi="Times New Roman" w:cs="Times New Roman"/>
          <w:sz w:val="28"/>
          <w:szCs w:val="28"/>
          <w:lang w:eastAsia="uk-UA"/>
        </w:rPr>
        <w:t xml:space="preserve"> істотну роль </w:t>
      </w:r>
      <w:r w:rsidR="001A3035" w:rsidRPr="007F5722">
        <w:rPr>
          <w:rFonts w:ascii="Times New Roman" w:hAnsi="Times New Roman" w:cs="Times New Roman"/>
          <w:sz w:val="28"/>
          <w:szCs w:val="28"/>
          <w:lang w:eastAsia="uk-UA"/>
        </w:rPr>
        <w:t>в розвитку</w:t>
      </w:r>
      <w:r w:rsidRPr="007F5722">
        <w:rPr>
          <w:rFonts w:ascii="Times New Roman" w:hAnsi="Times New Roman" w:cs="Times New Roman"/>
          <w:sz w:val="28"/>
          <w:szCs w:val="28"/>
          <w:lang w:eastAsia="uk-UA"/>
        </w:rPr>
        <w:t xml:space="preserve"> важких метаболічних порушень [</w:t>
      </w:r>
      <w:r w:rsidR="001A3035" w:rsidRPr="007F5722">
        <w:rPr>
          <w:rFonts w:ascii="Times New Roman" w:hAnsi="Times New Roman" w:cs="Times New Roman"/>
          <w:sz w:val="28"/>
          <w:szCs w:val="28"/>
          <w:lang w:eastAsia="uk-UA"/>
        </w:rPr>
        <w:t>26</w:t>
      </w:r>
      <w:r w:rsidRPr="007F5722">
        <w:rPr>
          <w:rFonts w:ascii="Times New Roman" w:hAnsi="Times New Roman" w:cs="Times New Roman"/>
          <w:sz w:val="28"/>
          <w:szCs w:val="28"/>
          <w:lang w:eastAsia="uk-UA"/>
        </w:rPr>
        <w:t xml:space="preserve">]. </w:t>
      </w:r>
    </w:p>
    <w:p w:rsidR="00CE74C1" w:rsidRPr="007F5722" w:rsidRDefault="00CE74C1" w:rsidP="001A3035">
      <w:pPr>
        <w:spacing w:after="0" w:line="360" w:lineRule="auto"/>
        <w:ind w:firstLine="709"/>
        <w:jc w:val="both"/>
        <w:rPr>
          <w:rFonts w:ascii="Times New Roman" w:hAnsi="Times New Roman" w:cs="Times New Roman"/>
          <w:sz w:val="28"/>
          <w:szCs w:val="28"/>
          <w:lang w:eastAsia="uk-UA"/>
        </w:rPr>
      </w:pPr>
      <w:r w:rsidRPr="007F5722">
        <w:rPr>
          <w:rFonts w:ascii="Times New Roman" w:hAnsi="Times New Roman" w:cs="Times New Roman"/>
          <w:sz w:val="28"/>
          <w:szCs w:val="28"/>
          <w:lang w:eastAsia="uk-UA"/>
        </w:rPr>
        <w:t>Сполучною ланкою патофізіологічних проявів при метаболічних порушеннях є ІР, проте не в</w:t>
      </w:r>
      <w:r w:rsidR="001A3035" w:rsidRPr="007F5722">
        <w:rPr>
          <w:rFonts w:ascii="Times New Roman" w:hAnsi="Times New Roman" w:cs="Times New Roman"/>
          <w:sz w:val="28"/>
          <w:szCs w:val="28"/>
          <w:lang w:eastAsia="uk-UA"/>
        </w:rPr>
        <w:t>иключають ініціюючої ролі АО</w:t>
      </w:r>
      <w:r w:rsidR="004563AA">
        <w:rPr>
          <w:rFonts w:ascii="Times New Roman" w:hAnsi="Times New Roman" w:cs="Times New Roman"/>
          <w:sz w:val="28"/>
          <w:szCs w:val="28"/>
          <w:lang w:eastAsia="uk-UA"/>
        </w:rPr>
        <w:t>, оскільки зв’</w:t>
      </w:r>
      <w:r w:rsidRPr="007F5722">
        <w:rPr>
          <w:rFonts w:ascii="Times New Roman" w:hAnsi="Times New Roman" w:cs="Times New Roman"/>
          <w:sz w:val="28"/>
          <w:szCs w:val="28"/>
          <w:lang w:eastAsia="uk-UA"/>
        </w:rPr>
        <w:t>язок ожиріння з кожним із компонентів метаболічного синдрому (МС) простежується як в клінічних, так і в біохімічних напрямах. За даними міжнародної федерації діабету IDF (2</w:t>
      </w:r>
      <w:r w:rsidR="001A3035" w:rsidRPr="007F5722">
        <w:rPr>
          <w:rFonts w:ascii="Times New Roman" w:hAnsi="Times New Roman" w:cs="Times New Roman"/>
          <w:sz w:val="28"/>
          <w:szCs w:val="28"/>
          <w:lang w:eastAsia="uk-UA"/>
        </w:rPr>
        <w:t>005), саме АО</w:t>
      </w:r>
      <w:r w:rsidRPr="007F5722">
        <w:rPr>
          <w:rFonts w:ascii="Times New Roman" w:hAnsi="Times New Roman" w:cs="Times New Roman"/>
          <w:sz w:val="28"/>
          <w:szCs w:val="28"/>
          <w:lang w:eastAsia="uk-UA"/>
        </w:rPr>
        <w:t xml:space="preserve"> найбільш активно корелює з іншими компонентами та проявами МС і визначено основним компонентом цієї класифікації [</w:t>
      </w:r>
      <w:r w:rsidR="001A3035" w:rsidRPr="007F5722">
        <w:rPr>
          <w:rFonts w:ascii="Times New Roman" w:hAnsi="Times New Roman" w:cs="Times New Roman"/>
          <w:sz w:val="28"/>
          <w:szCs w:val="28"/>
          <w:lang w:eastAsia="uk-UA"/>
        </w:rPr>
        <w:t>27</w:t>
      </w:r>
      <w:r w:rsidRPr="007F5722">
        <w:rPr>
          <w:rFonts w:ascii="Times New Roman" w:hAnsi="Times New Roman" w:cs="Times New Roman"/>
          <w:sz w:val="28"/>
          <w:szCs w:val="28"/>
          <w:lang w:eastAsia="uk-UA"/>
        </w:rPr>
        <w:t xml:space="preserve">]. </w:t>
      </w:r>
    </w:p>
    <w:p w:rsidR="00CE74C1" w:rsidRPr="007F5722" w:rsidRDefault="00CE74C1" w:rsidP="00CE74C1">
      <w:pPr>
        <w:spacing w:after="0" w:line="360" w:lineRule="auto"/>
        <w:ind w:firstLine="709"/>
        <w:jc w:val="both"/>
        <w:rPr>
          <w:rFonts w:ascii="Times New Roman" w:hAnsi="Times New Roman" w:cs="Times New Roman"/>
          <w:sz w:val="28"/>
          <w:szCs w:val="28"/>
          <w:lang w:eastAsia="uk-UA"/>
        </w:rPr>
      </w:pPr>
      <w:r w:rsidRPr="007F5722">
        <w:rPr>
          <w:rFonts w:ascii="Times New Roman" w:hAnsi="Times New Roman" w:cs="Times New Roman"/>
          <w:sz w:val="28"/>
          <w:szCs w:val="28"/>
        </w:rPr>
        <w:t xml:space="preserve">Встановлено, що основні порушення при ожирінні, як метаболічному захворюванні, спостерігаються на рівні проміжного обміну речовин у </w:t>
      </w:r>
      <w:r w:rsidR="001A3035" w:rsidRPr="007F5722">
        <w:rPr>
          <w:rFonts w:ascii="Times New Roman" w:hAnsi="Times New Roman" w:cs="Times New Roman"/>
          <w:sz w:val="28"/>
          <w:szCs w:val="28"/>
        </w:rPr>
        <w:t>клітинах, зокрема в адипоцитах.</w:t>
      </w:r>
      <w:r w:rsidR="00D67D42" w:rsidRPr="007F5722">
        <w:rPr>
          <w:rFonts w:ascii="Times New Roman" w:hAnsi="Times New Roman" w:cs="Times New Roman"/>
          <w:sz w:val="28"/>
          <w:szCs w:val="28"/>
        </w:rPr>
        <w:t xml:space="preserve"> </w:t>
      </w:r>
      <w:r w:rsidRPr="007F5722">
        <w:rPr>
          <w:rFonts w:ascii="Times New Roman" w:hAnsi="Times New Roman" w:cs="Times New Roman"/>
          <w:sz w:val="28"/>
          <w:szCs w:val="28"/>
          <w:lang w:eastAsia="uk-UA"/>
        </w:rPr>
        <w:t xml:space="preserve">Адипоцити розрізняються числом і розмірами </w:t>
      </w:r>
      <w:r w:rsidRPr="007F5722">
        <w:rPr>
          <w:rFonts w:ascii="Times New Roman" w:hAnsi="Times New Roman" w:cs="Times New Roman"/>
          <w:sz w:val="28"/>
          <w:szCs w:val="28"/>
          <w:lang w:eastAsia="uk-UA"/>
        </w:rPr>
        <w:lastRenderedPageBreak/>
        <w:t>як у окремих людей, так і в жирових депо (сідницях, животі тощо). Розрахунки показують, що в середньому в організмі дорослої людини приблизно 30 млрд. жирових клітин. Кількість їх визначається в основному статтю і віком індивіда. Свого часу вважали, що адипоцити можуть утворюватися тільки протягом так званих критичних періодів (до 2 років і між 10 і 16 роками). Пізніше стало ясно, що під впливом додаткових чинників їх кількість може зростати і у дорослих людей. Проте, уявлення про гіперпластичне (за рахунок числа адипоцитів) і гіпертрофічне (за рахунок їх розмірів) ожиріння все-таки базується на тому, що перше розвивається переважно у осіб молодого віку і впливати на нього значно складніше, друге формується у осіб зрілого віку та є фактор</w:t>
      </w:r>
      <w:r w:rsidR="001A3035" w:rsidRPr="007F5722">
        <w:rPr>
          <w:rFonts w:ascii="Times New Roman" w:hAnsi="Times New Roman" w:cs="Times New Roman"/>
          <w:sz w:val="28"/>
          <w:szCs w:val="28"/>
          <w:lang w:eastAsia="uk-UA"/>
        </w:rPr>
        <w:t>ом карді</w:t>
      </w:r>
      <w:r w:rsidRPr="007F5722">
        <w:rPr>
          <w:rFonts w:ascii="Times New Roman" w:hAnsi="Times New Roman" w:cs="Times New Roman"/>
          <w:sz w:val="28"/>
          <w:szCs w:val="28"/>
          <w:lang w:eastAsia="uk-UA"/>
        </w:rPr>
        <w:t xml:space="preserve">ометаболічного ризику. </w:t>
      </w:r>
    </w:p>
    <w:p w:rsidR="00CE74C1" w:rsidRPr="007F5722" w:rsidRDefault="00CE74C1" w:rsidP="00CE74C1">
      <w:pPr>
        <w:spacing w:after="0" w:line="360" w:lineRule="auto"/>
        <w:ind w:firstLine="709"/>
        <w:jc w:val="both"/>
        <w:rPr>
          <w:rFonts w:ascii="Times New Roman" w:hAnsi="Times New Roman" w:cs="Times New Roman"/>
          <w:sz w:val="28"/>
          <w:szCs w:val="28"/>
        </w:rPr>
      </w:pPr>
      <w:r w:rsidRPr="007F5722">
        <w:rPr>
          <w:rFonts w:ascii="Times New Roman" w:hAnsi="Times New Roman" w:cs="Times New Roman"/>
          <w:sz w:val="28"/>
          <w:szCs w:val="28"/>
        </w:rPr>
        <w:t>Для гіпертрофованих адипоцитів характерно більше споживання глюкози і її окислювання, при цьому збільшення швидкості гліколізу сприяє посиленню утворення α-гліцерофосфату. Поряд із цим, великі жирові клітки відрі</w:t>
      </w:r>
      <w:r w:rsidR="00D67D42" w:rsidRPr="007F5722">
        <w:rPr>
          <w:rFonts w:ascii="Times New Roman" w:hAnsi="Times New Roman" w:cs="Times New Roman"/>
          <w:sz w:val="28"/>
          <w:szCs w:val="28"/>
        </w:rPr>
        <w:t>зняються підвищеним ліпогенезом, коли базальна</w:t>
      </w:r>
      <w:r w:rsidRPr="007F5722">
        <w:rPr>
          <w:rFonts w:ascii="Times New Roman" w:hAnsi="Times New Roman" w:cs="Times New Roman"/>
          <w:sz w:val="28"/>
          <w:szCs w:val="28"/>
        </w:rPr>
        <w:t xml:space="preserve"> швидкість с</w:t>
      </w:r>
      <w:r w:rsidR="00D67D42" w:rsidRPr="007F5722">
        <w:rPr>
          <w:rFonts w:ascii="Times New Roman" w:hAnsi="Times New Roman" w:cs="Times New Roman"/>
          <w:sz w:val="28"/>
          <w:szCs w:val="28"/>
        </w:rPr>
        <w:t>интезу жирних кислот із глюкози</w:t>
      </w:r>
      <w:r w:rsidRPr="007F5722">
        <w:rPr>
          <w:rFonts w:ascii="Times New Roman" w:hAnsi="Times New Roman" w:cs="Times New Roman"/>
          <w:sz w:val="28"/>
          <w:szCs w:val="28"/>
        </w:rPr>
        <w:t xml:space="preserve"> </w:t>
      </w:r>
      <w:r w:rsidR="00D67D42" w:rsidRPr="007F5722">
        <w:rPr>
          <w:rFonts w:ascii="Times New Roman" w:hAnsi="Times New Roman" w:cs="Times New Roman"/>
          <w:sz w:val="28"/>
          <w:szCs w:val="28"/>
        </w:rPr>
        <w:t>з</w:t>
      </w:r>
      <w:r w:rsidRPr="007F5722">
        <w:rPr>
          <w:rFonts w:ascii="Times New Roman" w:hAnsi="Times New Roman" w:cs="Times New Roman"/>
          <w:sz w:val="28"/>
          <w:szCs w:val="28"/>
        </w:rPr>
        <w:t>ростає в декілька разів. Гіпертрофія адипоцитів супроводжується зниженням чутливості жирової тканини до інсуліну</w:t>
      </w:r>
      <w:r w:rsidR="00D67D42" w:rsidRPr="007F5722">
        <w:rPr>
          <w:rFonts w:ascii="Times New Roman" w:hAnsi="Times New Roman" w:cs="Times New Roman"/>
          <w:sz w:val="28"/>
          <w:szCs w:val="28"/>
        </w:rPr>
        <w:t>,  тобто</w:t>
      </w:r>
      <w:r w:rsidRPr="007F5722">
        <w:rPr>
          <w:rFonts w:ascii="Times New Roman" w:hAnsi="Times New Roman" w:cs="Times New Roman"/>
          <w:sz w:val="28"/>
          <w:szCs w:val="28"/>
        </w:rPr>
        <w:t xml:space="preserve"> розвитком ІР, </w:t>
      </w:r>
      <w:r w:rsidR="00D67D42" w:rsidRPr="007F5722">
        <w:rPr>
          <w:rFonts w:ascii="Times New Roman" w:hAnsi="Times New Roman" w:cs="Times New Roman"/>
          <w:sz w:val="28"/>
          <w:szCs w:val="28"/>
        </w:rPr>
        <w:t xml:space="preserve">яка </w:t>
      </w:r>
      <w:r w:rsidR="004563AA">
        <w:rPr>
          <w:rFonts w:ascii="Times New Roman" w:hAnsi="Times New Roman" w:cs="Times New Roman"/>
          <w:sz w:val="28"/>
          <w:szCs w:val="28"/>
        </w:rPr>
        <w:t>пов’</w:t>
      </w:r>
      <w:r w:rsidRPr="007F5722">
        <w:rPr>
          <w:rFonts w:ascii="Times New Roman" w:hAnsi="Times New Roman" w:cs="Times New Roman"/>
          <w:sz w:val="28"/>
          <w:szCs w:val="28"/>
        </w:rPr>
        <w:t>язан</w:t>
      </w:r>
      <w:r w:rsidR="00D67D42" w:rsidRPr="007F5722">
        <w:rPr>
          <w:rFonts w:ascii="Times New Roman" w:hAnsi="Times New Roman" w:cs="Times New Roman"/>
          <w:sz w:val="28"/>
          <w:szCs w:val="28"/>
        </w:rPr>
        <w:t>а</w:t>
      </w:r>
      <w:r w:rsidR="00826CC1" w:rsidRPr="007F5722">
        <w:rPr>
          <w:rFonts w:ascii="Times New Roman" w:hAnsi="Times New Roman" w:cs="Times New Roman"/>
          <w:sz w:val="28"/>
          <w:szCs w:val="28"/>
        </w:rPr>
        <w:t xml:space="preserve"> або</w:t>
      </w:r>
      <w:r w:rsidRPr="007F5722">
        <w:rPr>
          <w:rFonts w:ascii="Times New Roman" w:hAnsi="Times New Roman" w:cs="Times New Roman"/>
          <w:sz w:val="28"/>
          <w:szCs w:val="28"/>
        </w:rPr>
        <w:t xml:space="preserve"> з</w:t>
      </w:r>
      <w:r w:rsidR="001A3035" w:rsidRPr="007F5722">
        <w:rPr>
          <w:rFonts w:ascii="Times New Roman" w:hAnsi="Times New Roman" w:cs="Times New Roman"/>
          <w:sz w:val="28"/>
          <w:szCs w:val="28"/>
        </w:rPr>
        <w:t>і</w:t>
      </w:r>
      <w:r w:rsidRPr="007F5722">
        <w:rPr>
          <w:rFonts w:ascii="Times New Roman" w:hAnsi="Times New Roman" w:cs="Times New Roman"/>
          <w:sz w:val="28"/>
          <w:szCs w:val="28"/>
        </w:rPr>
        <w:t xml:space="preserve"> зменшенням кількості рецепторів інсуліну на поверхні адипоцитів, або з реакціями, що викликані в клітині після з</w:t>
      </w:r>
      <w:r w:rsidR="004563AA">
        <w:rPr>
          <w:rFonts w:ascii="Times New Roman" w:hAnsi="Times New Roman" w:cs="Times New Roman"/>
          <w:sz w:val="28"/>
          <w:szCs w:val="28"/>
        </w:rPr>
        <w:t>’</w:t>
      </w:r>
      <w:r w:rsidRPr="007F5722">
        <w:rPr>
          <w:rFonts w:ascii="Times New Roman" w:hAnsi="Times New Roman" w:cs="Times New Roman"/>
          <w:sz w:val="28"/>
          <w:szCs w:val="28"/>
        </w:rPr>
        <w:t xml:space="preserve">єднання цього гормону з рецептором. Активація ліпопротеїдів в гіпертрофованих адипоцитах </w:t>
      </w:r>
      <w:r w:rsidR="001A3035" w:rsidRPr="007F5722">
        <w:rPr>
          <w:rFonts w:ascii="Times New Roman" w:hAnsi="Times New Roman" w:cs="Times New Roman"/>
          <w:sz w:val="28"/>
          <w:szCs w:val="28"/>
        </w:rPr>
        <w:t xml:space="preserve">сприяє надходженню </w:t>
      </w:r>
      <w:r w:rsidR="00BD1C7B" w:rsidRPr="007F5722">
        <w:rPr>
          <w:rFonts w:ascii="Times New Roman" w:hAnsi="Times New Roman" w:cs="Times New Roman"/>
          <w:sz w:val="28"/>
          <w:szCs w:val="28"/>
        </w:rPr>
        <w:t>тригліцеридів в</w:t>
      </w:r>
      <w:r w:rsidRPr="007F5722">
        <w:rPr>
          <w:rFonts w:ascii="Times New Roman" w:hAnsi="Times New Roman" w:cs="Times New Roman"/>
          <w:sz w:val="28"/>
          <w:szCs w:val="28"/>
        </w:rPr>
        <w:t xml:space="preserve"> жирове депо й може потенціювати гіперфагію.</w:t>
      </w:r>
    </w:p>
    <w:p w:rsidR="00CE74C1" w:rsidRPr="007F5722" w:rsidRDefault="00CE74C1" w:rsidP="00174A5B">
      <w:pPr>
        <w:spacing w:after="0" w:line="360" w:lineRule="auto"/>
        <w:ind w:firstLine="567"/>
        <w:jc w:val="both"/>
        <w:rPr>
          <w:rFonts w:ascii="Times New Roman" w:hAnsi="Times New Roman" w:cs="Times New Roman"/>
          <w:bCs/>
          <w:sz w:val="28"/>
          <w:szCs w:val="28"/>
        </w:rPr>
      </w:pPr>
      <w:r w:rsidRPr="007F5722">
        <w:rPr>
          <w:rFonts w:ascii="Times New Roman" w:hAnsi="Times New Roman" w:cs="Times New Roman"/>
          <w:sz w:val="28"/>
          <w:szCs w:val="28"/>
        </w:rPr>
        <w:t>Адипозна тканина традиційно вважалася органом енергозбереження, однак останні дослі</w:t>
      </w:r>
      <w:r w:rsidR="001A3035" w:rsidRPr="007F5722">
        <w:rPr>
          <w:rFonts w:ascii="Times New Roman" w:hAnsi="Times New Roman" w:cs="Times New Roman"/>
          <w:sz w:val="28"/>
          <w:szCs w:val="28"/>
        </w:rPr>
        <w:t>дження відводять їй нову роль -</w:t>
      </w:r>
      <w:r w:rsidRPr="007F5722">
        <w:rPr>
          <w:rFonts w:ascii="Times New Roman" w:hAnsi="Times New Roman" w:cs="Times New Roman"/>
          <w:sz w:val="28"/>
          <w:szCs w:val="28"/>
        </w:rPr>
        <w:t xml:space="preserve"> у якості ендокринного органу, який здатний </w:t>
      </w:r>
      <w:r w:rsidR="00BD1C7B" w:rsidRPr="007F5722">
        <w:rPr>
          <w:rFonts w:ascii="Times New Roman" w:hAnsi="Times New Roman" w:cs="Times New Roman"/>
          <w:sz w:val="28"/>
          <w:szCs w:val="28"/>
        </w:rPr>
        <w:t>секретувати</w:t>
      </w:r>
      <w:r w:rsidRPr="007F5722">
        <w:rPr>
          <w:rFonts w:ascii="Times New Roman" w:hAnsi="Times New Roman" w:cs="Times New Roman"/>
          <w:sz w:val="28"/>
          <w:szCs w:val="28"/>
        </w:rPr>
        <w:t xml:space="preserve"> значну кількість біологічно активних речовин, що отримали назву адипокіни</w:t>
      </w:r>
      <w:r w:rsidRPr="007F5722">
        <w:rPr>
          <w:rFonts w:ascii="Times New Roman" w:hAnsi="Times New Roman" w:cs="Times New Roman"/>
          <w:bCs/>
          <w:sz w:val="28"/>
          <w:szCs w:val="28"/>
        </w:rPr>
        <w:t xml:space="preserve">. </w:t>
      </w:r>
      <w:r w:rsidR="00174A5B" w:rsidRPr="007F5722">
        <w:rPr>
          <w:rStyle w:val="longtext"/>
          <w:rFonts w:ascii="Times New Roman" w:hAnsi="Times New Roman" w:cs="Times New Roman"/>
          <w:sz w:val="28"/>
          <w:szCs w:val="28"/>
        </w:rPr>
        <w:t xml:space="preserve">Як </w:t>
      </w:r>
      <w:r w:rsidR="001C232B" w:rsidRPr="007F5722">
        <w:rPr>
          <w:rStyle w:val="longtext"/>
          <w:rFonts w:ascii="Times New Roman" w:hAnsi="Times New Roman" w:cs="Times New Roman"/>
          <w:sz w:val="28"/>
          <w:szCs w:val="28"/>
        </w:rPr>
        <w:t>свідчать</w:t>
      </w:r>
      <w:r w:rsidR="00174A5B" w:rsidRPr="007F5722">
        <w:rPr>
          <w:rStyle w:val="longtext"/>
          <w:rFonts w:ascii="Times New Roman" w:hAnsi="Times New Roman" w:cs="Times New Roman"/>
          <w:sz w:val="28"/>
          <w:szCs w:val="28"/>
        </w:rPr>
        <w:t xml:space="preserve"> дослідження останніх років, жирова тканина володіє ауто-, пара- та ендокринної функцією і секретує велику кількість речовин, що володіють різними біологічними ефектами, які можуть викликати формування асоціованих з ожирінням захворювань </w:t>
      </w:r>
      <w:r w:rsidRPr="007F5722">
        <w:rPr>
          <w:rFonts w:ascii="Times New Roman" w:hAnsi="Times New Roman" w:cs="Times New Roman"/>
          <w:bCs/>
          <w:sz w:val="28"/>
          <w:szCs w:val="28"/>
        </w:rPr>
        <w:t>[</w:t>
      </w:r>
      <w:r w:rsidR="001A3035" w:rsidRPr="007F5722">
        <w:rPr>
          <w:rFonts w:ascii="Times New Roman" w:hAnsi="Times New Roman" w:cs="Times New Roman"/>
          <w:bCs/>
          <w:sz w:val="28"/>
          <w:szCs w:val="28"/>
        </w:rPr>
        <w:t>28].</w:t>
      </w:r>
      <w:r w:rsidR="00174A5B" w:rsidRPr="007F5722">
        <w:rPr>
          <w:rFonts w:ascii="Times New Roman" w:hAnsi="Times New Roman" w:cs="Times New Roman"/>
          <w:bCs/>
          <w:sz w:val="28"/>
          <w:szCs w:val="28"/>
        </w:rPr>
        <w:t xml:space="preserve"> </w:t>
      </w:r>
    </w:p>
    <w:p w:rsidR="00174A5B" w:rsidRPr="007F5722" w:rsidRDefault="00174A5B" w:rsidP="00174A5B">
      <w:pPr>
        <w:spacing w:after="0" w:line="360" w:lineRule="auto"/>
        <w:ind w:firstLine="720"/>
        <w:jc w:val="both"/>
        <w:rPr>
          <w:rStyle w:val="longtext"/>
          <w:rFonts w:ascii="Times New Roman" w:hAnsi="Times New Roman" w:cs="Times New Roman"/>
          <w:sz w:val="28"/>
          <w:szCs w:val="28"/>
          <w:shd w:val="clear" w:color="auto" w:fill="FFFFFF"/>
        </w:rPr>
      </w:pPr>
      <w:r w:rsidRPr="007F5722">
        <w:rPr>
          <w:rFonts w:ascii="Times New Roman" w:eastAsia="TimesNewRoman" w:hAnsi="Times New Roman" w:cs="Times New Roman"/>
          <w:sz w:val="28"/>
          <w:szCs w:val="28"/>
        </w:rPr>
        <w:lastRenderedPageBreak/>
        <w:t xml:space="preserve">АО сприяє підвищенню секреції прозапальних цитокінів, вивчення різноманітних ефектів яких демонструє, що вони залучені до системних відповідей, а саме, регуляції імунної відповіді, гемопоезу, запалення, проліферації, диференціювання та апоптозу більшості типів клітин </w:t>
      </w:r>
      <w:r w:rsidRPr="007F5722">
        <w:rPr>
          <w:rStyle w:val="longtext"/>
          <w:rFonts w:ascii="Times New Roman" w:hAnsi="Times New Roman" w:cs="Times New Roman"/>
          <w:sz w:val="28"/>
          <w:szCs w:val="28"/>
          <w:shd w:val="clear" w:color="auto" w:fill="FFFFFF"/>
        </w:rPr>
        <w:t>.</w:t>
      </w:r>
    </w:p>
    <w:p w:rsidR="00174A5B" w:rsidRPr="007F5722" w:rsidRDefault="00174A5B" w:rsidP="00174A5B">
      <w:pPr>
        <w:spacing w:after="0" w:line="360" w:lineRule="auto"/>
        <w:ind w:firstLine="720"/>
        <w:jc w:val="both"/>
        <w:rPr>
          <w:rFonts w:ascii="Times New Roman" w:eastAsia="TimesNewRoman" w:hAnsi="Times New Roman" w:cs="Times New Roman"/>
          <w:sz w:val="28"/>
          <w:szCs w:val="28"/>
        </w:rPr>
      </w:pPr>
      <w:r w:rsidRPr="007F5722">
        <w:rPr>
          <w:rStyle w:val="af"/>
          <w:rFonts w:ascii="Times New Roman" w:hAnsi="Times New Roman" w:cs="Times New Roman"/>
          <w:i w:val="0"/>
          <w:sz w:val="28"/>
          <w:szCs w:val="28"/>
          <w:shd w:val="clear" w:color="auto" w:fill="FFFFFF"/>
        </w:rPr>
        <w:t xml:space="preserve">Цитокіни </w:t>
      </w:r>
      <w:r w:rsidRPr="007F5722">
        <w:rPr>
          <w:rFonts w:ascii="Times New Roman" w:hAnsi="Times New Roman" w:cs="Times New Roman"/>
          <w:sz w:val="28"/>
          <w:szCs w:val="28"/>
          <w:shd w:val="clear" w:color="auto" w:fill="FFFFFF"/>
        </w:rPr>
        <w:t xml:space="preserve">– це розчинні гормоноподібні імуномодулятори, синтез та секреція яких відбувається активованими імунокомпетентиними клітинами (лімфоцитами, моноцитами/макрофагами та іншими клітинами імунної системи.) Для більшості цитокінів характерна плейотропніть дії, тобто вони мультифункціональні та мають широкий спектр біологічної дії на різноманітні клітини та тканини. </w:t>
      </w:r>
      <w:r w:rsidRPr="007F5722">
        <w:rPr>
          <w:rFonts w:ascii="Times New Roman" w:hAnsi="Times New Roman" w:cs="Times New Roman"/>
          <w:sz w:val="28"/>
          <w:szCs w:val="28"/>
        </w:rPr>
        <w:t>Цитокіни</w:t>
      </w:r>
      <w:r w:rsidR="00D62BAF" w:rsidRPr="007F5722">
        <w:rPr>
          <w:rFonts w:ascii="Times New Roman" w:hAnsi="Times New Roman" w:cs="Times New Roman"/>
          <w:sz w:val="28"/>
          <w:szCs w:val="28"/>
        </w:rPr>
        <w:t xml:space="preserve"> - </w:t>
      </w:r>
      <w:r w:rsidRPr="007F5722">
        <w:rPr>
          <w:rFonts w:ascii="Times New Roman" w:hAnsi="Times New Roman" w:cs="Times New Roman"/>
          <w:sz w:val="28"/>
          <w:szCs w:val="28"/>
        </w:rPr>
        <w:t xml:space="preserve">це пептидні фактори, що здійснюють короткодистантну регуляцію міжклітинних та міжсистемних взаємодій. </w:t>
      </w:r>
      <w:r w:rsidR="00D62BAF" w:rsidRPr="007F5722">
        <w:rPr>
          <w:rFonts w:ascii="Times New Roman" w:hAnsi="Times New Roman" w:cs="Times New Roman"/>
          <w:sz w:val="28"/>
          <w:szCs w:val="28"/>
        </w:rPr>
        <w:t xml:space="preserve">Сімейство цитокінів володіє </w:t>
      </w:r>
      <w:r w:rsidRPr="007F5722">
        <w:rPr>
          <w:rFonts w:ascii="Times New Roman" w:hAnsi="Times New Roman" w:cs="Times New Roman"/>
          <w:sz w:val="28"/>
          <w:szCs w:val="28"/>
        </w:rPr>
        <w:t>о</w:t>
      </w:r>
      <w:r w:rsidR="00D62BAF" w:rsidRPr="007F5722">
        <w:rPr>
          <w:rFonts w:ascii="Times New Roman" w:hAnsi="Times New Roman" w:cs="Times New Roman"/>
          <w:sz w:val="28"/>
          <w:szCs w:val="28"/>
        </w:rPr>
        <w:t>сновними заг</w:t>
      </w:r>
      <w:r w:rsidRPr="007F5722">
        <w:rPr>
          <w:rFonts w:ascii="Times New Roman" w:hAnsi="Times New Roman" w:cs="Times New Roman"/>
          <w:sz w:val="28"/>
          <w:szCs w:val="28"/>
        </w:rPr>
        <w:t xml:space="preserve">альними ефектами: </w:t>
      </w:r>
      <w:r w:rsidR="00C23A36">
        <w:rPr>
          <w:rFonts w:ascii="Times New Roman" w:eastAsia="TimesNewRoman" w:hAnsi="Times New Roman" w:cs="Times New Roman"/>
          <w:sz w:val="28"/>
          <w:szCs w:val="28"/>
        </w:rPr>
        <w:t xml:space="preserve">по-перше, </w:t>
      </w:r>
      <w:r w:rsidRPr="007F5722">
        <w:rPr>
          <w:rFonts w:ascii="Times New Roman" w:eastAsia="TimesNewRoman" w:hAnsi="Times New Roman" w:cs="Times New Roman"/>
          <w:sz w:val="28"/>
          <w:szCs w:val="28"/>
        </w:rPr>
        <w:t>цитокіни мають атокринний вплив - спричинюють вплив на</w:t>
      </w:r>
      <w:r w:rsidR="00C23A36">
        <w:rPr>
          <w:rFonts w:ascii="Times New Roman" w:eastAsia="TimesNewRoman" w:hAnsi="Times New Roman" w:cs="Times New Roman"/>
          <w:sz w:val="28"/>
          <w:szCs w:val="28"/>
        </w:rPr>
        <w:t xml:space="preserve"> клітину-продуцент); по-друге, </w:t>
      </w:r>
      <w:r w:rsidRPr="007F5722">
        <w:rPr>
          <w:rFonts w:ascii="Times New Roman" w:eastAsia="TimesNewRoman" w:hAnsi="Times New Roman" w:cs="Times New Roman"/>
          <w:sz w:val="28"/>
          <w:szCs w:val="28"/>
        </w:rPr>
        <w:t>цитокіни володіють паракринним впливом - впливають на сусід</w:t>
      </w:r>
      <w:r w:rsidR="00D62BAF" w:rsidRPr="007F5722">
        <w:rPr>
          <w:rFonts w:ascii="Times New Roman" w:eastAsia="TimesNewRoman" w:hAnsi="Times New Roman" w:cs="Times New Roman"/>
          <w:sz w:val="28"/>
          <w:szCs w:val="28"/>
        </w:rPr>
        <w:t>ні до клітини-продуцента клітини;</w:t>
      </w:r>
      <w:r w:rsidR="00E07B03" w:rsidRPr="007F5722">
        <w:rPr>
          <w:rFonts w:ascii="Times New Roman" w:eastAsia="TimesNewRoman" w:hAnsi="Times New Roman" w:cs="Times New Roman"/>
          <w:sz w:val="28"/>
          <w:szCs w:val="28"/>
        </w:rPr>
        <w:t xml:space="preserve"> по-третє, </w:t>
      </w:r>
      <w:r w:rsidRPr="007F5722">
        <w:rPr>
          <w:rFonts w:ascii="Times New Roman" w:eastAsia="TimesNewRoman" w:hAnsi="Times New Roman" w:cs="Times New Roman"/>
          <w:sz w:val="28"/>
          <w:szCs w:val="28"/>
        </w:rPr>
        <w:t>цитокіни мають ендокринний вплив - впливають на віддалені клітини органів та тканин. І саме ендокринний вплив цитокінової системи та дисбаланс прозапальних та протизапальних цитокінів призводить до феномену системного запалення, який розглядають важливою патогенетичною ланкою формування більшості ССЗ.</w:t>
      </w:r>
    </w:p>
    <w:p w:rsidR="00174A5B" w:rsidRPr="007F5722" w:rsidRDefault="00174A5B" w:rsidP="00174A5B">
      <w:pPr>
        <w:spacing w:after="0" w:line="360" w:lineRule="auto"/>
        <w:ind w:firstLine="567"/>
        <w:jc w:val="both"/>
        <w:rPr>
          <w:rFonts w:ascii="Times New Roman" w:hAnsi="Times New Roman" w:cs="Times New Roman"/>
          <w:bCs/>
          <w:sz w:val="28"/>
          <w:szCs w:val="28"/>
        </w:rPr>
      </w:pPr>
      <w:r w:rsidRPr="007F5722">
        <w:rPr>
          <w:rFonts w:ascii="Times New Roman" w:hAnsi="Times New Roman" w:cs="Times New Roman"/>
          <w:sz w:val="28"/>
          <w:szCs w:val="28"/>
        </w:rPr>
        <w:t>Інтерлейкіни</w:t>
      </w:r>
      <w:r w:rsidR="00D62BAF" w:rsidRPr="007F5722">
        <w:rPr>
          <w:rFonts w:ascii="Times New Roman" w:hAnsi="Times New Roman" w:cs="Times New Roman"/>
          <w:sz w:val="28"/>
          <w:szCs w:val="28"/>
        </w:rPr>
        <w:t xml:space="preserve"> представлені широким спектром</w:t>
      </w:r>
      <w:r w:rsidRPr="007F5722">
        <w:rPr>
          <w:rFonts w:ascii="Times New Roman" w:hAnsi="Times New Roman" w:cs="Times New Roman"/>
          <w:sz w:val="28"/>
          <w:szCs w:val="28"/>
        </w:rPr>
        <w:t xml:space="preserve"> регуляторних протеїнових молекул, що </w:t>
      </w:r>
      <w:r w:rsidR="001C232B" w:rsidRPr="007F5722">
        <w:rPr>
          <w:rFonts w:ascii="Times New Roman" w:hAnsi="Times New Roman" w:cs="Times New Roman"/>
          <w:sz w:val="28"/>
          <w:szCs w:val="28"/>
        </w:rPr>
        <w:t>формують основ</w:t>
      </w:r>
      <w:r w:rsidR="00D62BAF" w:rsidRPr="007F5722">
        <w:rPr>
          <w:rFonts w:ascii="Times New Roman" w:hAnsi="Times New Roman" w:cs="Times New Roman"/>
          <w:sz w:val="28"/>
          <w:szCs w:val="28"/>
        </w:rPr>
        <w:t xml:space="preserve">у імунозапальної відповіді при різноманітних </w:t>
      </w:r>
      <w:r w:rsidR="001C232B" w:rsidRPr="007F5722">
        <w:rPr>
          <w:rFonts w:ascii="Times New Roman" w:hAnsi="Times New Roman" w:cs="Times New Roman"/>
          <w:sz w:val="28"/>
          <w:szCs w:val="28"/>
        </w:rPr>
        <w:t>кардіоваскулярних захворюваннях</w:t>
      </w:r>
      <w:r w:rsidRPr="007F5722">
        <w:rPr>
          <w:rFonts w:ascii="Times New Roman" w:hAnsi="Times New Roman" w:cs="Times New Roman"/>
          <w:sz w:val="28"/>
          <w:szCs w:val="28"/>
        </w:rPr>
        <w:t>.</w:t>
      </w:r>
    </w:p>
    <w:p w:rsidR="00CE74C1" w:rsidRPr="007F5722" w:rsidRDefault="00D62BAF" w:rsidP="00174A5B">
      <w:pPr>
        <w:spacing w:after="0" w:line="360" w:lineRule="auto"/>
        <w:ind w:firstLine="567"/>
        <w:jc w:val="both"/>
        <w:rPr>
          <w:rFonts w:ascii="Times New Roman" w:hAnsi="Times New Roman" w:cs="Times New Roman"/>
          <w:color w:val="000000"/>
          <w:sz w:val="28"/>
          <w:szCs w:val="28"/>
        </w:rPr>
      </w:pPr>
      <w:r w:rsidRPr="007F5722">
        <w:rPr>
          <w:rFonts w:ascii="Times New Roman" w:hAnsi="Times New Roman" w:cs="Times New Roman"/>
          <w:color w:val="000000"/>
          <w:sz w:val="28"/>
          <w:szCs w:val="28"/>
        </w:rPr>
        <w:t>Інтерелейкін-22 (І</w:t>
      </w:r>
      <w:r w:rsidR="001A3035" w:rsidRPr="007F5722">
        <w:rPr>
          <w:rFonts w:ascii="Times New Roman" w:hAnsi="Times New Roman" w:cs="Times New Roman"/>
          <w:color w:val="000000"/>
          <w:sz w:val="28"/>
          <w:szCs w:val="28"/>
        </w:rPr>
        <w:t>Л-22</w:t>
      </w:r>
      <w:r w:rsidRPr="007F5722">
        <w:rPr>
          <w:rFonts w:ascii="Times New Roman" w:hAnsi="Times New Roman" w:cs="Times New Roman"/>
          <w:color w:val="000000"/>
          <w:sz w:val="28"/>
          <w:szCs w:val="28"/>
        </w:rPr>
        <w:t>)</w:t>
      </w:r>
      <w:r w:rsidR="00CE74C1" w:rsidRPr="007F5722">
        <w:rPr>
          <w:rFonts w:ascii="Times New Roman" w:hAnsi="Times New Roman" w:cs="Times New Roman"/>
          <w:color w:val="000000"/>
          <w:sz w:val="28"/>
          <w:szCs w:val="28"/>
        </w:rPr>
        <w:t xml:space="preserve"> – прозапальний цитокін, гомодимер з молекулярною масою 25 кД, відноситься до сімейства інтерлейкіну-10, переважно виробляється активованими Тh1, зокрема клітинами пам’яті фенотипу і тучними клітинами, виробляється також моноцитами, Т- та В- клітинами, NК-клітинами. Цитокін зв’язується рецепторним комплексом, який складається з ІL-22R1 та ІL-10R2. ІL-22R1</w:t>
      </w:r>
      <w:r w:rsidR="00C23A36">
        <w:rPr>
          <w:rFonts w:ascii="Times New Roman" w:hAnsi="Times New Roman" w:cs="Times New Roman"/>
          <w:color w:val="000000"/>
          <w:sz w:val="28"/>
          <w:szCs w:val="28"/>
        </w:rPr>
        <w:t xml:space="preserve"> </w:t>
      </w:r>
      <w:r w:rsidR="00CE74C1" w:rsidRPr="007F5722">
        <w:rPr>
          <w:rFonts w:ascii="Times New Roman" w:hAnsi="Times New Roman" w:cs="Times New Roman"/>
          <w:color w:val="000000"/>
          <w:sz w:val="28"/>
          <w:szCs w:val="28"/>
        </w:rPr>
        <w:t xml:space="preserve">експресується переважно в підшлунковій залозі та інших тканинах шлунково-кишкового тракту, нирок та </w:t>
      </w:r>
      <w:r w:rsidR="00CE74C1" w:rsidRPr="007F5722">
        <w:rPr>
          <w:rFonts w:ascii="Times New Roman" w:hAnsi="Times New Roman" w:cs="Times New Roman"/>
          <w:color w:val="000000"/>
          <w:sz w:val="28"/>
          <w:szCs w:val="28"/>
        </w:rPr>
        <w:lastRenderedPageBreak/>
        <w:t>шкіри. ІЛ-22 стимулює продукцію прозапальних цит</w:t>
      </w:r>
      <w:r w:rsidR="00FC04F5" w:rsidRPr="007F5722">
        <w:rPr>
          <w:rFonts w:ascii="Times New Roman" w:hAnsi="Times New Roman" w:cs="Times New Roman"/>
          <w:color w:val="000000"/>
          <w:sz w:val="28"/>
          <w:szCs w:val="28"/>
        </w:rPr>
        <w:t>окінів у кератиноцитах людини [29, 30</w:t>
      </w:r>
      <w:r w:rsidR="00CE74C1" w:rsidRPr="007F5722">
        <w:rPr>
          <w:rFonts w:ascii="Times New Roman" w:hAnsi="Times New Roman" w:cs="Times New Roman"/>
          <w:color w:val="000000"/>
          <w:sz w:val="28"/>
          <w:szCs w:val="28"/>
        </w:rPr>
        <w:t xml:space="preserve">]. </w:t>
      </w:r>
      <w:r w:rsidR="00CE74C1" w:rsidRPr="007F5722">
        <w:rPr>
          <w:rFonts w:ascii="Times New Roman" w:hAnsi="Times New Roman" w:cs="Times New Roman"/>
          <w:sz w:val="28"/>
          <w:szCs w:val="28"/>
        </w:rPr>
        <w:t>Існують дані щодо підвищення рівня ІЛ-22 при хронічних імунозапальних станах, таких як псоріаз, атопічний дерматит, ревматоїдний ар</w:t>
      </w:r>
      <w:r w:rsidR="00FC04F5" w:rsidRPr="007F5722">
        <w:rPr>
          <w:rFonts w:ascii="Times New Roman" w:hAnsi="Times New Roman" w:cs="Times New Roman"/>
          <w:sz w:val="28"/>
          <w:szCs w:val="28"/>
        </w:rPr>
        <w:t>трит, цукровий діабет 2 типу [31</w:t>
      </w:r>
      <w:r w:rsidR="00CE74C1" w:rsidRPr="007F5722">
        <w:rPr>
          <w:rFonts w:ascii="Times New Roman" w:hAnsi="Times New Roman" w:cs="Times New Roman"/>
          <w:sz w:val="28"/>
          <w:szCs w:val="28"/>
        </w:rPr>
        <w:t>]. Однак роль ІЛ-22 у патогенезі ожиріння є недостатньо вивченою.</w:t>
      </w:r>
    </w:p>
    <w:p w:rsidR="00CE74C1" w:rsidRPr="007F5722" w:rsidRDefault="00FC04F5" w:rsidP="00D62BAF">
      <w:pPr>
        <w:spacing w:after="0" w:line="360" w:lineRule="auto"/>
        <w:ind w:firstLine="708"/>
        <w:jc w:val="both"/>
        <w:rPr>
          <w:rFonts w:ascii="Times New Roman" w:eastAsia="Times New Roman" w:hAnsi="Times New Roman" w:cs="Times New Roman"/>
          <w:sz w:val="28"/>
          <w:szCs w:val="28"/>
        </w:rPr>
      </w:pPr>
      <w:r w:rsidRPr="007F5722">
        <w:rPr>
          <w:rFonts w:ascii="Times New Roman" w:eastAsia="Times New Roman" w:hAnsi="Times New Roman" w:cs="Times New Roman"/>
          <w:sz w:val="28"/>
          <w:szCs w:val="28"/>
        </w:rPr>
        <w:t>ІЛ-22</w:t>
      </w:r>
      <w:r w:rsidR="00CE74C1" w:rsidRPr="007F5722">
        <w:rPr>
          <w:rFonts w:ascii="Times New Roman" w:eastAsia="Times New Roman" w:hAnsi="Times New Roman" w:cs="Times New Roman"/>
          <w:sz w:val="28"/>
          <w:szCs w:val="28"/>
        </w:rPr>
        <w:t xml:space="preserve"> невеликий протеїн, який було вперше описано дослідницькою групою Renauld у 2000 році </w:t>
      </w:r>
      <w:r w:rsidRPr="007F5722">
        <w:rPr>
          <w:rFonts w:ascii="Times New Roman" w:hAnsi="Times New Roman" w:cs="Times New Roman"/>
          <w:sz w:val="28"/>
          <w:szCs w:val="28"/>
        </w:rPr>
        <w:t>[32]</w:t>
      </w:r>
      <w:r w:rsidR="00CE74C1" w:rsidRPr="007F5722">
        <w:rPr>
          <w:rFonts w:ascii="Times New Roman" w:eastAsia="Times New Roman" w:hAnsi="Times New Roman" w:cs="Times New Roman"/>
          <w:spacing w:val="3"/>
          <w:sz w:val="28"/>
          <w:szCs w:val="28"/>
          <w:shd w:val="clear" w:color="auto" w:fill="FFFFFF"/>
        </w:rPr>
        <w:t>.</w:t>
      </w:r>
      <w:r w:rsidR="00D62BAF" w:rsidRPr="007F5722">
        <w:rPr>
          <w:rFonts w:ascii="Times New Roman" w:eastAsia="Times New Roman" w:hAnsi="Times New Roman" w:cs="Times New Roman"/>
          <w:spacing w:val="3"/>
          <w:sz w:val="28"/>
          <w:szCs w:val="28"/>
          <w:shd w:val="clear" w:color="auto" w:fill="FFFFFF"/>
        </w:rPr>
        <w:t xml:space="preserve"> </w:t>
      </w:r>
      <w:r w:rsidR="00CE74C1" w:rsidRPr="007F5722">
        <w:rPr>
          <w:rFonts w:ascii="Times New Roman" w:eastAsia="Times New Roman" w:hAnsi="Times New Roman" w:cs="Times New Roman"/>
          <w:spacing w:val="3"/>
          <w:sz w:val="28"/>
          <w:szCs w:val="28"/>
          <w:shd w:val="clear" w:color="auto" w:fill="FFFFFF"/>
        </w:rPr>
        <w:t>Основним джерелом продукції ІЛ-22 є CD4+ Т</w:t>
      </w:r>
      <w:r w:rsidRPr="007F5722">
        <w:rPr>
          <w:rFonts w:ascii="Times New Roman" w:eastAsia="Times New Roman" w:hAnsi="Times New Roman" w:cs="Times New Roman"/>
          <w:spacing w:val="3"/>
          <w:sz w:val="28"/>
          <w:szCs w:val="28"/>
          <w:shd w:val="clear" w:color="auto" w:fill="FFFFFF"/>
        </w:rPr>
        <w:t xml:space="preserve"> хелпери. </w:t>
      </w:r>
      <w:r w:rsidR="00CE74C1" w:rsidRPr="007F5722">
        <w:rPr>
          <w:rFonts w:ascii="Times New Roman" w:eastAsia="Times New Roman" w:hAnsi="Times New Roman" w:cs="Times New Roman"/>
          <w:spacing w:val="3"/>
          <w:sz w:val="28"/>
          <w:szCs w:val="28"/>
          <w:shd w:val="clear" w:color="auto" w:fill="FFFFFF"/>
        </w:rPr>
        <w:t>Th-клітини можуть бути функціонально розподілені на 3 групи залежно від профілю ц</w:t>
      </w:r>
      <w:r w:rsidR="00C23A36">
        <w:rPr>
          <w:rFonts w:ascii="Times New Roman" w:eastAsia="Times New Roman" w:hAnsi="Times New Roman" w:cs="Times New Roman"/>
          <w:spacing w:val="3"/>
          <w:sz w:val="28"/>
          <w:szCs w:val="28"/>
          <w:shd w:val="clear" w:color="auto" w:fill="FFFFFF"/>
        </w:rPr>
        <w:t xml:space="preserve">итокінів, які вони продукують: </w:t>
      </w:r>
      <w:r w:rsidR="00CE74C1" w:rsidRPr="007F5722">
        <w:rPr>
          <w:rFonts w:ascii="Times New Roman" w:eastAsia="Times New Roman" w:hAnsi="Times New Roman" w:cs="Times New Roman"/>
          <w:spacing w:val="3"/>
          <w:sz w:val="28"/>
          <w:szCs w:val="28"/>
          <w:shd w:val="clear" w:color="auto" w:fill="FFFFFF"/>
        </w:rPr>
        <w:t>Th 1, Th 2, Th 17, які в основному секретують інтерферон – гама (ІФН-γ), ІЛ-4 та ІЛ-17, відповідно. Дефицит ІФН-γ та ІЛ-17 значно зни</w:t>
      </w:r>
      <w:r w:rsidRPr="007F5722">
        <w:rPr>
          <w:rFonts w:ascii="Times New Roman" w:eastAsia="Times New Roman" w:hAnsi="Times New Roman" w:cs="Times New Roman"/>
          <w:spacing w:val="3"/>
          <w:sz w:val="28"/>
          <w:szCs w:val="28"/>
          <w:shd w:val="clear" w:color="auto" w:fill="FFFFFF"/>
        </w:rPr>
        <w:t>жують рівень АТ</w:t>
      </w:r>
      <w:r w:rsidR="00CE74C1" w:rsidRPr="007F5722">
        <w:rPr>
          <w:rFonts w:ascii="Times New Roman" w:eastAsia="Times New Roman" w:hAnsi="Times New Roman" w:cs="Times New Roman"/>
          <w:spacing w:val="3"/>
          <w:sz w:val="28"/>
          <w:szCs w:val="28"/>
          <w:shd w:val="clear" w:color="auto" w:fill="FFFFFF"/>
        </w:rPr>
        <w:t xml:space="preserve"> у ангіотензин II-індукованих моделях гіпертензії </w:t>
      </w:r>
      <w:r w:rsidRPr="007F5722">
        <w:rPr>
          <w:rFonts w:ascii="Times New Roman" w:eastAsia="Times New Roman" w:hAnsi="Times New Roman" w:cs="Times New Roman"/>
          <w:spacing w:val="3"/>
          <w:sz w:val="28"/>
          <w:szCs w:val="28"/>
          <w:shd w:val="clear" w:color="auto" w:fill="FFFFFF"/>
        </w:rPr>
        <w:t>[33</w:t>
      </w:r>
      <w:r w:rsidR="0096643A" w:rsidRPr="007F5722">
        <w:rPr>
          <w:rFonts w:ascii="Times New Roman" w:eastAsia="Times New Roman" w:hAnsi="Times New Roman" w:cs="Times New Roman"/>
          <w:spacing w:val="3"/>
          <w:sz w:val="28"/>
          <w:szCs w:val="28"/>
          <w:shd w:val="clear" w:color="auto" w:fill="FFFFFF"/>
        </w:rPr>
        <w:t>,34</w:t>
      </w:r>
      <w:r w:rsidRPr="007F5722">
        <w:rPr>
          <w:rFonts w:ascii="Times New Roman" w:eastAsia="Times New Roman" w:hAnsi="Times New Roman" w:cs="Times New Roman"/>
          <w:spacing w:val="3"/>
          <w:sz w:val="28"/>
          <w:szCs w:val="28"/>
          <w:shd w:val="clear" w:color="auto" w:fill="FFFFFF"/>
        </w:rPr>
        <w:t>]</w:t>
      </w:r>
      <w:r w:rsidR="00CE74C1" w:rsidRPr="007F5722">
        <w:rPr>
          <w:rStyle w:val="HTML"/>
          <w:rFonts w:ascii="Times New Roman" w:eastAsia="Times New Roman" w:hAnsi="Times New Roman" w:cs="Times New Roman"/>
          <w:sz w:val="28"/>
          <w:szCs w:val="28"/>
        </w:rPr>
        <w:t xml:space="preserve">. </w:t>
      </w:r>
      <w:r w:rsidR="00CE74C1" w:rsidRPr="007F5722">
        <w:rPr>
          <w:rStyle w:val="HTML"/>
          <w:rFonts w:ascii="Times New Roman" w:eastAsia="Times New Roman" w:hAnsi="Times New Roman" w:cs="Times New Roman"/>
          <w:i w:val="0"/>
          <w:sz w:val="28"/>
          <w:szCs w:val="28"/>
        </w:rPr>
        <w:t>Дефицит ІЛ-4 значно прискорює фіброзне ремоделювання міокарду</w:t>
      </w:r>
      <w:r w:rsidR="00CE74C1" w:rsidRPr="007F5722">
        <w:rPr>
          <w:rFonts w:ascii="Times New Roman" w:eastAsia="Times New Roman" w:hAnsi="Times New Roman" w:cs="Times New Roman"/>
          <w:i/>
          <w:spacing w:val="3"/>
          <w:sz w:val="28"/>
          <w:szCs w:val="28"/>
          <w:shd w:val="clear" w:color="auto" w:fill="FFFFFF"/>
        </w:rPr>
        <w:t xml:space="preserve"> </w:t>
      </w:r>
      <w:r w:rsidR="00CE74C1" w:rsidRPr="007F5722">
        <w:rPr>
          <w:rFonts w:ascii="Times New Roman" w:eastAsia="Times New Roman" w:hAnsi="Times New Roman" w:cs="Times New Roman"/>
          <w:spacing w:val="3"/>
          <w:sz w:val="28"/>
          <w:szCs w:val="28"/>
          <w:shd w:val="clear" w:color="auto" w:fill="FFFFFF"/>
        </w:rPr>
        <w:t>при ангіотензин II-індукованій гіпертрофії, при цьому не впливаючи на рівень АТ</w:t>
      </w:r>
      <w:r w:rsidR="0096643A" w:rsidRPr="007F5722">
        <w:rPr>
          <w:rFonts w:ascii="Times New Roman" w:eastAsia="Times New Roman" w:hAnsi="Times New Roman" w:cs="Times New Roman"/>
          <w:spacing w:val="3"/>
          <w:sz w:val="28"/>
          <w:szCs w:val="28"/>
          <w:shd w:val="clear" w:color="auto" w:fill="FFFFFF"/>
        </w:rPr>
        <w:t xml:space="preserve"> [35]</w:t>
      </w:r>
      <w:r w:rsidR="00CE74C1" w:rsidRPr="007F5722">
        <w:rPr>
          <w:rStyle w:val="HTML"/>
          <w:rFonts w:ascii="Times New Roman" w:eastAsia="Times New Roman" w:hAnsi="Times New Roman" w:cs="Times New Roman"/>
          <w:sz w:val="28"/>
          <w:szCs w:val="28"/>
        </w:rPr>
        <w:t>.</w:t>
      </w:r>
    </w:p>
    <w:p w:rsidR="00CE74C1" w:rsidRPr="007F5722" w:rsidRDefault="00CE74C1" w:rsidP="00CE74C1">
      <w:pPr>
        <w:spacing w:after="0" w:line="360" w:lineRule="auto"/>
        <w:jc w:val="both"/>
        <w:rPr>
          <w:rStyle w:val="HTML"/>
          <w:rFonts w:ascii="Times New Roman" w:eastAsia="Times New Roman" w:hAnsi="Times New Roman" w:cs="Times New Roman"/>
          <w:i w:val="0"/>
          <w:iCs w:val="0"/>
          <w:color w:val="000000"/>
          <w:sz w:val="28"/>
          <w:szCs w:val="28"/>
        </w:rPr>
      </w:pPr>
      <w:r w:rsidRPr="007F5722">
        <w:rPr>
          <w:rFonts w:ascii="Times New Roman" w:eastAsia="Times New Roman" w:hAnsi="Times New Roman" w:cs="Times New Roman"/>
          <w:sz w:val="28"/>
          <w:szCs w:val="28"/>
        </w:rPr>
        <w:t xml:space="preserve">Відносно нещодавно, а саме у 2009 році була ідентифікована четверта субпопуляція </w:t>
      </w:r>
      <w:r w:rsidR="0096643A" w:rsidRPr="00C23A36">
        <w:rPr>
          <w:rFonts w:ascii="Times New Roman" w:eastAsia="Times New Roman" w:hAnsi="Times New Roman" w:cs="Times New Roman"/>
          <w:spacing w:val="3"/>
          <w:sz w:val="28"/>
          <w:szCs w:val="28"/>
          <w:shd w:val="clear" w:color="auto" w:fill="FFFFFF"/>
        </w:rPr>
        <w:t>Th-клітин -</w:t>
      </w:r>
      <w:r w:rsidRPr="00C23A36">
        <w:rPr>
          <w:rFonts w:ascii="Times New Roman" w:eastAsia="Times New Roman" w:hAnsi="Times New Roman" w:cs="Times New Roman"/>
          <w:spacing w:val="3"/>
          <w:sz w:val="28"/>
          <w:szCs w:val="28"/>
          <w:shd w:val="clear" w:color="auto" w:fill="FFFFFF"/>
        </w:rPr>
        <w:t xml:space="preserve"> Th 22 клітини</w:t>
      </w:r>
      <w:r w:rsidR="0096643A" w:rsidRPr="00C23A36">
        <w:rPr>
          <w:rFonts w:ascii="Times New Roman" w:eastAsia="Times New Roman" w:hAnsi="Times New Roman" w:cs="Times New Roman"/>
          <w:spacing w:val="3"/>
          <w:sz w:val="28"/>
          <w:szCs w:val="28"/>
          <w:shd w:val="clear" w:color="auto" w:fill="FFFFFF"/>
        </w:rPr>
        <w:t xml:space="preserve"> [36]</w:t>
      </w:r>
      <w:r w:rsidRPr="00C23A36">
        <w:rPr>
          <w:rStyle w:val="HTML"/>
          <w:rFonts w:ascii="Times New Roman" w:eastAsia="Times New Roman" w:hAnsi="Times New Roman" w:cs="Times New Roman"/>
          <w:sz w:val="28"/>
          <w:szCs w:val="28"/>
        </w:rPr>
        <w:t xml:space="preserve">. </w:t>
      </w:r>
      <w:r w:rsidRPr="00C23A36">
        <w:rPr>
          <w:rStyle w:val="HTML"/>
          <w:rFonts w:ascii="Times New Roman" w:eastAsia="Times New Roman" w:hAnsi="Times New Roman" w:cs="Times New Roman"/>
          <w:i w:val="0"/>
          <w:sz w:val="28"/>
          <w:szCs w:val="28"/>
        </w:rPr>
        <w:t xml:space="preserve">Дані, що надійшли з експериментальних та клінічних досліджень продемонстрували залучення </w:t>
      </w:r>
      <w:r w:rsidRPr="00C23A36">
        <w:rPr>
          <w:rFonts w:ascii="Times New Roman" w:eastAsia="Times New Roman" w:hAnsi="Times New Roman" w:cs="Times New Roman"/>
          <w:i/>
          <w:spacing w:val="3"/>
          <w:sz w:val="28"/>
          <w:szCs w:val="28"/>
          <w:shd w:val="clear" w:color="auto" w:fill="FFFFFF"/>
        </w:rPr>
        <w:t>Th</w:t>
      </w:r>
      <w:r w:rsidRPr="00C23A36">
        <w:rPr>
          <w:rFonts w:ascii="Times New Roman" w:eastAsia="Times New Roman" w:hAnsi="Times New Roman" w:cs="Times New Roman"/>
          <w:spacing w:val="3"/>
          <w:sz w:val="28"/>
          <w:szCs w:val="28"/>
          <w:shd w:val="clear" w:color="auto" w:fill="FFFFFF"/>
        </w:rPr>
        <w:t xml:space="preserve"> </w:t>
      </w:r>
      <w:r w:rsidR="0096643A" w:rsidRPr="00C23A36">
        <w:rPr>
          <w:rFonts w:ascii="Times New Roman" w:eastAsia="Times New Roman" w:hAnsi="Times New Roman" w:cs="Times New Roman"/>
          <w:spacing w:val="3"/>
          <w:sz w:val="28"/>
          <w:szCs w:val="28"/>
          <w:shd w:val="clear" w:color="auto" w:fill="FFFFFF"/>
        </w:rPr>
        <w:t>22 клітин до запальних та аутоі</w:t>
      </w:r>
      <w:r w:rsidRPr="00C23A36">
        <w:rPr>
          <w:rFonts w:ascii="Times New Roman" w:eastAsia="Times New Roman" w:hAnsi="Times New Roman" w:cs="Times New Roman"/>
          <w:spacing w:val="3"/>
          <w:sz w:val="28"/>
          <w:szCs w:val="28"/>
          <w:shd w:val="clear" w:color="auto" w:fill="FFFFFF"/>
        </w:rPr>
        <w:t>мунних захворювань, таких як атеросклероз</w:t>
      </w:r>
      <w:r w:rsidR="0096643A" w:rsidRPr="00C23A36">
        <w:rPr>
          <w:rFonts w:ascii="Times New Roman" w:eastAsia="Times New Roman" w:hAnsi="Times New Roman" w:cs="Times New Roman"/>
          <w:spacing w:val="3"/>
          <w:sz w:val="28"/>
          <w:szCs w:val="28"/>
          <w:shd w:val="clear" w:color="auto" w:fill="FFFFFF"/>
        </w:rPr>
        <w:t xml:space="preserve"> [37]</w:t>
      </w:r>
      <w:r w:rsidRPr="00C23A36">
        <w:rPr>
          <w:rStyle w:val="HTML"/>
          <w:rFonts w:ascii="Times New Roman" w:eastAsia="Times New Roman" w:hAnsi="Times New Roman" w:cs="Times New Roman"/>
          <w:sz w:val="28"/>
          <w:szCs w:val="28"/>
        </w:rPr>
        <w:t xml:space="preserve">, </w:t>
      </w:r>
      <w:r w:rsidRPr="00C23A36">
        <w:rPr>
          <w:rStyle w:val="HTML"/>
          <w:rFonts w:ascii="Times New Roman" w:eastAsia="Times New Roman" w:hAnsi="Times New Roman" w:cs="Times New Roman"/>
          <w:i w:val="0"/>
          <w:sz w:val="28"/>
          <w:szCs w:val="28"/>
        </w:rPr>
        <w:t>міокардит</w:t>
      </w:r>
      <w:r w:rsidR="0060332F" w:rsidRPr="00C23A36">
        <w:rPr>
          <w:rStyle w:val="HTML"/>
          <w:rFonts w:ascii="Times New Roman" w:eastAsia="Times New Roman" w:hAnsi="Times New Roman" w:cs="Times New Roman"/>
          <w:i w:val="0"/>
          <w:sz w:val="28"/>
          <w:szCs w:val="28"/>
        </w:rPr>
        <w:t xml:space="preserve"> [38]</w:t>
      </w:r>
      <w:r w:rsidR="0096643A" w:rsidRPr="00C23A36">
        <w:rPr>
          <w:rStyle w:val="HTML"/>
          <w:rFonts w:ascii="Times New Roman" w:eastAsia="Times New Roman" w:hAnsi="Times New Roman" w:cs="Times New Roman"/>
          <w:sz w:val="28"/>
          <w:szCs w:val="28"/>
        </w:rPr>
        <w:t>,</w:t>
      </w:r>
      <w:r w:rsidRPr="00C23A36">
        <w:rPr>
          <w:rStyle w:val="HTML"/>
          <w:rFonts w:ascii="Times New Roman" w:eastAsia="Times New Roman" w:hAnsi="Times New Roman" w:cs="Times New Roman"/>
          <w:sz w:val="28"/>
          <w:szCs w:val="28"/>
        </w:rPr>
        <w:t xml:space="preserve"> </w:t>
      </w:r>
      <w:r w:rsidRPr="00C23A36">
        <w:rPr>
          <w:rStyle w:val="HTML"/>
          <w:rFonts w:ascii="Times New Roman" w:eastAsia="Times New Roman" w:hAnsi="Times New Roman" w:cs="Times New Roman"/>
          <w:i w:val="0"/>
          <w:sz w:val="28"/>
          <w:szCs w:val="28"/>
        </w:rPr>
        <w:t>ревматоїдний артрит</w:t>
      </w:r>
      <w:r w:rsidR="00C23A36">
        <w:rPr>
          <w:rStyle w:val="HTML"/>
          <w:rFonts w:ascii="Times New Roman" w:eastAsia="Times New Roman" w:hAnsi="Times New Roman" w:cs="Times New Roman"/>
          <w:i w:val="0"/>
          <w:sz w:val="28"/>
          <w:szCs w:val="28"/>
        </w:rPr>
        <w:t xml:space="preserve"> </w:t>
      </w:r>
      <w:r w:rsidR="0096643A" w:rsidRPr="00C23A36">
        <w:rPr>
          <w:rStyle w:val="HTML"/>
          <w:rFonts w:ascii="Times New Roman" w:eastAsia="Times New Roman" w:hAnsi="Times New Roman" w:cs="Times New Roman"/>
          <w:i w:val="0"/>
          <w:sz w:val="28"/>
          <w:szCs w:val="28"/>
        </w:rPr>
        <w:t>[39]</w:t>
      </w:r>
      <w:r w:rsidRPr="00C23A36">
        <w:rPr>
          <w:rStyle w:val="HTML"/>
          <w:rFonts w:ascii="Times New Roman" w:eastAsia="Times New Roman" w:hAnsi="Times New Roman" w:cs="Times New Roman"/>
          <w:sz w:val="28"/>
          <w:szCs w:val="28"/>
        </w:rPr>
        <w:t xml:space="preserve"> </w:t>
      </w:r>
      <w:r w:rsidRPr="00C23A36">
        <w:rPr>
          <w:rStyle w:val="HTML"/>
          <w:rFonts w:ascii="Times New Roman" w:eastAsia="Times New Roman" w:hAnsi="Times New Roman" w:cs="Times New Roman"/>
          <w:i w:val="0"/>
          <w:sz w:val="28"/>
          <w:szCs w:val="28"/>
        </w:rPr>
        <w:t>та системний червоний вовчак</w:t>
      </w:r>
      <w:r w:rsidRPr="00C23A36">
        <w:rPr>
          <w:rStyle w:val="HTML"/>
          <w:rFonts w:ascii="Times New Roman" w:eastAsia="Times New Roman" w:hAnsi="Times New Roman" w:cs="Times New Roman"/>
          <w:sz w:val="28"/>
          <w:szCs w:val="28"/>
        </w:rPr>
        <w:t xml:space="preserve"> </w:t>
      </w:r>
      <w:r w:rsidR="0096643A" w:rsidRPr="00C23A36">
        <w:rPr>
          <w:rStyle w:val="HTML"/>
          <w:rFonts w:ascii="Times New Roman" w:eastAsia="Times New Roman" w:hAnsi="Times New Roman" w:cs="Times New Roman"/>
          <w:i w:val="0"/>
          <w:sz w:val="28"/>
          <w:szCs w:val="28"/>
        </w:rPr>
        <w:t>[40]</w:t>
      </w:r>
      <w:r w:rsidRPr="00C23A36">
        <w:rPr>
          <w:rStyle w:val="HTML"/>
          <w:rFonts w:ascii="Times New Roman" w:eastAsia="Times New Roman" w:hAnsi="Times New Roman" w:cs="Times New Roman"/>
          <w:sz w:val="28"/>
          <w:szCs w:val="28"/>
        </w:rPr>
        <w:t xml:space="preserve"> </w:t>
      </w:r>
      <w:r w:rsidRPr="00C23A36">
        <w:rPr>
          <w:rStyle w:val="HTML"/>
          <w:rFonts w:ascii="Times New Roman" w:eastAsia="Times New Roman" w:hAnsi="Times New Roman" w:cs="Times New Roman"/>
          <w:i w:val="0"/>
          <w:sz w:val="28"/>
          <w:szCs w:val="28"/>
        </w:rPr>
        <w:t>шляхом секреції ІЛ-22.</w:t>
      </w:r>
    </w:p>
    <w:p w:rsidR="00361A00" w:rsidRPr="007F5722" w:rsidRDefault="00CE74C1" w:rsidP="00361A00">
      <w:pPr>
        <w:spacing w:after="0" w:line="360" w:lineRule="auto"/>
        <w:ind w:firstLine="708"/>
        <w:jc w:val="both"/>
        <w:rPr>
          <w:rFonts w:ascii="Times New Roman" w:eastAsia="Times New Roman" w:hAnsi="Times New Roman" w:cs="Times New Roman"/>
          <w:sz w:val="28"/>
          <w:szCs w:val="28"/>
        </w:rPr>
      </w:pPr>
      <w:r w:rsidRPr="007F5722">
        <w:rPr>
          <w:rStyle w:val="HTML"/>
          <w:rFonts w:ascii="Times New Roman" w:eastAsia="Times New Roman" w:hAnsi="Times New Roman" w:cs="Times New Roman"/>
          <w:i w:val="0"/>
          <w:sz w:val="28"/>
          <w:szCs w:val="28"/>
        </w:rPr>
        <w:t>ІЛ-22 є прозапальним цитокіном, що належить до сімейства ІЛ-10.</w:t>
      </w:r>
      <w:r w:rsidRPr="007F5722">
        <w:rPr>
          <w:rStyle w:val="HTML"/>
          <w:rFonts w:ascii="Times New Roman" w:eastAsia="Times New Roman" w:hAnsi="Times New Roman" w:cs="Times New Roman"/>
          <w:sz w:val="28"/>
          <w:szCs w:val="28"/>
        </w:rPr>
        <w:t xml:space="preserve"> </w:t>
      </w:r>
      <w:r w:rsidRPr="007F5722">
        <w:rPr>
          <w:rFonts w:ascii="Times New Roman" w:eastAsia="Times New Roman" w:hAnsi="Times New Roman" w:cs="Times New Roman"/>
          <w:sz w:val="28"/>
          <w:szCs w:val="28"/>
        </w:rPr>
        <w:t>До цього ж сімейства належать 6 членів, включаючи ІЛ-10, ІЛ-19, ІЛ-20, ІЛ-22, ІЛ-24 та ІЛ-26</w:t>
      </w:r>
      <w:r w:rsidR="006754BF" w:rsidRPr="007F5722">
        <w:rPr>
          <w:rFonts w:ascii="Times New Roman" w:eastAsia="Times New Roman" w:hAnsi="Times New Roman" w:cs="Times New Roman"/>
          <w:sz w:val="28"/>
          <w:szCs w:val="28"/>
        </w:rPr>
        <w:t xml:space="preserve"> [</w:t>
      </w:r>
      <w:r w:rsidR="006B441A" w:rsidRPr="007F5722">
        <w:rPr>
          <w:rFonts w:ascii="Times New Roman" w:eastAsia="Times New Roman" w:hAnsi="Times New Roman" w:cs="Times New Roman"/>
          <w:sz w:val="28"/>
          <w:szCs w:val="28"/>
        </w:rPr>
        <w:t>41</w:t>
      </w:r>
      <w:r w:rsidR="006754BF" w:rsidRPr="007F5722">
        <w:rPr>
          <w:rFonts w:ascii="Times New Roman" w:eastAsia="Times New Roman" w:hAnsi="Times New Roman" w:cs="Times New Roman"/>
          <w:sz w:val="28"/>
          <w:szCs w:val="28"/>
        </w:rPr>
        <w:t>]</w:t>
      </w:r>
      <w:r w:rsidR="006B441A" w:rsidRPr="007F5722">
        <w:rPr>
          <w:rFonts w:ascii="Times New Roman" w:eastAsia="Times New Roman" w:hAnsi="Times New Roman" w:cs="Times New Roman"/>
          <w:sz w:val="28"/>
          <w:szCs w:val="28"/>
        </w:rPr>
        <w:t>.</w:t>
      </w:r>
      <w:r w:rsidR="001C232B" w:rsidRPr="007F5722">
        <w:rPr>
          <w:rFonts w:ascii="Times New Roman" w:eastAsia="Times New Roman" w:hAnsi="Times New Roman" w:cs="Times New Roman"/>
          <w:sz w:val="28"/>
          <w:szCs w:val="28"/>
        </w:rPr>
        <w:t xml:space="preserve"> </w:t>
      </w:r>
      <w:r w:rsidRPr="007F5722">
        <w:rPr>
          <w:rStyle w:val="HTML"/>
          <w:rFonts w:ascii="Times New Roman" w:eastAsia="Times New Roman" w:hAnsi="Times New Roman" w:cs="Times New Roman"/>
          <w:i w:val="0"/>
          <w:sz w:val="28"/>
          <w:szCs w:val="28"/>
        </w:rPr>
        <w:t>ІЛ-10 є протизапальним цитокіном та його антигіпертензивну роль встановлено у низці досліджень</w:t>
      </w:r>
      <w:r w:rsidR="006B441A" w:rsidRPr="007F5722">
        <w:rPr>
          <w:rStyle w:val="HTML"/>
          <w:rFonts w:ascii="Times New Roman" w:eastAsia="Times New Roman" w:hAnsi="Times New Roman" w:cs="Times New Roman"/>
          <w:sz w:val="28"/>
          <w:szCs w:val="28"/>
        </w:rPr>
        <w:t xml:space="preserve"> </w:t>
      </w:r>
      <w:r w:rsidR="006B441A" w:rsidRPr="007F5722">
        <w:rPr>
          <w:rStyle w:val="HTML"/>
          <w:rFonts w:ascii="Times New Roman" w:eastAsia="Times New Roman" w:hAnsi="Times New Roman" w:cs="Times New Roman"/>
          <w:i w:val="0"/>
          <w:sz w:val="28"/>
          <w:szCs w:val="28"/>
        </w:rPr>
        <w:t>[42,43,44]</w:t>
      </w:r>
      <w:r w:rsidR="006B441A" w:rsidRPr="007F5722">
        <w:rPr>
          <w:rStyle w:val="HTML"/>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rPr>
        <w:t xml:space="preserve"> </w:t>
      </w:r>
      <w:r w:rsidRPr="007F5722">
        <w:rPr>
          <w:rStyle w:val="HTML"/>
          <w:rFonts w:ascii="Times New Roman" w:eastAsia="Times New Roman" w:hAnsi="Times New Roman" w:cs="Times New Roman"/>
          <w:i w:val="0"/>
          <w:sz w:val="28"/>
          <w:szCs w:val="28"/>
        </w:rPr>
        <w:t>ІЛ-19 – також є протизапальним, в той час як ІЛ-20 – це прозапальний цитокін. Хоча протективна роль ІЛ-19 та атерогенна роль ІЛ-20 була ідентифікована</w:t>
      </w:r>
      <w:r w:rsidR="006B441A" w:rsidRPr="007F5722">
        <w:rPr>
          <w:rStyle w:val="HTML"/>
          <w:rFonts w:ascii="Times New Roman" w:eastAsia="Times New Roman" w:hAnsi="Times New Roman" w:cs="Times New Roman"/>
          <w:sz w:val="28"/>
          <w:szCs w:val="28"/>
        </w:rPr>
        <w:t xml:space="preserve"> </w:t>
      </w:r>
      <w:r w:rsidR="006B441A" w:rsidRPr="007F5722">
        <w:rPr>
          <w:rStyle w:val="HTML"/>
          <w:rFonts w:ascii="Times New Roman" w:eastAsia="Times New Roman" w:hAnsi="Times New Roman" w:cs="Times New Roman"/>
          <w:i w:val="0"/>
          <w:sz w:val="28"/>
          <w:szCs w:val="28"/>
        </w:rPr>
        <w:t xml:space="preserve">[45, 46, 47], </w:t>
      </w:r>
      <w:r w:rsidRPr="007F5722">
        <w:rPr>
          <w:rStyle w:val="HTML"/>
          <w:rFonts w:ascii="Times New Roman" w:eastAsia="Times New Roman" w:hAnsi="Times New Roman" w:cs="Times New Roman"/>
          <w:i w:val="0"/>
          <w:sz w:val="28"/>
          <w:szCs w:val="28"/>
        </w:rPr>
        <w:t>значення цих інтерлейкінів у контексті гіпертензії залишається невідомим. ІЛ-24 секретується як імунними, так і неімунними клітинами. Lee та співавт встановили зниження ІЛ-24 у гіпертензивних щурів та його зростання п</w:t>
      </w:r>
      <w:r w:rsidR="00C23A36">
        <w:rPr>
          <w:rStyle w:val="HTML"/>
          <w:rFonts w:ascii="Times New Roman" w:eastAsia="Times New Roman" w:hAnsi="Times New Roman" w:cs="Times New Roman"/>
          <w:i w:val="0"/>
          <w:sz w:val="28"/>
          <w:szCs w:val="28"/>
        </w:rPr>
        <w:t>ісля антигіпертензивної терапії</w:t>
      </w:r>
      <w:r w:rsidR="006B441A" w:rsidRPr="007F5722">
        <w:rPr>
          <w:rStyle w:val="HTML"/>
          <w:rFonts w:ascii="Times New Roman" w:eastAsia="Times New Roman" w:hAnsi="Times New Roman" w:cs="Times New Roman"/>
          <w:sz w:val="28"/>
          <w:szCs w:val="28"/>
        </w:rPr>
        <w:t xml:space="preserve"> </w:t>
      </w:r>
      <w:r w:rsidR="006B441A" w:rsidRPr="007F5722">
        <w:rPr>
          <w:rStyle w:val="HTML"/>
          <w:rFonts w:ascii="Times New Roman" w:eastAsia="Times New Roman" w:hAnsi="Times New Roman" w:cs="Times New Roman"/>
          <w:i w:val="0"/>
          <w:sz w:val="28"/>
          <w:szCs w:val="28"/>
        </w:rPr>
        <w:t>[48]</w:t>
      </w:r>
      <w:r w:rsidRPr="007F5722">
        <w:rPr>
          <w:rStyle w:val="HTML"/>
          <w:rFonts w:ascii="Times New Roman" w:eastAsia="Times New Roman" w:hAnsi="Times New Roman" w:cs="Times New Roman"/>
          <w:sz w:val="28"/>
          <w:szCs w:val="28"/>
        </w:rPr>
        <w:t xml:space="preserve">. </w:t>
      </w:r>
      <w:r w:rsidRPr="007F5722">
        <w:rPr>
          <w:rStyle w:val="HTML"/>
          <w:rFonts w:ascii="Times New Roman" w:eastAsia="Times New Roman" w:hAnsi="Times New Roman" w:cs="Times New Roman"/>
          <w:i w:val="0"/>
          <w:sz w:val="28"/>
          <w:szCs w:val="28"/>
        </w:rPr>
        <w:t xml:space="preserve">В додаток введення ІЛ-24 пом’якшує </w:t>
      </w:r>
      <w:r w:rsidRPr="007F5722">
        <w:rPr>
          <w:rStyle w:val="HTML"/>
          <w:rFonts w:ascii="Times New Roman" w:eastAsia="Times New Roman" w:hAnsi="Times New Roman" w:cs="Times New Roman"/>
          <w:i w:val="0"/>
          <w:sz w:val="28"/>
          <w:szCs w:val="28"/>
        </w:rPr>
        <w:lastRenderedPageBreak/>
        <w:t>вираженність судинного запаленя та зв’язанних з гіпертензією генів у судинних глад</w:t>
      </w:r>
      <w:r w:rsidR="00D62BAF" w:rsidRPr="007F5722">
        <w:rPr>
          <w:rStyle w:val="HTML"/>
          <w:rFonts w:ascii="Times New Roman" w:eastAsia="Times New Roman" w:hAnsi="Times New Roman" w:cs="Times New Roman"/>
          <w:i w:val="0"/>
          <w:sz w:val="28"/>
          <w:szCs w:val="28"/>
        </w:rPr>
        <w:t>ко</w:t>
      </w:r>
      <w:r w:rsidRPr="007F5722">
        <w:rPr>
          <w:rStyle w:val="HTML"/>
          <w:rFonts w:ascii="Times New Roman" w:eastAsia="Times New Roman" w:hAnsi="Times New Roman" w:cs="Times New Roman"/>
          <w:i w:val="0"/>
          <w:sz w:val="28"/>
          <w:szCs w:val="28"/>
        </w:rPr>
        <w:t>м</w:t>
      </w:r>
      <w:r w:rsidR="00D62BAF" w:rsidRPr="007F5722">
        <w:rPr>
          <w:rStyle w:val="HTML"/>
          <w:rFonts w:ascii="Times New Roman" w:eastAsia="Times New Roman" w:hAnsi="Times New Roman" w:cs="Times New Roman"/>
          <w:i w:val="0"/>
          <w:sz w:val="28"/>
          <w:szCs w:val="28"/>
        </w:rPr>
        <w:t>’</w:t>
      </w:r>
      <w:r w:rsidRPr="007F5722">
        <w:rPr>
          <w:rStyle w:val="HTML"/>
          <w:rFonts w:ascii="Times New Roman" w:eastAsia="Times New Roman" w:hAnsi="Times New Roman" w:cs="Times New Roman"/>
          <w:i w:val="0"/>
          <w:sz w:val="28"/>
          <w:szCs w:val="28"/>
        </w:rPr>
        <w:t>язових клітинах, що визначає ІЛ-24 як новітню терапевтичну мішень при гіпертензії.</w:t>
      </w:r>
      <w:r w:rsidR="00D62BAF" w:rsidRPr="007F5722">
        <w:rPr>
          <w:rStyle w:val="HTML"/>
          <w:rFonts w:ascii="Times New Roman" w:eastAsia="Times New Roman" w:hAnsi="Times New Roman" w:cs="Times New Roman"/>
          <w:i w:val="0"/>
          <w:sz w:val="28"/>
          <w:szCs w:val="28"/>
        </w:rPr>
        <w:t xml:space="preserve"> ІЛ-26 – прозапальний цитокін</w:t>
      </w:r>
      <w:r w:rsidRPr="007F5722">
        <w:rPr>
          <w:rStyle w:val="HTML"/>
          <w:rFonts w:ascii="Times New Roman" w:eastAsia="Times New Roman" w:hAnsi="Times New Roman" w:cs="Times New Roman"/>
          <w:i w:val="0"/>
          <w:sz w:val="28"/>
          <w:szCs w:val="28"/>
        </w:rPr>
        <w:t>, що в основному секретується</w:t>
      </w:r>
      <w:r w:rsidRPr="007F5722">
        <w:rPr>
          <w:rStyle w:val="HTML"/>
          <w:rFonts w:ascii="Times New Roman" w:eastAsia="Times New Roman" w:hAnsi="Times New Roman" w:cs="Times New Roman"/>
          <w:sz w:val="28"/>
          <w:szCs w:val="28"/>
        </w:rPr>
        <w:t xml:space="preserve"> </w:t>
      </w:r>
      <w:r w:rsidRPr="007F5722">
        <w:rPr>
          <w:rFonts w:ascii="Times New Roman" w:eastAsia="Times New Roman" w:hAnsi="Times New Roman" w:cs="Times New Roman"/>
          <w:spacing w:val="3"/>
          <w:sz w:val="28"/>
          <w:szCs w:val="28"/>
          <w:shd w:val="clear" w:color="auto" w:fill="FFFFFF"/>
        </w:rPr>
        <w:t xml:space="preserve">Th 17 клітинами, відіграє патогенетичну роль при гіпертензії шляхом регуляції відповіді Th 17-типу та промотуючи продукцію прозапальних цитокінів </w:t>
      </w:r>
      <w:r w:rsidR="00361A00" w:rsidRPr="007F5722">
        <w:rPr>
          <w:rFonts w:ascii="Times New Roman" w:eastAsia="Times New Roman" w:hAnsi="Times New Roman" w:cs="Times New Roman"/>
          <w:spacing w:val="3"/>
          <w:sz w:val="28"/>
          <w:szCs w:val="28"/>
          <w:shd w:val="clear" w:color="auto" w:fill="FFFFFF"/>
        </w:rPr>
        <w:t>[49]</w:t>
      </w:r>
      <w:r w:rsidRPr="007F5722">
        <w:rPr>
          <w:rStyle w:val="HTML"/>
          <w:rFonts w:ascii="Times New Roman" w:eastAsia="Times New Roman" w:hAnsi="Times New Roman" w:cs="Times New Roman"/>
          <w:sz w:val="28"/>
          <w:szCs w:val="28"/>
        </w:rPr>
        <w:t>.</w:t>
      </w:r>
    </w:p>
    <w:p w:rsidR="009E2C4A" w:rsidRPr="007F5722" w:rsidRDefault="00CE74C1" w:rsidP="009E2C4A">
      <w:pPr>
        <w:spacing w:after="0" w:line="360" w:lineRule="auto"/>
        <w:ind w:firstLine="708"/>
        <w:jc w:val="both"/>
        <w:rPr>
          <w:rFonts w:ascii="Times New Roman" w:eastAsia="Times New Roman" w:hAnsi="Times New Roman" w:cs="Times New Roman"/>
          <w:sz w:val="28"/>
          <w:szCs w:val="28"/>
        </w:rPr>
      </w:pPr>
      <w:r w:rsidRPr="007F5722">
        <w:rPr>
          <w:rFonts w:ascii="Times New Roman" w:eastAsia="Times New Roman" w:hAnsi="Times New Roman" w:cs="Times New Roman"/>
          <w:spacing w:val="3"/>
          <w:sz w:val="28"/>
          <w:szCs w:val="28"/>
          <w:shd w:val="clear" w:color="auto" w:fill="FFFFFF"/>
        </w:rPr>
        <w:t xml:space="preserve">ІЛ-22 секретують низка типів клітин, включаючи активовані </w:t>
      </w:r>
      <w:r w:rsidR="00361A00" w:rsidRPr="007F5722">
        <w:rPr>
          <w:rFonts w:ascii="Times New Roman" w:eastAsia="Times New Roman" w:hAnsi="Times New Roman" w:cs="Times New Roman"/>
          <w:color w:val="222222"/>
          <w:spacing w:val="3"/>
          <w:sz w:val="28"/>
          <w:szCs w:val="28"/>
          <w:shd w:val="clear" w:color="auto" w:fill="FFFFFF"/>
        </w:rPr>
        <w:t xml:space="preserve">Th </w:t>
      </w:r>
      <w:r w:rsidR="00361A00" w:rsidRPr="00C23A36">
        <w:rPr>
          <w:rFonts w:ascii="Times New Roman" w:eastAsia="Times New Roman" w:hAnsi="Times New Roman" w:cs="Times New Roman"/>
          <w:spacing w:val="3"/>
          <w:sz w:val="28"/>
          <w:szCs w:val="28"/>
          <w:shd w:val="clear" w:color="auto" w:fill="FFFFFF"/>
        </w:rPr>
        <w:t xml:space="preserve">1 клітини, </w:t>
      </w:r>
      <w:r w:rsidRPr="00C23A36">
        <w:rPr>
          <w:rFonts w:ascii="Times New Roman" w:eastAsia="Times New Roman" w:hAnsi="Times New Roman" w:cs="Times New Roman"/>
          <w:spacing w:val="3"/>
          <w:sz w:val="28"/>
          <w:szCs w:val="28"/>
          <w:shd w:val="clear" w:color="auto" w:fill="FFFFFF"/>
        </w:rPr>
        <w:t>Th 17 кліти</w:t>
      </w:r>
      <w:r w:rsidR="00361A00" w:rsidRPr="00C23A36">
        <w:rPr>
          <w:rFonts w:ascii="Times New Roman" w:eastAsia="Times New Roman" w:hAnsi="Times New Roman" w:cs="Times New Roman"/>
          <w:spacing w:val="3"/>
          <w:sz w:val="28"/>
          <w:szCs w:val="28"/>
          <w:shd w:val="clear" w:color="auto" w:fill="FFFFFF"/>
        </w:rPr>
        <w:t xml:space="preserve">ни, Th 22 клітини, NK клітини, </w:t>
      </w:r>
      <w:r w:rsidRPr="00C23A36">
        <w:rPr>
          <w:rFonts w:ascii="Times New Roman" w:eastAsia="Times New Roman" w:hAnsi="Times New Roman" w:cs="Times New Roman"/>
          <w:spacing w:val="3"/>
          <w:sz w:val="28"/>
          <w:szCs w:val="28"/>
          <w:shd w:val="clear" w:color="auto" w:fill="FFFFFF"/>
        </w:rPr>
        <w:t xml:space="preserve">Th 22 клітини при цьому є критичним ресурсом ІЛ-22 на пізніх стадіях запалення </w:t>
      </w:r>
      <w:r w:rsidR="00361A00" w:rsidRPr="00C23A36">
        <w:rPr>
          <w:rFonts w:ascii="Times New Roman" w:eastAsia="Times New Roman" w:hAnsi="Times New Roman" w:cs="Times New Roman"/>
          <w:spacing w:val="3"/>
          <w:sz w:val="28"/>
          <w:szCs w:val="28"/>
          <w:shd w:val="clear" w:color="auto" w:fill="FFFFFF"/>
        </w:rPr>
        <w:t>[50, 51].</w:t>
      </w:r>
      <w:r w:rsidRPr="007F5722">
        <w:rPr>
          <w:rStyle w:val="HTML"/>
          <w:rFonts w:ascii="Times New Roman" w:eastAsia="Times New Roman" w:hAnsi="Times New Roman" w:cs="Times New Roman"/>
          <w:b/>
          <w:sz w:val="28"/>
          <w:szCs w:val="28"/>
        </w:rPr>
        <w:t xml:space="preserve"> </w:t>
      </w:r>
      <w:r w:rsidRPr="007F5722">
        <w:rPr>
          <w:rStyle w:val="HTML"/>
          <w:rFonts w:ascii="Times New Roman" w:eastAsia="Times New Roman" w:hAnsi="Times New Roman" w:cs="Times New Roman"/>
          <w:i w:val="0"/>
          <w:sz w:val="28"/>
          <w:szCs w:val="28"/>
        </w:rPr>
        <w:t>Активність ІЛ-22 зростає при багатьох хронічних та аутоіммунних захворюваннях та точна роль залежить від специфічного запального мікрооточення. Протективну роль ІЛ-22 відзначено в експериментальних моделях міокардиту</w:t>
      </w:r>
      <w:r w:rsidR="007B719C" w:rsidRPr="007F5722">
        <w:rPr>
          <w:rStyle w:val="HTML"/>
          <w:rFonts w:ascii="Times New Roman" w:eastAsia="Times New Roman" w:hAnsi="Times New Roman" w:cs="Times New Roman"/>
          <w:b/>
          <w:sz w:val="28"/>
          <w:szCs w:val="28"/>
        </w:rPr>
        <w:t xml:space="preserve"> </w:t>
      </w:r>
      <w:r w:rsidR="007B719C" w:rsidRPr="007F5722">
        <w:rPr>
          <w:rStyle w:val="HTML"/>
          <w:rFonts w:ascii="Times New Roman" w:eastAsia="Times New Roman" w:hAnsi="Times New Roman" w:cs="Times New Roman"/>
          <w:i w:val="0"/>
          <w:sz w:val="28"/>
          <w:szCs w:val="28"/>
        </w:rPr>
        <w:t>[52]</w:t>
      </w:r>
      <w:r w:rsidRPr="007F5722">
        <w:rPr>
          <w:rStyle w:val="HTML"/>
          <w:rFonts w:ascii="Times New Roman" w:eastAsia="Times New Roman" w:hAnsi="Times New Roman" w:cs="Times New Roman"/>
          <w:b/>
          <w:sz w:val="28"/>
          <w:szCs w:val="28"/>
        </w:rPr>
        <w:t xml:space="preserve">, </w:t>
      </w:r>
      <w:r w:rsidRPr="007F5722">
        <w:rPr>
          <w:rStyle w:val="HTML"/>
          <w:rFonts w:ascii="Times New Roman" w:eastAsia="Times New Roman" w:hAnsi="Times New Roman" w:cs="Times New Roman"/>
          <w:i w:val="0"/>
          <w:sz w:val="28"/>
          <w:szCs w:val="28"/>
        </w:rPr>
        <w:t>в той час як патогенетичну роль ІЛ-22 продемостровано при атеросклерозі</w:t>
      </w:r>
      <w:r w:rsidR="007B719C" w:rsidRPr="007F5722">
        <w:rPr>
          <w:rStyle w:val="HTML"/>
          <w:rFonts w:ascii="Times New Roman" w:eastAsia="Times New Roman" w:hAnsi="Times New Roman" w:cs="Times New Roman"/>
          <w:i w:val="0"/>
          <w:sz w:val="28"/>
          <w:szCs w:val="28"/>
        </w:rPr>
        <w:t xml:space="preserve"> [53]</w:t>
      </w:r>
      <w:r w:rsidRPr="007F5722">
        <w:rPr>
          <w:rStyle w:val="HTML"/>
          <w:rFonts w:ascii="Times New Roman" w:eastAsia="Times New Roman" w:hAnsi="Times New Roman" w:cs="Times New Roman"/>
          <w:i w:val="0"/>
          <w:sz w:val="28"/>
          <w:szCs w:val="28"/>
        </w:rPr>
        <w:t>.</w:t>
      </w:r>
      <w:r w:rsidRPr="007F5722">
        <w:rPr>
          <w:rStyle w:val="HTML"/>
          <w:rFonts w:ascii="Times New Roman" w:eastAsia="Times New Roman" w:hAnsi="Times New Roman" w:cs="Times New Roman"/>
          <w:b/>
          <w:sz w:val="28"/>
          <w:szCs w:val="28"/>
        </w:rPr>
        <w:t xml:space="preserve"> </w:t>
      </w:r>
      <w:r w:rsidRPr="007F5722">
        <w:rPr>
          <w:rStyle w:val="HTML"/>
          <w:rFonts w:ascii="Times New Roman" w:eastAsia="Times New Roman" w:hAnsi="Times New Roman" w:cs="Times New Roman"/>
          <w:i w:val="0"/>
          <w:sz w:val="28"/>
          <w:szCs w:val="28"/>
        </w:rPr>
        <w:t>Оскільки невідомими залишалася роль ІЛ-22 при гіпе</w:t>
      </w:r>
      <w:r w:rsidR="007B719C" w:rsidRPr="007F5722">
        <w:rPr>
          <w:rStyle w:val="HTML"/>
          <w:rFonts w:ascii="Times New Roman" w:eastAsia="Times New Roman" w:hAnsi="Times New Roman" w:cs="Times New Roman"/>
          <w:i w:val="0"/>
          <w:sz w:val="28"/>
          <w:szCs w:val="28"/>
        </w:rPr>
        <w:t>ртензії</w:t>
      </w:r>
      <w:r w:rsidRPr="007F5722">
        <w:rPr>
          <w:rStyle w:val="HTML"/>
          <w:rFonts w:ascii="Times New Roman" w:eastAsia="Times New Roman" w:hAnsi="Times New Roman" w:cs="Times New Roman"/>
          <w:i w:val="0"/>
          <w:sz w:val="28"/>
          <w:szCs w:val="28"/>
        </w:rPr>
        <w:t>, було проведено експериментальне дослідження його ефектів при ангіотензин II-індукованій гіпертензії</w:t>
      </w:r>
      <w:r w:rsidR="007B719C" w:rsidRPr="007F5722">
        <w:rPr>
          <w:rStyle w:val="HTML"/>
          <w:rFonts w:ascii="Times New Roman" w:eastAsia="Times New Roman" w:hAnsi="Times New Roman" w:cs="Times New Roman"/>
          <w:b/>
          <w:sz w:val="28"/>
          <w:szCs w:val="28"/>
        </w:rPr>
        <w:t xml:space="preserve"> </w:t>
      </w:r>
      <w:r w:rsidR="007B719C" w:rsidRPr="007F5722">
        <w:rPr>
          <w:rStyle w:val="HTML"/>
          <w:rFonts w:ascii="Times New Roman" w:eastAsia="Times New Roman" w:hAnsi="Times New Roman" w:cs="Times New Roman"/>
          <w:i w:val="0"/>
          <w:sz w:val="28"/>
          <w:szCs w:val="28"/>
        </w:rPr>
        <w:t>[54].</w:t>
      </w:r>
    </w:p>
    <w:p w:rsidR="009E2C4A" w:rsidRPr="007F5722" w:rsidRDefault="00CE74C1" w:rsidP="009E2C4A">
      <w:pPr>
        <w:spacing w:after="0" w:line="360" w:lineRule="auto"/>
        <w:ind w:firstLine="708"/>
        <w:jc w:val="both"/>
        <w:rPr>
          <w:rStyle w:val="HTML"/>
          <w:rFonts w:ascii="Times New Roman" w:eastAsia="Times New Roman" w:hAnsi="Times New Roman" w:cs="Times New Roman"/>
          <w:color w:val="000000"/>
          <w:sz w:val="28"/>
          <w:szCs w:val="28"/>
        </w:rPr>
      </w:pPr>
      <w:r w:rsidRPr="007F5722">
        <w:rPr>
          <w:rFonts w:ascii="Times New Roman" w:eastAsia="Times New Roman" w:hAnsi="Times New Roman" w:cs="Times New Roman"/>
          <w:sz w:val="28"/>
          <w:szCs w:val="28"/>
        </w:rPr>
        <w:t>Запалення відіграє критичну роль при гіпертензії. Значна кількість запальних медіаторів, таких як ІФН-γ, ІЛ-17, ІЛ-1β, ІЛ-6 та ФНП-α, які суттєво сприяють розвитку гіпертензії та ураженню органів-мішеней в моделях гіпертензії</w:t>
      </w:r>
      <w:r w:rsidR="009E2C4A" w:rsidRPr="007F5722">
        <w:rPr>
          <w:rFonts w:ascii="Times New Roman" w:eastAsia="Times New Roman" w:hAnsi="Times New Roman" w:cs="Times New Roman"/>
          <w:sz w:val="28"/>
          <w:szCs w:val="28"/>
        </w:rPr>
        <w:t xml:space="preserve"> [55, 56, 57, 58]</w:t>
      </w:r>
      <w:r w:rsidRPr="007F5722">
        <w:rPr>
          <w:rStyle w:val="HTML"/>
          <w:rFonts w:ascii="Times New Roman" w:eastAsia="Times New Roman" w:hAnsi="Times New Roman" w:cs="Times New Roman"/>
          <w:color w:val="000000"/>
          <w:sz w:val="28"/>
          <w:szCs w:val="28"/>
        </w:rPr>
        <w:t>.</w:t>
      </w:r>
    </w:p>
    <w:p w:rsidR="009E2C4A" w:rsidRPr="007F5722" w:rsidRDefault="00CE74C1" w:rsidP="009E2C4A">
      <w:pPr>
        <w:spacing w:after="0" w:line="360" w:lineRule="auto"/>
        <w:ind w:firstLine="708"/>
        <w:jc w:val="both"/>
        <w:rPr>
          <w:rFonts w:ascii="Times New Roman" w:eastAsia="Times New Roman" w:hAnsi="Times New Roman" w:cs="Times New Roman"/>
          <w:sz w:val="28"/>
          <w:szCs w:val="28"/>
        </w:rPr>
      </w:pPr>
      <w:r w:rsidRPr="007F5722">
        <w:rPr>
          <w:rFonts w:ascii="Times New Roman" w:eastAsia="Times New Roman" w:hAnsi="Times New Roman" w:cs="Times New Roman"/>
          <w:color w:val="000000"/>
          <w:sz w:val="28"/>
          <w:szCs w:val="28"/>
        </w:rPr>
        <w:t>Зібрано докази, що демонструють, що ІЛ-22 підвищує експресію ІЛ-1β, ІЛ-6 та ІЛ-17, що підтверджує той факт, що ІЛ-22 може бути залучено до регуляції рівня АТ через індукцію продукції цих запальних медіаторів. В експериментальній моделі ангіотензин II-індукованої гіпертензії у мишей було показано, що ІЛ-22 підвищує продукцію ІЛ-1β, ІЛ-6, ІЛ-17, ФНП-α, та інших медіаторів запалення, в той час як введення анти-ІЛ-22 mAb значно знижував рівень цих медіаторів. Разом ці результ</w:t>
      </w:r>
      <w:r w:rsidR="009E2C4A" w:rsidRPr="007F5722">
        <w:rPr>
          <w:rFonts w:ascii="Times New Roman" w:eastAsia="Times New Roman" w:hAnsi="Times New Roman" w:cs="Times New Roman"/>
          <w:color w:val="000000"/>
          <w:sz w:val="28"/>
          <w:szCs w:val="28"/>
        </w:rPr>
        <w:t>ати свідчать про те, що ІЛ-22 має</w:t>
      </w:r>
      <w:r w:rsidRPr="007F5722">
        <w:rPr>
          <w:rFonts w:ascii="Times New Roman" w:eastAsia="Times New Roman" w:hAnsi="Times New Roman" w:cs="Times New Roman"/>
          <w:color w:val="000000"/>
          <w:sz w:val="28"/>
          <w:szCs w:val="28"/>
        </w:rPr>
        <w:t xml:space="preserve"> бути залучено до гіпертензії через посилення запальної відповіді в експерименті </w:t>
      </w:r>
      <w:r w:rsidR="009E2C4A" w:rsidRPr="007F5722">
        <w:rPr>
          <w:rFonts w:ascii="Times New Roman" w:eastAsia="Times New Roman" w:hAnsi="Times New Roman" w:cs="Times New Roman"/>
          <w:color w:val="000000"/>
          <w:sz w:val="28"/>
          <w:szCs w:val="28"/>
        </w:rPr>
        <w:t>[54].</w:t>
      </w:r>
    </w:p>
    <w:p w:rsidR="009E2C4A" w:rsidRPr="007F5722" w:rsidRDefault="00CE74C1" w:rsidP="009E2C4A">
      <w:pPr>
        <w:spacing w:after="0" w:line="360" w:lineRule="auto"/>
        <w:ind w:firstLine="708"/>
        <w:jc w:val="both"/>
        <w:rPr>
          <w:rFonts w:ascii="Times New Roman" w:eastAsia="Times New Roman" w:hAnsi="Times New Roman" w:cs="Times New Roman"/>
          <w:bCs/>
          <w:sz w:val="28"/>
          <w:szCs w:val="28"/>
        </w:rPr>
      </w:pPr>
      <w:r w:rsidRPr="007F5722">
        <w:rPr>
          <w:rFonts w:ascii="Times New Roman" w:hAnsi="Times New Roman" w:cs="Times New Roman"/>
          <w:sz w:val="28"/>
          <w:szCs w:val="28"/>
        </w:rPr>
        <w:lastRenderedPageBreak/>
        <w:t xml:space="preserve">Існує достатньо доказів про те, що ендотеліальна дисфункція викликає підвищення рівня АТ та слугує містком між ангіотензином </w:t>
      </w:r>
      <w:r w:rsidRPr="007F5722">
        <w:rPr>
          <w:rFonts w:ascii="Times New Roman" w:eastAsia="Times New Roman" w:hAnsi="Times New Roman" w:cs="Times New Roman"/>
          <w:bCs/>
          <w:sz w:val="28"/>
          <w:szCs w:val="28"/>
        </w:rPr>
        <w:t xml:space="preserve">II та гіпертензією </w:t>
      </w:r>
      <w:r w:rsidR="009E2C4A" w:rsidRPr="007F5722">
        <w:rPr>
          <w:rFonts w:ascii="Times New Roman" w:eastAsia="Times New Roman" w:hAnsi="Times New Roman" w:cs="Times New Roman"/>
          <w:bCs/>
          <w:sz w:val="28"/>
          <w:szCs w:val="28"/>
        </w:rPr>
        <w:t>[59, 60, 61].</w:t>
      </w:r>
    </w:p>
    <w:p w:rsidR="009E2C4A" w:rsidRPr="007F5722" w:rsidRDefault="00CE74C1" w:rsidP="009E2C4A">
      <w:pPr>
        <w:spacing w:after="0" w:line="360" w:lineRule="auto"/>
        <w:ind w:firstLine="708"/>
        <w:jc w:val="both"/>
        <w:rPr>
          <w:rFonts w:ascii="Times New Roman" w:eastAsia="Times New Roman" w:hAnsi="Times New Roman" w:cs="Times New Roman"/>
          <w:sz w:val="28"/>
          <w:szCs w:val="28"/>
        </w:rPr>
      </w:pPr>
      <w:r w:rsidRPr="007F5722">
        <w:rPr>
          <w:rStyle w:val="HTML"/>
          <w:rFonts w:ascii="Times New Roman" w:eastAsia="Times New Roman" w:hAnsi="Times New Roman" w:cs="Times New Roman"/>
          <w:i w:val="0"/>
          <w:color w:val="000000"/>
          <w:sz w:val="28"/>
          <w:szCs w:val="28"/>
        </w:rPr>
        <w:t>Пр</w:t>
      </w:r>
      <w:r w:rsidR="00C23A36">
        <w:rPr>
          <w:rStyle w:val="HTML"/>
          <w:rFonts w:ascii="Times New Roman" w:eastAsia="Times New Roman" w:hAnsi="Times New Roman" w:cs="Times New Roman"/>
          <w:i w:val="0"/>
          <w:color w:val="000000"/>
          <w:sz w:val="28"/>
          <w:szCs w:val="28"/>
        </w:rPr>
        <w:t>и експериментальному дослідженні</w:t>
      </w:r>
      <w:r w:rsidRPr="007F5722">
        <w:rPr>
          <w:rStyle w:val="HTML"/>
          <w:rFonts w:ascii="Times New Roman" w:eastAsia="Times New Roman" w:hAnsi="Times New Roman" w:cs="Times New Roman"/>
          <w:i w:val="0"/>
          <w:color w:val="000000"/>
          <w:sz w:val="28"/>
          <w:szCs w:val="28"/>
        </w:rPr>
        <w:t xml:space="preserve"> ролі ІЛ-22 у регуляції ендотеліальної функції, показано, що ІЛ-22 є промотором ефектів ангіотензину II на ендотелій залежну та –незалежну релаксацію. Отже, не виключено, що ІЛ-22 може підвищувати рівень АТ шляхом порушення ендотеліальної функції </w:t>
      </w:r>
      <w:r w:rsidR="009E2C4A" w:rsidRPr="007F5722">
        <w:rPr>
          <w:rStyle w:val="HTML"/>
          <w:rFonts w:ascii="Times New Roman" w:eastAsia="Times New Roman" w:hAnsi="Times New Roman" w:cs="Times New Roman"/>
          <w:i w:val="0"/>
          <w:color w:val="000000"/>
          <w:sz w:val="28"/>
          <w:szCs w:val="28"/>
        </w:rPr>
        <w:t>[54].</w:t>
      </w:r>
    </w:p>
    <w:p w:rsidR="009E2C4A" w:rsidRPr="007F5722" w:rsidRDefault="00CE74C1" w:rsidP="009E2C4A">
      <w:pPr>
        <w:spacing w:after="0" w:line="360" w:lineRule="auto"/>
        <w:ind w:firstLine="708"/>
        <w:jc w:val="both"/>
        <w:rPr>
          <w:rFonts w:ascii="Times New Roman" w:eastAsia="Times New Roman" w:hAnsi="Times New Roman" w:cs="Times New Roman"/>
          <w:sz w:val="28"/>
          <w:szCs w:val="28"/>
        </w:rPr>
      </w:pPr>
      <w:r w:rsidRPr="007F5722">
        <w:rPr>
          <w:rFonts w:ascii="Times New Roman" w:eastAsia="Times New Roman" w:hAnsi="Times New Roman" w:cs="Times New Roman"/>
          <w:color w:val="000000"/>
          <w:sz w:val="28"/>
          <w:szCs w:val="28"/>
        </w:rPr>
        <w:t xml:space="preserve">При досліджені рівня ІЛ-22 у </w:t>
      </w:r>
      <w:r w:rsidR="007F68E5">
        <w:rPr>
          <w:rFonts w:ascii="Times New Roman" w:eastAsia="Times New Roman" w:hAnsi="Times New Roman" w:cs="Times New Roman"/>
          <w:color w:val="000000"/>
          <w:sz w:val="28"/>
          <w:szCs w:val="28"/>
        </w:rPr>
        <w:t>плазмі</w:t>
      </w:r>
      <w:r w:rsidRPr="007F5722">
        <w:rPr>
          <w:rFonts w:ascii="Times New Roman" w:eastAsia="Times New Roman" w:hAnsi="Times New Roman" w:cs="Times New Roman"/>
          <w:color w:val="000000"/>
          <w:sz w:val="28"/>
          <w:szCs w:val="28"/>
        </w:rPr>
        <w:t xml:space="preserve"> крові нормотензивних осіб та хворих на ГХ встановлено статистично достовірне підвищення інтерлейкіну у гіпертензивних хворих порівняно з нормотензивними особами. Виявлено позитивні кореляційні зв’язки між ІЛ-22 та рівнем САТ, </w:t>
      </w:r>
      <w:r w:rsidR="005F5E33">
        <w:rPr>
          <w:rFonts w:ascii="Times New Roman" w:eastAsia="Times New Roman" w:hAnsi="Times New Roman" w:cs="Times New Roman"/>
          <w:color w:val="000000"/>
          <w:sz w:val="28"/>
          <w:szCs w:val="28"/>
        </w:rPr>
        <w:t>диастолічного артеріального тиску (</w:t>
      </w:r>
      <w:r w:rsidRPr="007F5722">
        <w:rPr>
          <w:rFonts w:ascii="Times New Roman" w:eastAsia="Times New Roman" w:hAnsi="Times New Roman" w:cs="Times New Roman"/>
          <w:color w:val="000000"/>
          <w:sz w:val="28"/>
          <w:szCs w:val="28"/>
        </w:rPr>
        <w:t>ДАТ</w:t>
      </w:r>
      <w:r w:rsidR="005F5E33">
        <w:rPr>
          <w:rFonts w:ascii="Times New Roman" w:eastAsia="Times New Roman" w:hAnsi="Times New Roman" w:cs="Times New Roman"/>
          <w:color w:val="000000"/>
          <w:sz w:val="28"/>
          <w:szCs w:val="28"/>
        </w:rPr>
        <w:t>)</w:t>
      </w:r>
      <w:r w:rsidRPr="007F5722">
        <w:rPr>
          <w:rFonts w:ascii="Times New Roman" w:eastAsia="Times New Roman" w:hAnsi="Times New Roman" w:cs="Times New Roman"/>
          <w:color w:val="000000"/>
          <w:sz w:val="28"/>
          <w:szCs w:val="28"/>
        </w:rPr>
        <w:t xml:space="preserve">. Ці результати підтверджують </w:t>
      </w:r>
      <w:r w:rsidR="00D62BAF" w:rsidRPr="007F5722">
        <w:rPr>
          <w:rFonts w:ascii="Times New Roman" w:eastAsia="Times New Roman" w:hAnsi="Times New Roman" w:cs="Times New Roman"/>
          <w:color w:val="000000"/>
          <w:sz w:val="28"/>
          <w:szCs w:val="28"/>
        </w:rPr>
        <w:t>експериментальні</w:t>
      </w:r>
      <w:r w:rsidRPr="007F5722">
        <w:rPr>
          <w:rFonts w:ascii="Times New Roman" w:eastAsia="Times New Roman" w:hAnsi="Times New Roman" w:cs="Times New Roman"/>
          <w:color w:val="000000"/>
          <w:sz w:val="28"/>
          <w:szCs w:val="28"/>
        </w:rPr>
        <w:t xml:space="preserve"> дані та свідчать про щільний </w:t>
      </w:r>
      <w:r w:rsidR="00D62BAF" w:rsidRPr="007F5722">
        <w:rPr>
          <w:rFonts w:ascii="Times New Roman" w:eastAsia="Times New Roman" w:hAnsi="Times New Roman" w:cs="Times New Roman"/>
          <w:color w:val="000000"/>
          <w:sz w:val="28"/>
          <w:szCs w:val="28"/>
        </w:rPr>
        <w:t>взаємозв’язок</w:t>
      </w:r>
      <w:r w:rsidRPr="007F5722">
        <w:rPr>
          <w:rFonts w:ascii="Times New Roman" w:eastAsia="Times New Roman" w:hAnsi="Times New Roman" w:cs="Times New Roman"/>
          <w:color w:val="000000"/>
          <w:sz w:val="28"/>
          <w:szCs w:val="28"/>
        </w:rPr>
        <w:t xml:space="preserve"> між ІЛ-22 та гіпертензією. Однак, дослідники зазначають, що кількість зразків, що взяті у пацієнтів є недостатньою, також не враховано такі типи гіпертензії, як гіпертензія білого халату, погано контрольована гіпертензія, добре контрольована гіпертензія</w:t>
      </w:r>
      <w:r w:rsidR="009E2C4A" w:rsidRPr="007F5722">
        <w:rPr>
          <w:rFonts w:ascii="Times New Roman" w:eastAsia="Times New Roman" w:hAnsi="Times New Roman" w:cs="Times New Roman"/>
          <w:color w:val="000000"/>
          <w:sz w:val="28"/>
          <w:szCs w:val="28"/>
        </w:rPr>
        <w:t xml:space="preserve"> [54].</w:t>
      </w:r>
    </w:p>
    <w:p w:rsidR="00CE74C1" w:rsidRPr="007F5722" w:rsidRDefault="00CE74C1" w:rsidP="009E2C4A">
      <w:pPr>
        <w:spacing w:after="0" w:line="360" w:lineRule="auto"/>
        <w:ind w:firstLine="708"/>
        <w:jc w:val="both"/>
        <w:rPr>
          <w:rFonts w:ascii="Times New Roman" w:eastAsia="Times New Roman" w:hAnsi="Times New Roman" w:cs="Times New Roman"/>
          <w:sz w:val="28"/>
          <w:szCs w:val="28"/>
        </w:rPr>
      </w:pPr>
      <w:r w:rsidRPr="007F5722">
        <w:rPr>
          <w:rFonts w:ascii="Times New Roman" w:eastAsia="Times New Roman" w:hAnsi="Times New Roman" w:cs="Times New Roman"/>
          <w:color w:val="000000"/>
          <w:sz w:val="28"/>
          <w:szCs w:val="28"/>
        </w:rPr>
        <w:t>Підсумовуючи результати дослідження, автори зазначили, що вперше було продемонстровано ІЛ-22 у якості промотора підвищення рівня АТ, що введення ангіотензина II сприяє підвищенню активності Th 22/ІЛ-22 відповіді при ангіотензин II-індукованій гіпертензії. Хоча точні механізми ІЛ-22 при гіпертензії не було встановлено, посилення запальної відповіді та сприяння розвитку ендотеліальної дисфункції можуть бути медіаторами ефектів ІЛ-22 при гіпертензії. Та відповідно блокування ефектів Th 22/ІЛ-22 може бути терапевтичною опцією для попередження та лікування гіпертензії. А сам ІЛ-22 визначено як нову мішень при гіпертензії</w:t>
      </w:r>
      <w:r w:rsidR="009E2C4A" w:rsidRPr="007F5722">
        <w:rPr>
          <w:rFonts w:ascii="Times New Roman" w:eastAsia="Times New Roman" w:hAnsi="Times New Roman" w:cs="Times New Roman"/>
          <w:color w:val="000000"/>
          <w:sz w:val="28"/>
          <w:szCs w:val="28"/>
        </w:rPr>
        <w:t xml:space="preserve"> [54]</w:t>
      </w:r>
      <w:r w:rsidRPr="007F5722">
        <w:rPr>
          <w:rFonts w:ascii="Times New Roman" w:eastAsia="Times New Roman" w:hAnsi="Times New Roman" w:cs="Times New Roman"/>
          <w:color w:val="000000"/>
          <w:sz w:val="28"/>
          <w:szCs w:val="28"/>
        </w:rPr>
        <w:t>.</w:t>
      </w:r>
    </w:p>
    <w:p w:rsidR="001027EC" w:rsidRPr="007F5722" w:rsidRDefault="00CE74C1" w:rsidP="00CE74C1">
      <w:pPr>
        <w:shd w:val="clear" w:color="auto" w:fill="FFFFFF"/>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 xml:space="preserve">Незважаючи на вже проведені дослідження, невідомими залишаються точні клітинні ресурси ІЛ-22 при захворюваннях у людини, що припускають залежить від причин патологічних змін. Продукція ІЛ-22 провокується такими </w:t>
      </w:r>
      <w:r w:rsidRPr="007F5722">
        <w:rPr>
          <w:rFonts w:ascii="Times New Roman" w:eastAsia="Times New Roman" w:hAnsi="Times New Roman" w:cs="Times New Roman"/>
          <w:color w:val="000000"/>
          <w:sz w:val="28"/>
          <w:szCs w:val="28"/>
        </w:rPr>
        <w:lastRenderedPageBreak/>
        <w:t xml:space="preserve">цитокінами, як ІЛ-23, ІЛ-1β та ФНП-α. Цей факт є важливим, оскільки запалення низького ступеня спостерігається у хворих з АО та метаболічними порушеннями та через ці медіатори запалення може викликати постійну продукцію ІЛ-22 </w:t>
      </w:r>
      <w:r w:rsidR="001027EC" w:rsidRPr="007F5722">
        <w:rPr>
          <w:rFonts w:ascii="Times New Roman" w:eastAsia="Times New Roman" w:hAnsi="Times New Roman" w:cs="Times New Roman"/>
          <w:color w:val="000000"/>
          <w:sz w:val="28"/>
          <w:szCs w:val="28"/>
        </w:rPr>
        <w:t>[62].</w:t>
      </w:r>
    </w:p>
    <w:p w:rsidR="001027EC" w:rsidRPr="007F5722" w:rsidRDefault="00CE74C1" w:rsidP="001C232B">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 xml:space="preserve">Останніми роками було проведено низку досліджень з метою визначення ролі ендогенного ІЛ-22 в розвитку АО та метаболічних порушень. В першу чергу це стосується експериментальних досліджень. Так, дві групи дослідників, які вивчали моделі тварин – це були миші яких годували високо жировою дієтою, незалежно прийшли до одного й того самого висновку, що ендогенний ІЛ-22 не має ніякого впливу на формування АО та метаболічних порушень </w:t>
      </w:r>
      <w:r w:rsidR="001027EC" w:rsidRPr="007F5722">
        <w:rPr>
          <w:rFonts w:ascii="Times New Roman" w:eastAsia="Times New Roman" w:hAnsi="Times New Roman" w:cs="Times New Roman"/>
          <w:color w:val="000000"/>
          <w:sz w:val="28"/>
          <w:szCs w:val="28"/>
        </w:rPr>
        <w:t>[63]</w:t>
      </w:r>
      <w:r w:rsidRPr="007F5722">
        <w:rPr>
          <w:rFonts w:ascii="Times New Roman" w:eastAsia="Times New Roman" w:hAnsi="Times New Roman" w:cs="Times New Roman"/>
          <w:color w:val="000000"/>
          <w:sz w:val="28"/>
          <w:szCs w:val="28"/>
        </w:rPr>
        <w:t xml:space="preserve">. Так, фактично не було виявлено ніякої різниці у масі тіла, толерантності до глюкози, </w:t>
      </w:r>
      <w:r w:rsidR="001027EC" w:rsidRPr="007F5722">
        <w:rPr>
          <w:rFonts w:ascii="Times New Roman" w:eastAsia="Times New Roman" w:hAnsi="Times New Roman" w:cs="Times New Roman"/>
          <w:color w:val="000000"/>
          <w:sz w:val="28"/>
          <w:szCs w:val="28"/>
        </w:rPr>
        <w:t>ІР</w:t>
      </w:r>
      <w:r w:rsidRPr="007F5722">
        <w:rPr>
          <w:rFonts w:ascii="Times New Roman" w:eastAsia="Times New Roman" w:hAnsi="Times New Roman" w:cs="Times New Roman"/>
          <w:color w:val="000000"/>
          <w:sz w:val="28"/>
          <w:szCs w:val="28"/>
        </w:rPr>
        <w:t xml:space="preserve"> між групою тварин з </w:t>
      </w:r>
      <w:r w:rsidR="001C232B" w:rsidRPr="007F5722">
        <w:rPr>
          <w:rFonts w:ascii="Times New Roman" w:eastAsia="Times New Roman" w:hAnsi="Times New Roman" w:cs="Times New Roman"/>
          <w:color w:val="000000"/>
          <w:sz w:val="28"/>
          <w:szCs w:val="28"/>
        </w:rPr>
        <w:t>дефіцитом</w:t>
      </w:r>
      <w:r w:rsidRPr="007F5722">
        <w:rPr>
          <w:rFonts w:ascii="Times New Roman" w:eastAsia="Times New Roman" w:hAnsi="Times New Roman" w:cs="Times New Roman"/>
          <w:color w:val="000000"/>
          <w:sz w:val="28"/>
          <w:szCs w:val="28"/>
        </w:rPr>
        <w:t xml:space="preserve"> ІЛ-22 та контрольними тваринами. Науковці припустили, що це може бути обумовлено дуже низьким рівнем ІЛ-22 (співставним с рівнем у контрольних мишей) у молодих піддослідних гризунів, яких годували висококалорійною дієтою та хлібом, та у яких не було інших джерел запалення </w:t>
      </w:r>
      <w:r w:rsidR="001027EC" w:rsidRPr="007F5722">
        <w:rPr>
          <w:rFonts w:ascii="Times New Roman" w:eastAsia="Times New Roman" w:hAnsi="Times New Roman" w:cs="Times New Roman"/>
          <w:color w:val="000000"/>
          <w:sz w:val="28"/>
          <w:szCs w:val="28"/>
        </w:rPr>
        <w:t>[64]</w:t>
      </w:r>
      <w:r w:rsidR="001C232B" w:rsidRPr="007F5722">
        <w:rPr>
          <w:rFonts w:ascii="Times New Roman" w:eastAsia="Times New Roman" w:hAnsi="Times New Roman" w:cs="Times New Roman"/>
          <w:color w:val="000000"/>
          <w:sz w:val="28"/>
          <w:szCs w:val="28"/>
        </w:rPr>
        <w:t>.</w:t>
      </w:r>
    </w:p>
    <w:p w:rsidR="004757BA" w:rsidRPr="007F5722" w:rsidRDefault="00CE74C1" w:rsidP="001C232B">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 xml:space="preserve">Але зрозуміло, що не </w:t>
      </w:r>
      <w:r w:rsidR="001C232B" w:rsidRPr="007F5722">
        <w:rPr>
          <w:rFonts w:ascii="Times New Roman" w:eastAsia="Times New Roman" w:hAnsi="Times New Roman" w:cs="Times New Roman"/>
          <w:color w:val="000000"/>
          <w:sz w:val="28"/>
          <w:szCs w:val="28"/>
        </w:rPr>
        <w:t>можна</w:t>
      </w:r>
      <w:r w:rsidRPr="007F5722">
        <w:rPr>
          <w:rFonts w:ascii="Times New Roman" w:eastAsia="Times New Roman" w:hAnsi="Times New Roman" w:cs="Times New Roman"/>
          <w:color w:val="000000"/>
          <w:sz w:val="28"/>
          <w:szCs w:val="28"/>
        </w:rPr>
        <w:t xml:space="preserve"> просто переносити результати цих спостережень, що проведені на експериментальних тваринах на людину. При дослідженнях за участю людини отримано протилежні дані, а саме, показано збільшення кількості Th-клітин, що продукують ІЛ-22 у пацієнтів з ЦД 2 типу </w:t>
      </w:r>
      <w:r w:rsidR="001027EC" w:rsidRPr="007F5722">
        <w:rPr>
          <w:rFonts w:ascii="Times New Roman" w:eastAsia="Times New Roman" w:hAnsi="Times New Roman" w:cs="Times New Roman"/>
          <w:color w:val="000000"/>
          <w:sz w:val="28"/>
          <w:szCs w:val="28"/>
        </w:rPr>
        <w:t>[65]</w:t>
      </w:r>
      <w:r w:rsidRPr="007F5722">
        <w:rPr>
          <w:rFonts w:ascii="Times New Roman" w:eastAsia="Times New Roman" w:hAnsi="Times New Roman" w:cs="Times New Roman"/>
          <w:color w:val="000000"/>
          <w:sz w:val="28"/>
          <w:szCs w:val="28"/>
        </w:rPr>
        <w:t>. Більш того, зростає вміст CD4+ Т-клітин – клітин продуцентів ІЛ-22 в адипозній тканині у хв</w:t>
      </w:r>
      <w:r w:rsidR="00C23A36">
        <w:rPr>
          <w:rFonts w:ascii="Times New Roman" w:eastAsia="Times New Roman" w:hAnsi="Times New Roman" w:cs="Times New Roman"/>
          <w:color w:val="000000"/>
          <w:sz w:val="28"/>
          <w:szCs w:val="28"/>
        </w:rPr>
        <w:t>орих на ЦД 2 типу. В</w:t>
      </w:r>
      <w:r w:rsidR="001027EC" w:rsidRPr="007F5722">
        <w:rPr>
          <w:rFonts w:ascii="Times New Roman" w:eastAsia="Times New Roman" w:hAnsi="Times New Roman" w:cs="Times New Roman"/>
          <w:color w:val="000000"/>
          <w:sz w:val="28"/>
          <w:szCs w:val="28"/>
        </w:rPr>
        <w:t>становлено</w:t>
      </w:r>
      <w:r w:rsidRPr="007F5722">
        <w:rPr>
          <w:rFonts w:ascii="Times New Roman" w:eastAsia="Times New Roman" w:hAnsi="Times New Roman" w:cs="Times New Roman"/>
          <w:color w:val="000000"/>
          <w:sz w:val="28"/>
          <w:szCs w:val="28"/>
        </w:rPr>
        <w:t xml:space="preserve"> факт присутності ІЛ-1β у білій адипозній тканині людини. </w:t>
      </w:r>
      <w:r w:rsidR="001C232B" w:rsidRPr="007F5722">
        <w:rPr>
          <w:rFonts w:ascii="Times New Roman" w:eastAsia="Times New Roman" w:hAnsi="Times New Roman" w:cs="Times New Roman"/>
          <w:color w:val="000000"/>
          <w:sz w:val="28"/>
          <w:szCs w:val="28"/>
        </w:rPr>
        <w:t>Це</w:t>
      </w:r>
      <w:r w:rsidRPr="007F5722">
        <w:rPr>
          <w:rFonts w:ascii="Times New Roman" w:eastAsia="Times New Roman" w:hAnsi="Times New Roman" w:cs="Times New Roman"/>
          <w:color w:val="000000"/>
          <w:sz w:val="28"/>
          <w:szCs w:val="28"/>
        </w:rPr>
        <w:t>й цитокін є промотором продукції ІЛ-22 у адипозній тканині людини CD4+ Т-клітин. Відповідно концентрація ІЛ-22 у кровотоці зростає у пацієнтів на ЦД 2 типу</w:t>
      </w:r>
      <w:r w:rsidR="001027EC" w:rsidRPr="007F5722">
        <w:rPr>
          <w:rFonts w:ascii="Times New Roman" w:eastAsia="Times New Roman" w:hAnsi="Times New Roman" w:cs="Times New Roman"/>
          <w:color w:val="000000"/>
          <w:sz w:val="28"/>
          <w:szCs w:val="28"/>
        </w:rPr>
        <w:t xml:space="preserve"> [66,67]</w:t>
      </w:r>
      <w:r w:rsidRPr="007F5722">
        <w:rPr>
          <w:rFonts w:ascii="Times New Roman" w:eastAsia="Times New Roman" w:hAnsi="Times New Roman" w:cs="Times New Roman"/>
          <w:color w:val="000000"/>
          <w:sz w:val="28"/>
          <w:szCs w:val="28"/>
        </w:rPr>
        <w:t>.</w:t>
      </w:r>
    </w:p>
    <w:p w:rsidR="004757BA" w:rsidRPr="007F5722" w:rsidRDefault="00CE74C1" w:rsidP="001C232B">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 xml:space="preserve">Можливою причиною цієї відмінності з гризунами може слугувати те, що більшість хворих є старшими за віком, розвиток АО та метаболічних порушень тривали довше, впродовж цього часу ці особи мали іноді запальні процеси з зовнішніми тригерами, що могло посилювати генерацію ІЛ-22 продукуючих клітин. На цій підставі автори зробили висновок про те, що </w:t>
      </w:r>
      <w:r w:rsidRPr="007F5722">
        <w:rPr>
          <w:rFonts w:ascii="Times New Roman" w:eastAsia="Times New Roman" w:hAnsi="Times New Roman" w:cs="Times New Roman"/>
          <w:color w:val="000000"/>
          <w:sz w:val="28"/>
          <w:szCs w:val="28"/>
        </w:rPr>
        <w:lastRenderedPageBreak/>
        <w:t xml:space="preserve">наявність </w:t>
      </w:r>
      <w:r w:rsidR="001C232B" w:rsidRPr="007F5722">
        <w:rPr>
          <w:rFonts w:ascii="Times New Roman" w:eastAsia="Times New Roman" w:hAnsi="Times New Roman" w:cs="Times New Roman"/>
          <w:color w:val="000000"/>
          <w:sz w:val="28"/>
          <w:szCs w:val="28"/>
        </w:rPr>
        <w:t>підвищеного</w:t>
      </w:r>
      <w:r w:rsidRPr="007F5722">
        <w:rPr>
          <w:rFonts w:ascii="Times New Roman" w:eastAsia="Times New Roman" w:hAnsi="Times New Roman" w:cs="Times New Roman"/>
          <w:color w:val="000000"/>
          <w:sz w:val="28"/>
          <w:szCs w:val="28"/>
        </w:rPr>
        <w:t xml:space="preserve"> рівня ІЛ-22 у адипозній тканині людини може бути механізмом-прот</w:t>
      </w:r>
      <w:r w:rsidR="009A2064" w:rsidRPr="007F5722">
        <w:rPr>
          <w:rFonts w:ascii="Times New Roman" w:eastAsia="Times New Roman" w:hAnsi="Times New Roman" w:cs="Times New Roman"/>
          <w:color w:val="000000"/>
          <w:sz w:val="28"/>
          <w:szCs w:val="28"/>
        </w:rPr>
        <w:t>идії</w:t>
      </w:r>
      <w:r w:rsidRPr="007F5722">
        <w:rPr>
          <w:rFonts w:ascii="Times New Roman" w:eastAsia="Times New Roman" w:hAnsi="Times New Roman" w:cs="Times New Roman"/>
          <w:color w:val="000000"/>
          <w:sz w:val="28"/>
          <w:szCs w:val="28"/>
        </w:rPr>
        <w:t xml:space="preserve"> </w:t>
      </w:r>
      <w:r w:rsidR="001C232B" w:rsidRPr="007F5722">
        <w:rPr>
          <w:rFonts w:ascii="Times New Roman" w:eastAsia="Times New Roman" w:hAnsi="Times New Roman" w:cs="Times New Roman"/>
          <w:color w:val="000000"/>
          <w:sz w:val="28"/>
          <w:szCs w:val="28"/>
        </w:rPr>
        <w:t>імунної</w:t>
      </w:r>
      <w:r w:rsidRPr="007F5722">
        <w:rPr>
          <w:rFonts w:ascii="Times New Roman" w:eastAsia="Times New Roman" w:hAnsi="Times New Roman" w:cs="Times New Roman"/>
          <w:color w:val="000000"/>
          <w:sz w:val="28"/>
          <w:szCs w:val="28"/>
        </w:rPr>
        <w:t xml:space="preserve"> системи для обмеження розвитку адипозного ожиріння та метаболічних порушень</w:t>
      </w:r>
      <w:r w:rsidR="004757BA" w:rsidRPr="007F5722">
        <w:rPr>
          <w:rFonts w:ascii="Times New Roman" w:eastAsia="Times New Roman" w:hAnsi="Times New Roman" w:cs="Times New Roman"/>
          <w:color w:val="000000"/>
          <w:sz w:val="28"/>
          <w:szCs w:val="28"/>
        </w:rPr>
        <w:t xml:space="preserve"> [62]</w:t>
      </w:r>
      <w:r w:rsidRPr="007F5722">
        <w:rPr>
          <w:rFonts w:ascii="Times New Roman" w:hAnsi="Times New Roman" w:cs="Times New Roman"/>
          <w:sz w:val="28"/>
          <w:szCs w:val="28"/>
        </w:rPr>
        <w:t>.</w:t>
      </w:r>
    </w:p>
    <w:p w:rsidR="00CE74C1" w:rsidRPr="007F5722" w:rsidRDefault="00CE74C1" w:rsidP="001C232B">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 xml:space="preserve">Ця гіпотеза не співпадає з загально прийнятою думкою про те, що запалення загалом погіршує метаболічні порушення. Однак, не все так однозначно. Наприклад, результати </w:t>
      </w:r>
      <w:r w:rsidR="001C232B" w:rsidRPr="007F5722">
        <w:rPr>
          <w:rFonts w:ascii="Times New Roman" w:eastAsia="Times New Roman" w:hAnsi="Times New Roman" w:cs="Times New Roman"/>
          <w:color w:val="000000"/>
          <w:sz w:val="28"/>
          <w:szCs w:val="28"/>
        </w:rPr>
        <w:t>експериментальних</w:t>
      </w:r>
      <w:r w:rsidRPr="007F5722">
        <w:rPr>
          <w:rFonts w:ascii="Times New Roman" w:eastAsia="Times New Roman" w:hAnsi="Times New Roman" w:cs="Times New Roman"/>
          <w:color w:val="000000"/>
          <w:sz w:val="28"/>
          <w:szCs w:val="28"/>
        </w:rPr>
        <w:t xml:space="preserve"> досліджень показали,</w:t>
      </w:r>
      <w:r w:rsidR="001C232B" w:rsidRPr="007F5722">
        <w:rPr>
          <w:rFonts w:ascii="Times New Roman" w:eastAsia="Times New Roman" w:hAnsi="Times New Roman" w:cs="Times New Roman"/>
          <w:color w:val="000000"/>
          <w:sz w:val="28"/>
          <w:szCs w:val="28"/>
        </w:rPr>
        <w:t xml:space="preserve"> </w:t>
      </w:r>
      <w:r w:rsidRPr="007F5722">
        <w:rPr>
          <w:rFonts w:ascii="Times New Roman" w:eastAsia="Times New Roman" w:hAnsi="Times New Roman" w:cs="Times New Roman"/>
          <w:color w:val="000000"/>
          <w:sz w:val="28"/>
          <w:szCs w:val="28"/>
        </w:rPr>
        <w:t>що введення екзогенного ІЛ-22 мишам з ожирінням спроможне покращити метаболічний профіль: значно зменшува</w:t>
      </w:r>
      <w:r w:rsidR="004757BA" w:rsidRPr="007F5722">
        <w:rPr>
          <w:rFonts w:ascii="Times New Roman" w:eastAsia="Times New Roman" w:hAnsi="Times New Roman" w:cs="Times New Roman"/>
          <w:color w:val="000000"/>
          <w:sz w:val="28"/>
          <w:szCs w:val="28"/>
        </w:rPr>
        <w:t>лася маса</w:t>
      </w:r>
      <w:r w:rsidRPr="007F5722">
        <w:rPr>
          <w:rFonts w:ascii="Times New Roman" w:eastAsia="Times New Roman" w:hAnsi="Times New Roman" w:cs="Times New Roman"/>
          <w:color w:val="000000"/>
          <w:sz w:val="28"/>
          <w:szCs w:val="28"/>
        </w:rPr>
        <w:t xml:space="preserve"> тіла, рівень глюкози крові, інтолерантність до глюкози та інсулінорезистентність у мишей, яких 8 тижнів годували високо жировою дієтою. Це залежало від дози ІЛ-22 та тривало</w:t>
      </w:r>
      <w:r w:rsidR="004757BA" w:rsidRPr="007F5722">
        <w:rPr>
          <w:rFonts w:ascii="Times New Roman" w:eastAsia="Times New Roman" w:hAnsi="Times New Roman" w:cs="Times New Roman"/>
          <w:color w:val="000000"/>
          <w:sz w:val="28"/>
          <w:szCs w:val="28"/>
        </w:rPr>
        <w:t>сті метаболічних захворювань [</w:t>
      </w:r>
      <w:r w:rsidR="00E77F55" w:rsidRPr="007F5722">
        <w:rPr>
          <w:rFonts w:ascii="Times New Roman" w:eastAsia="Times New Roman" w:hAnsi="Times New Roman" w:cs="Times New Roman"/>
          <w:color w:val="000000"/>
          <w:sz w:val="28"/>
          <w:szCs w:val="28"/>
        </w:rPr>
        <w:t xml:space="preserve">63, </w:t>
      </w:r>
      <w:r w:rsidR="004757BA" w:rsidRPr="007F5722">
        <w:rPr>
          <w:rFonts w:ascii="Times New Roman" w:eastAsia="Times New Roman" w:hAnsi="Times New Roman" w:cs="Times New Roman"/>
          <w:color w:val="000000"/>
          <w:sz w:val="28"/>
          <w:szCs w:val="28"/>
        </w:rPr>
        <w:t>68]</w:t>
      </w:r>
      <w:r w:rsidRPr="007F5722">
        <w:rPr>
          <w:rFonts w:ascii="Times New Roman" w:eastAsia="Times New Roman" w:hAnsi="Times New Roman" w:cs="Times New Roman"/>
          <w:color w:val="000000"/>
          <w:sz w:val="28"/>
          <w:szCs w:val="28"/>
        </w:rPr>
        <w:t>.</w:t>
      </w:r>
    </w:p>
    <w:p w:rsidR="00CE74C1" w:rsidRPr="007F5722" w:rsidRDefault="00CE74C1" w:rsidP="004757BA">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 xml:space="preserve">Крім того, було встановлено, що високий рівень ІЛ-22 діє на адипоцити та підвищує експресію генів, які залучено до ліполізу тригліцеридів та окислення жирних кислот. Відповідно, вміст тригліцеридів у білій адипозній тканині та </w:t>
      </w:r>
      <w:r w:rsidR="007F68E5">
        <w:rPr>
          <w:rFonts w:ascii="Times New Roman" w:eastAsia="Times New Roman" w:hAnsi="Times New Roman" w:cs="Times New Roman"/>
          <w:color w:val="000000"/>
          <w:sz w:val="28"/>
          <w:szCs w:val="28"/>
        </w:rPr>
        <w:t>плазмі</w:t>
      </w:r>
      <w:r w:rsidRPr="007F5722">
        <w:rPr>
          <w:rFonts w:ascii="Times New Roman" w:eastAsia="Times New Roman" w:hAnsi="Times New Roman" w:cs="Times New Roman"/>
          <w:color w:val="000000"/>
          <w:sz w:val="28"/>
          <w:szCs w:val="28"/>
        </w:rPr>
        <w:t xml:space="preserve"> крові знижувався у мишей, яким вводили екзогенний ІЛ-22. Високий рівень ІЛ-22 підвищує чутливість до інсуліну у печінці, мязах та адипозній тканині; покращує </w:t>
      </w:r>
      <w:r w:rsidR="001C232B" w:rsidRPr="007F5722">
        <w:rPr>
          <w:rFonts w:ascii="Times New Roman" w:eastAsia="Times New Roman" w:hAnsi="Times New Roman" w:cs="Times New Roman"/>
          <w:color w:val="000000"/>
          <w:sz w:val="28"/>
          <w:szCs w:val="28"/>
        </w:rPr>
        <w:t>утилізацію</w:t>
      </w:r>
      <w:r w:rsidRPr="007F5722">
        <w:rPr>
          <w:rFonts w:ascii="Times New Roman" w:eastAsia="Times New Roman" w:hAnsi="Times New Roman" w:cs="Times New Roman"/>
          <w:color w:val="000000"/>
          <w:sz w:val="28"/>
          <w:szCs w:val="28"/>
        </w:rPr>
        <w:t xml:space="preserve"> глюкози в коричневій адипозній тканині</w:t>
      </w:r>
      <w:r w:rsidR="004757BA" w:rsidRPr="007F5722">
        <w:rPr>
          <w:rFonts w:ascii="Times New Roman" w:eastAsia="Times New Roman" w:hAnsi="Times New Roman" w:cs="Times New Roman"/>
          <w:color w:val="000000"/>
          <w:sz w:val="28"/>
          <w:szCs w:val="28"/>
        </w:rPr>
        <w:t xml:space="preserve"> [69]</w:t>
      </w:r>
      <w:r w:rsidRPr="007F5722">
        <w:rPr>
          <w:rFonts w:ascii="Times New Roman" w:eastAsia="Times New Roman" w:hAnsi="Times New Roman" w:cs="Times New Roman"/>
          <w:color w:val="000000"/>
          <w:sz w:val="28"/>
          <w:szCs w:val="28"/>
        </w:rPr>
        <w:t xml:space="preserve">. Лікування ІЛ-22 призводить до зниження концентрації інсуліну у </w:t>
      </w:r>
      <w:r w:rsidR="007F68E5">
        <w:rPr>
          <w:rFonts w:ascii="Times New Roman" w:eastAsia="Times New Roman" w:hAnsi="Times New Roman" w:cs="Times New Roman"/>
          <w:color w:val="000000"/>
          <w:sz w:val="28"/>
          <w:szCs w:val="28"/>
        </w:rPr>
        <w:t>плазмі</w:t>
      </w:r>
      <w:r w:rsidRPr="007F5722">
        <w:rPr>
          <w:rFonts w:ascii="Times New Roman" w:eastAsia="Times New Roman" w:hAnsi="Times New Roman" w:cs="Times New Roman"/>
          <w:color w:val="000000"/>
          <w:sz w:val="28"/>
          <w:szCs w:val="28"/>
        </w:rPr>
        <w:t xml:space="preserve"> крові мишей з ожирінням та відновлює продукцію інсуліну у відповідь на глюкозу</w:t>
      </w:r>
      <w:r w:rsidR="004757BA" w:rsidRPr="007F5722">
        <w:rPr>
          <w:rFonts w:ascii="Times New Roman" w:eastAsia="Times New Roman" w:hAnsi="Times New Roman" w:cs="Times New Roman"/>
          <w:color w:val="000000"/>
          <w:sz w:val="28"/>
          <w:szCs w:val="28"/>
        </w:rPr>
        <w:t xml:space="preserve"> [68,69]</w:t>
      </w:r>
      <w:r w:rsidRPr="007F5722">
        <w:rPr>
          <w:rFonts w:ascii="Times New Roman" w:eastAsia="Times New Roman" w:hAnsi="Times New Roman" w:cs="Times New Roman"/>
          <w:color w:val="000000"/>
          <w:sz w:val="28"/>
          <w:szCs w:val="28"/>
        </w:rPr>
        <w:t xml:space="preserve">. </w:t>
      </w:r>
    </w:p>
    <w:p w:rsidR="00BD1C7B" w:rsidRPr="007F5722" w:rsidRDefault="00BD1C7B" w:rsidP="00BD1C7B">
      <w:pPr>
        <w:spacing w:after="0" w:line="360" w:lineRule="auto"/>
        <w:ind w:firstLine="567"/>
        <w:jc w:val="both"/>
        <w:rPr>
          <w:rFonts w:ascii="Times New Roman" w:hAnsi="Times New Roman" w:cs="Times New Roman"/>
          <w:sz w:val="28"/>
          <w:szCs w:val="28"/>
          <w:lang w:eastAsia="uk-UA"/>
        </w:rPr>
      </w:pPr>
      <w:r w:rsidRPr="007F5722">
        <w:rPr>
          <w:rFonts w:ascii="Times New Roman" w:hAnsi="Times New Roman" w:cs="Times New Roman"/>
          <w:sz w:val="28"/>
          <w:szCs w:val="28"/>
          <w:lang w:eastAsia="uk-UA"/>
        </w:rPr>
        <w:t xml:space="preserve">Таким чином, розгляд взаємовпливу патогенетичних аспектів тканинного і </w:t>
      </w:r>
      <w:r w:rsidR="00B409C5" w:rsidRPr="007F5722">
        <w:rPr>
          <w:rFonts w:ascii="Times New Roman" w:hAnsi="Times New Roman" w:cs="Times New Roman"/>
          <w:sz w:val="28"/>
          <w:szCs w:val="28"/>
          <w:lang w:eastAsia="uk-UA"/>
        </w:rPr>
        <w:t>гемодинамічного</w:t>
      </w:r>
      <w:r w:rsidRPr="007F5722">
        <w:rPr>
          <w:rFonts w:ascii="Times New Roman" w:hAnsi="Times New Roman" w:cs="Times New Roman"/>
          <w:sz w:val="28"/>
          <w:szCs w:val="28"/>
          <w:lang w:eastAsia="uk-UA"/>
        </w:rPr>
        <w:t xml:space="preserve"> пошкодження, </w:t>
      </w:r>
      <w:r w:rsidR="00D62BAF" w:rsidRPr="007F5722">
        <w:rPr>
          <w:rFonts w:ascii="Times New Roman" w:hAnsi="Times New Roman" w:cs="Times New Roman"/>
          <w:sz w:val="28"/>
          <w:szCs w:val="28"/>
          <w:lang w:eastAsia="uk-UA"/>
        </w:rPr>
        <w:t>реакцій системного запалення</w:t>
      </w:r>
      <w:r w:rsidR="00B409C5" w:rsidRPr="007F5722">
        <w:rPr>
          <w:rFonts w:ascii="Times New Roman" w:hAnsi="Times New Roman" w:cs="Times New Roman"/>
          <w:sz w:val="28"/>
          <w:szCs w:val="28"/>
          <w:lang w:eastAsia="uk-UA"/>
        </w:rPr>
        <w:t xml:space="preserve">, які індуковані дисбалансом в системі інтерлейкінів і </w:t>
      </w:r>
      <w:r w:rsidRPr="007F5722">
        <w:rPr>
          <w:rFonts w:ascii="Times New Roman" w:hAnsi="Times New Roman" w:cs="Times New Roman"/>
          <w:sz w:val="28"/>
          <w:szCs w:val="28"/>
          <w:lang w:eastAsia="uk-UA"/>
        </w:rPr>
        <w:t xml:space="preserve">біологічної стимуляції регуляторних систем організму людини при коморбідності ГХ, ожиріння та </w:t>
      </w:r>
      <w:r w:rsidR="00D62BAF" w:rsidRPr="007F5722">
        <w:rPr>
          <w:rFonts w:ascii="Times New Roman" w:hAnsi="Times New Roman" w:cs="Times New Roman"/>
          <w:sz w:val="28"/>
          <w:szCs w:val="28"/>
          <w:lang w:eastAsia="uk-UA"/>
        </w:rPr>
        <w:t>атеросклерозу</w:t>
      </w:r>
      <w:r w:rsidRPr="007F5722">
        <w:rPr>
          <w:rFonts w:ascii="Times New Roman" w:hAnsi="Times New Roman" w:cs="Times New Roman"/>
          <w:sz w:val="28"/>
          <w:szCs w:val="28"/>
          <w:lang w:eastAsia="uk-UA"/>
        </w:rPr>
        <w:t xml:space="preserve"> є актуальним перспективним напрямком наукового пошуку в клініці внутрішніх хвороб. Наведені в огляді літератури </w:t>
      </w:r>
      <w:r w:rsidR="00B409C5" w:rsidRPr="007F5722">
        <w:rPr>
          <w:rFonts w:ascii="Times New Roman" w:hAnsi="Times New Roman" w:cs="Times New Roman"/>
          <w:sz w:val="28"/>
          <w:szCs w:val="28"/>
          <w:lang w:eastAsia="uk-UA"/>
        </w:rPr>
        <w:t>невизначені питання</w:t>
      </w:r>
      <w:r w:rsidRPr="007F5722">
        <w:rPr>
          <w:rFonts w:ascii="Times New Roman" w:hAnsi="Times New Roman" w:cs="Times New Roman"/>
          <w:sz w:val="28"/>
          <w:szCs w:val="28"/>
          <w:lang w:eastAsia="uk-UA"/>
        </w:rPr>
        <w:t xml:space="preserve"> спільних патогенетичних ланок ГХ, ожиріння та </w:t>
      </w:r>
      <w:r w:rsidR="00B409C5" w:rsidRPr="007F5722">
        <w:rPr>
          <w:rFonts w:ascii="Times New Roman" w:hAnsi="Times New Roman" w:cs="Times New Roman"/>
          <w:sz w:val="28"/>
          <w:szCs w:val="28"/>
          <w:lang w:eastAsia="uk-UA"/>
        </w:rPr>
        <w:t>атерогенного ризику</w:t>
      </w:r>
      <w:r w:rsidRPr="007F5722">
        <w:rPr>
          <w:rFonts w:ascii="Times New Roman" w:hAnsi="Times New Roman" w:cs="Times New Roman"/>
          <w:sz w:val="28"/>
          <w:szCs w:val="28"/>
          <w:lang w:eastAsia="uk-UA"/>
        </w:rPr>
        <w:t xml:space="preserve"> ураження судин, проблеми коморбідності кардіальних, судинних та метаболічних порушень потребують подальшого вивчення та деталізації цих питань.</w:t>
      </w:r>
    </w:p>
    <w:p w:rsidR="00BD1C7B" w:rsidRPr="007F5722" w:rsidRDefault="00BD1C7B" w:rsidP="004757BA">
      <w:pPr>
        <w:shd w:val="clear" w:color="auto" w:fill="FFFFFF"/>
        <w:spacing w:after="0" w:line="360" w:lineRule="auto"/>
        <w:ind w:firstLine="708"/>
        <w:jc w:val="both"/>
        <w:rPr>
          <w:rFonts w:ascii="Times New Roman" w:eastAsia="Times New Roman" w:hAnsi="Times New Roman" w:cs="Times New Roman"/>
          <w:color w:val="000000"/>
          <w:sz w:val="28"/>
          <w:szCs w:val="28"/>
        </w:rPr>
        <w:sectPr w:rsidR="00BD1C7B" w:rsidRPr="007F5722" w:rsidSect="007C0B93">
          <w:pgSz w:w="11906" w:h="16838"/>
          <w:pgMar w:top="1134" w:right="850" w:bottom="1134" w:left="1701" w:header="708" w:footer="708" w:gutter="0"/>
          <w:cols w:space="708"/>
          <w:docGrid w:linePitch="360"/>
        </w:sectPr>
      </w:pPr>
    </w:p>
    <w:p w:rsidR="007D687A" w:rsidRPr="007F5722" w:rsidRDefault="007D687A" w:rsidP="007D687A">
      <w:pPr>
        <w:spacing w:after="0" w:line="360" w:lineRule="auto"/>
        <w:jc w:val="center"/>
        <w:rPr>
          <w:rFonts w:ascii="Times New Roman" w:hAnsi="Times New Roman" w:cs="Times New Roman"/>
          <w:b/>
          <w:bCs/>
          <w:sz w:val="28"/>
          <w:szCs w:val="28"/>
        </w:rPr>
      </w:pPr>
      <w:r w:rsidRPr="007F5722">
        <w:rPr>
          <w:rFonts w:ascii="Times New Roman" w:hAnsi="Times New Roman" w:cs="Times New Roman"/>
          <w:b/>
          <w:bCs/>
          <w:sz w:val="28"/>
          <w:szCs w:val="28"/>
        </w:rPr>
        <w:lastRenderedPageBreak/>
        <w:t>1.2. Особливості ліпідного обміну у хворих на гіпертонічну хворобу з ожирінням, постпрандіальна дисліпідемія та рівень прозапальних цитокінів</w:t>
      </w:r>
    </w:p>
    <w:p w:rsidR="007D687A" w:rsidRPr="007F5722" w:rsidRDefault="007D687A" w:rsidP="007D687A">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 xml:space="preserve">Протягом багатьох років концепція профілактики кардіоваскулярних захворювань грунтувалася на контролі над різними факторами ризику, такими як АГ, дисліпідемія, цукровий діабет, ожиріння, куріння, тощо. </w:t>
      </w:r>
    </w:p>
    <w:p w:rsidR="007D687A" w:rsidRPr="007F5722" w:rsidRDefault="007D687A" w:rsidP="007D687A">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Кожен з цих факторів часто розглядався ізольовано, як таргетна мішень медичного втручання, а відомості про їх інтегральний вплив на прогноз кардіоваскулярних захворювань були засновані на ретроспективних і популяціонних дослідженнях. Подібний підхід не відображав мультифакторної природи кардіоваскулярних захворювань та не висвітлював складні взаємини між різними факторами ризику і супутньою патологією,</w:t>
      </w:r>
      <w:r w:rsidR="001E143C">
        <w:rPr>
          <w:rFonts w:ascii="Times New Roman" w:hAnsi="Times New Roman" w:cs="Times New Roman"/>
          <w:sz w:val="28"/>
          <w:szCs w:val="28"/>
        </w:rPr>
        <w:t xml:space="preserve"> які формують загальне поняття </w:t>
      </w:r>
      <w:r w:rsidRPr="007F5722">
        <w:rPr>
          <w:rFonts w:ascii="Times New Roman" w:hAnsi="Times New Roman" w:cs="Times New Roman"/>
          <w:sz w:val="28"/>
          <w:szCs w:val="28"/>
        </w:rPr>
        <w:t>сумарного або тотального серцево-судинного ризику.</w:t>
      </w:r>
    </w:p>
    <w:p w:rsidR="007D687A" w:rsidRPr="007F5722" w:rsidRDefault="007D687A" w:rsidP="007D687A">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Починаючи з 90-х років минулого століття, в клінічному керівництві Task Force of European Societies вперше було запропоновано використовувати розрахунок сумарного кардіоваскулярного ризику для прийняття рішення про інтенсивність профілактично</w:t>
      </w:r>
      <w:r w:rsidR="00D46909" w:rsidRPr="007F5722">
        <w:rPr>
          <w:rFonts w:ascii="Times New Roman" w:hAnsi="Times New Roman" w:cs="Times New Roman"/>
          <w:sz w:val="28"/>
          <w:szCs w:val="28"/>
        </w:rPr>
        <w:t>го/лікувального втручання [70</w:t>
      </w:r>
      <w:r w:rsidRPr="007F5722">
        <w:rPr>
          <w:rFonts w:ascii="Times New Roman" w:hAnsi="Times New Roman" w:cs="Times New Roman"/>
          <w:sz w:val="28"/>
          <w:szCs w:val="28"/>
        </w:rPr>
        <w:t xml:space="preserve">], що повинно було індивідуалізувати стратегію терапії. Даний підхід пропонувався як спосіб ідентифікації в загальній популяції асимптомних пацієнтів з високим ризиком виникнення ускладнень. </w:t>
      </w:r>
    </w:p>
    <w:p w:rsidR="007D687A" w:rsidRPr="007F5722" w:rsidRDefault="007D687A" w:rsidP="007D687A">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Крім того, згідно з рекомендаціями Європейського товариства кардіологів (ЄТК), велике значення мають не тільки способи профілактики серцево-судинних ускладнень, але і стратегічні підходи до запобігання маніфестації клінічних ознак атеросклерозу будь-якої локалізації, включаючи мозковий інсульт, захворювання периферичних артерій і атеротромбоз. Таким чином, модель розрахунку сумарного кардіоваскулярного ризику стала невід'ємною частиною стратегії, спрямованої на запобігання виникнення серцево-судинних ускладнень при різних комбінаціях традиційних факторів ризику і супутньої патології.</w:t>
      </w:r>
    </w:p>
    <w:p w:rsidR="007D687A" w:rsidRPr="007F5722" w:rsidRDefault="007D687A" w:rsidP="007D687A">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lastRenderedPageBreak/>
        <w:t>З 2003 року в Європі для оцінки сумарного кардіоваскулярного ризику рекомендується використання шкали SCORE, яку розроблено на підставі результатів ряду когортних досліджень, проведених в 12-ти європейських країнах за участю 205178 пацієнтів. Згідно зі шкалою SCORE, пацієнтом високого ризику можна вважати будь-якого суб'єкта з 5% ризиком смерті від ІХС або кардіоваскулярних ускладнень протягом наступних 10 років.</w:t>
      </w:r>
    </w:p>
    <w:p w:rsidR="007D687A" w:rsidRPr="007F5722" w:rsidRDefault="007D687A" w:rsidP="007D687A">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Разом з тим, багато пацієнтів з верифікованим діагнозом ІХС, а також особи з цукровим діабетом, ізольованою систолічною АГ, дисліпідемією з діагностичної та терапвтичної точки зору можуть потребувати дещо відмінних стратифікаційних підходів до виявлення факторів ризику.</w:t>
      </w:r>
    </w:p>
    <w:p w:rsidR="007D687A" w:rsidRPr="007F5722" w:rsidRDefault="007D687A" w:rsidP="00AE7B17">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В останніх рекомендаціях ЄТК та Європейського товариства атеросклерозу (ЄТА) (2016) з діагностики та лікування дисліпідемій було представлено нову концептуальну модель різних стратегій втручання в залежності від загального ризику розвитку серцево-судинной патології (за SCORE) та рівня ХС ЛПНЩ (де для ХС ЛПНЩ було</w:t>
      </w:r>
      <w:r w:rsidR="00AE7B17" w:rsidRPr="007F5722">
        <w:rPr>
          <w:rFonts w:ascii="Times New Roman" w:hAnsi="Times New Roman" w:cs="Times New Roman"/>
          <w:sz w:val="28"/>
          <w:szCs w:val="28"/>
        </w:rPr>
        <w:t xml:space="preserve"> ви</w:t>
      </w:r>
      <w:r w:rsidRPr="007F5722">
        <w:rPr>
          <w:rFonts w:ascii="Times New Roman" w:hAnsi="Times New Roman" w:cs="Times New Roman"/>
          <w:sz w:val="28"/>
          <w:szCs w:val="28"/>
        </w:rPr>
        <w:t>ділено п</w:t>
      </w:r>
      <w:r w:rsidR="00AE7B17" w:rsidRPr="007F5722">
        <w:rPr>
          <w:rFonts w:ascii="Times New Roman" w:hAnsi="Times New Roman" w:cs="Times New Roman"/>
          <w:sz w:val="28"/>
          <w:szCs w:val="28"/>
        </w:rPr>
        <w:t>’</w:t>
      </w:r>
      <w:r w:rsidRPr="007F5722">
        <w:rPr>
          <w:rFonts w:ascii="Times New Roman" w:hAnsi="Times New Roman" w:cs="Times New Roman"/>
          <w:sz w:val="28"/>
          <w:szCs w:val="28"/>
        </w:rPr>
        <w:t>ять рівней 1:нижче 1,8 ммоль/л</w:t>
      </w:r>
      <w:r w:rsidR="00AE7B17" w:rsidRPr="007F5722">
        <w:rPr>
          <w:rFonts w:ascii="Times New Roman" w:hAnsi="Times New Roman" w:cs="Times New Roman"/>
          <w:sz w:val="28"/>
          <w:szCs w:val="28"/>
        </w:rPr>
        <w:t>;</w:t>
      </w:r>
      <w:r w:rsidRPr="007F5722">
        <w:rPr>
          <w:rFonts w:ascii="Times New Roman" w:hAnsi="Times New Roman" w:cs="Times New Roman"/>
          <w:sz w:val="28"/>
          <w:szCs w:val="28"/>
        </w:rPr>
        <w:t xml:space="preserve"> 2: 1,8-2,6 ммоль/л</w:t>
      </w:r>
      <w:r w:rsidR="00AE7B17" w:rsidRPr="007F5722">
        <w:rPr>
          <w:rFonts w:ascii="Times New Roman" w:hAnsi="Times New Roman" w:cs="Times New Roman"/>
          <w:sz w:val="28"/>
          <w:szCs w:val="28"/>
        </w:rPr>
        <w:t>;</w:t>
      </w:r>
      <w:r w:rsidRPr="007F5722">
        <w:rPr>
          <w:rFonts w:ascii="Times New Roman" w:hAnsi="Times New Roman" w:cs="Times New Roman"/>
          <w:sz w:val="28"/>
          <w:szCs w:val="28"/>
        </w:rPr>
        <w:t xml:space="preserve"> 3: 2,6-4,0 ммоль/л</w:t>
      </w:r>
      <w:r w:rsidR="00AE7B17" w:rsidRPr="007F5722">
        <w:rPr>
          <w:rFonts w:ascii="Times New Roman" w:hAnsi="Times New Roman" w:cs="Times New Roman"/>
          <w:sz w:val="28"/>
          <w:szCs w:val="28"/>
        </w:rPr>
        <w:t>;</w:t>
      </w:r>
      <w:r w:rsidRPr="007F5722">
        <w:rPr>
          <w:rFonts w:ascii="Times New Roman" w:hAnsi="Times New Roman" w:cs="Times New Roman"/>
          <w:sz w:val="28"/>
          <w:szCs w:val="28"/>
        </w:rPr>
        <w:t xml:space="preserve"> 4: 4,0-4,9 ммоль/л; 5: більше 4,9 ммоль/л [</w:t>
      </w:r>
      <w:r w:rsidR="00AE7B17" w:rsidRPr="007F5722">
        <w:rPr>
          <w:rFonts w:ascii="Times New Roman" w:hAnsi="Times New Roman" w:cs="Times New Roman"/>
          <w:sz w:val="28"/>
          <w:szCs w:val="28"/>
        </w:rPr>
        <w:t>71</w:t>
      </w:r>
      <w:r w:rsidRPr="007F5722">
        <w:rPr>
          <w:rFonts w:ascii="Times New Roman" w:hAnsi="Times New Roman" w:cs="Times New Roman"/>
          <w:sz w:val="28"/>
          <w:szCs w:val="28"/>
        </w:rPr>
        <w:t>].</w:t>
      </w:r>
    </w:p>
    <w:p w:rsidR="00AE7B17" w:rsidRPr="007F5722" w:rsidRDefault="007D687A" w:rsidP="00AE7B17">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 xml:space="preserve">Проблема коморбідності </w:t>
      </w:r>
      <w:r w:rsidR="00AE7B17" w:rsidRPr="007F5722">
        <w:rPr>
          <w:rFonts w:ascii="Times New Roman" w:hAnsi="Times New Roman" w:cs="Times New Roman"/>
          <w:sz w:val="28"/>
          <w:szCs w:val="28"/>
        </w:rPr>
        <w:t>ГХ, дисліпідемії та ожиріння тіс</w:t>
      </w:r>
      <w:r w:rsidRPr="007F5722">
        <w:rPr>
          <w:rFonts w:ascii="Times New Roman" w:hAnsi="Times New Roman" w:cs="Times New Roman"/>
          <w:sz w:val="28"/>
          <w:szCs w:val="28"/>
        </w:rPr>
        <w:t>но пов</w:t>
      </w:r>
      <w:r w:rsidR="00AE7B17" w:rsidRPr="007F5722">
        <w:rPr>
          <w:rFonts w:ascii="Times New Roman" w:hAnsi="Times New Roman" w:cs="Times New Roman"/>
          <w:sz w:val="28"/>
          <w:szCs w:val="28"/>
        </w:rPr>
        <w:t>’язана</w:t>
      </w:r>
      <w:r w:rsidRPr="007F5722">
        <w:rPr>
          <w:rFonts w:ascii="Times New Roman" w:hAnsi="Times New Roman" w:cs="Times New Roman"/>
          <w:sz w:val="28"/>
          <w:szCs w:val="28"/>
        </w:rPr>
        <w:t xml:space="preserve"> з загальним </w:t>
      </w:r>
      <w:r w:rsidR="00AE7B17" w:rsidRPr="007F5722">
        <w:rPr>
          <w:rFonts w:ascii="Times New Roman" w:hAnsi="Times New Roman" w:cs="Times New Roman"/>
          <w:sz w:val="28"/>
          <w:szCs w:val="28"/>
        </w:rPr>
        <w:t>механізмом ІР</w:t>
      </w:r>
      <w:r w:rsidRPr="007F5722">
        <w:rPr>
          <w:rFonts w:ascii="Times New Roman" w:hAnsi="Times New Roman" w:cs="Times New Roman"/>
          <w:sz w:val="28"/>
          <w:szCs w:val="28"/>
        </w:rPr>
        <w:t>, який є об’єднуючим патогенетичним ланцюгом для цих захворювань і ста</w:t>
      </w:r>
      <w:r w:rsidR="00AE7B17" w:rsidRPr="007F5722">
        <w:rPr>
          <w:rFonts w:ascii="Times New Roman" w:hAnsi="Times New Roman" w:cs="Times New Roman"/>
          <w:sz w:val="28"/>
          <w:szCs w:val="28"/>
        </w:rPr>
        <w:t xml:space="preserve">нів. Термін </w:t>
      </w:r>
      <w:r w:rsidR="00E132C9" w:rsidRPr="007F5722">
        <w:rPr>
          <w:rFonts w:ascii="Times New Roman" w:hAnsi="Times New Roman" w:cs="Times New Roman"/>
          <w:sz w:val="28"/>
          <w:szCs w:val="28"/>
        </w:rPr>
        <w:t>«метаболічний синдром»</w:t>
      </w:r>
      <w:r w:rsidR="00AE7B17" w:rsidRPr="007F5722">
        <w:rPr>
          <w:rFonts w:ascii="Times New Roman" w:hAnsi="Times New Roman" w:cs="Times New Roman"/>
          <w:sz w:val="28"/>
          <w:szCs w:val="28"/>
        </w:rPr>
        <w:t xml:space="preserve"> означає одночасну</w:t>
      </w:r>
      <w:r w:rsidRPr="007F5722">
        <w:rPr>
          <w:rFonts w:ascii="Times New Roman" w:hAnsi="Times New Roman" w:cs="Times New Roman"/>
          <w:sz w:val="28"/>
          <w:szCs w:val="28"/>
        </w:rPr>
        <w:t xml:space="preserve"> наявність певних факторів ризику: </w:t>
      </w:r>
      <w:r w:rsidR="00E132C9" w:rsidRPr="007F5722">
        <w:rPr>
          <w:rFonts w:ascii="Times New Roman" w:hAnsi="Times New Roman" w:cs="Times New Roman"/>
          <w:sz w:val="28"/>
          <w:szCs w:val="28"/>
        </w:rPr>
        <w:t xml:space="preserve">абдомінального </w:t>
      </w:r>
      <w:r w:rsidRPr="007F5722">
        <w:rPr>
          <w:rFonts w:ascii="Times New Roman" w:hAnsi="Times New Roman" w:cs="Times New Roman"/>
          <w:sz w:val="28"/>
          <w:szCs w:val="28"/>
        </w:rPr>
        <w:t>ожиріння, підвищен</w:t>
      </w:r>
      <w:r w:rsidR="00AE7B17" w:rsidRPr="007F5722">
        <w:rPr>
          <w:rFonts w:ascii="Times New Roman" w:hAnsi="Times New Roman" w:cs="Times New Roman"/>
          <w:sz w:val="28"/>
          <w:szCs w:val="28"/>
        </w:rPr>
        <w:t xml:space="preserve">ого рівня ТГ, зниженого рівня ХС </w:t>
      </w:r>
      <w:r w:rsidRPr="007F5722">
        <w:rPr>
          <w:rFonts w:ascii="Times New Roman" w:hAnsi="Times New Roman" w:cs="Times New Roman"/>
          <w:sz w:val="28"/>
          <w:szCs w:val="28"/>
        </w:rPr>
        <w:t>ЛВП</w:t>
      </w:r>
      <w:r w:rsidR="00AE7B17" w:rsidRPr="007F5722">
        <w:rPr>
          <w:rFonts w:ascii="Times New Roman" w:hAnsi="Times New Roman" w:cs="Times New Roman"/>
          <w:sz w:val="28"/>
          <w:szCs w:val="28"/>
        </w:rPr>
        <w:t>Щ</w:t>
      </w:r>
      <w:r w:rsidRPr="007F5722">
        <w:rPr>
          <w:rFonts w:ascii="Times New Roman" w:hAnsi="Times New Roman" w:cs="Times New Roman"/>
          <w:sz w:val="28"/>
          <w:szCs w:val="28"/>
        </w:rPr>
        <w:t>, порушення толерантності гл</w:t>
      </w:r>
      <w:r w:rsidR="00AE7B17" w:rsidRPr="007F5722">
        <w:rPr>
          <w:rFonts w:ascii="Times New Roman" w:hAnsi="Times New Roman" w:cs="Times New Roman"/>
          <w:sz w:val="28"/>
          <w:szCs w:val="28"/>
        </w:rPr>
        <w:t>юкози і АГ</w:t>
      </w:r>
      <w:r w:rsidRPr="007F5722">
        <w:rPr>
          <w:rFonts w:ascii="Times New Roman" w:hAnsi="Times New Roman" w:cs="Times New Roman"/>
          <w:sz w:val="28"/>
          <w:szCs w:val="28"/>
        </w:rPr>
        <w:t xml:space="preserve"> [</w:t>
      </w:r>
      <w:r w:rsidR="00AE7B17" w:rsidRPr="007F5722">
        <w:rPr>
          <w:rFonts w:ascii="Times New Roman" w:hAnsi="Times New Roman" w:cs="Times New Roman"/>
          <w:sz w:val="28"/>
          <w:szCs w:val="28"/>
        </w:rPr>
        <w:t>72</w:t>
      </w:r>
      <w:r w:rsidRPr="007F5722">
        <w:rPr>
          <w:rFonts w:ascii="Times New Roman" w:hAnsi="Times New Roman" w:cs="Times New Roman"/>
          <w:sz w:val="28"/>
          <w:szCs w:val="28"/>
        </w:rPr>
        <w:t>]. Метаболічні порушення є одними з найважливіших передумов формування гемодинамічних і ішемічних каскадних процесів, що при</w:t>
      </w:r>
      <w:r w:rsidR="00AE7B17" w:rsidRPr="007F5722">
        <w:rPr>
          <w:rFonts w:ascii="Times New Roman" w:hAnsi="Times New Roman" w:cs="Times New Roman"/>
          <w:sz w:val="28"/>
          <w:szCs w:val="28"/>
        </w:rPr>
        <w:t>з</w:t>
      </w:r>
      <w:r w:rsidRPr="007F5722">
        <w:rPr>
          <w:rFonts w:ascii="Times New Roman" w:hAnsi="Times New Roman" w:cs="Times New Roman"/>
          <w:sz w:val="28"/>
          <w:szCs w:val="28"/>
        </w:rPr>
        <w:t xml:space="preserve">водять до формування АГ, атероклерозу судин, ІХС й розвитку серцевої недостатності </w:t>
      </w:r>
      <w:r w:rsidR="00AE7B17" w:rsidRPr="007F5722">
        <w:rPr>
          <w:rFonts w:ascii="Times New Roman" w:hAnsi="Times New Roman" w:cs="Times New Roman"/>
          <w:sz w:val="28"/>
          <w:szCs w:val="28"/>
        </w:rPr>
        <w:t>(СН)</w:t>
      </w:r>
      <w:r w:rsidRPr="007F5722">
        <w:rPr>
          <w:rFonts w:ascii="Times New Roman" w:hAnsi="Times New Roman" w:cs="Times New Roman"/>
          <w:sz w:val="28"/>
          <w:szCs w:val="28"/>
        </w:rPr>
        <w:t>[</w:t>
      </w:r>
      <w:r w:rsidR="00AE7B17" w:rsidRPr="007F5722">
        <w:rPr>
          <w:rFonts w:ascii="Times New Roman" w:hAnsi="Times New Roman" w:cs="Times New Roman"/>
          <w:sz w:val="28"/>
          <w:szCs w:val="28"/>
        </w:rPr>
        <w:t>73].</w:t>
      </w:r>
    </w:p>
    <w:p w:rsidR="007D687A" w:rsidRPr="007F5722" w:rsidRDefault="007D687A" w:rsidP="00AE7B17">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Надлишкова маса тіла й ожиріння підвищують ризик розвитку</w:t>
      </w:r>
      <w:r w:rsidR="00AE7B17" w:rsidRPr="007F5722">
        <w:rPr>
          <w:rFonts w:ascii="Times New Roman" w:hAnsi="Times New Roman" w:cs="Times New Roman"/>
          <w:sz w:val="28"/>
          <w:szCs w:val="28"/>
        </w:rPr>
        <w:t xml:space="preserve"> АГ, ІХС, СН</w:t>
      </w:r>
      <w:r w:rsidRPr="007F5722">
        <w:rPr>
          <w:rFonts w:ascii="Times New Roman" w:hAnsi="Times New Roman" w:cs="Times New Roman"/>
          <w:sz w:val="28"/>
          <w:szCs w:val="28"/>
        </w:rPr>
        <w:t>, цукрового діабет</w:t>
      </w:r>
      <w:r w:rsidR="00AE7B17" w:rsidRPr="007F5722">
        <w:rPr>
          <w:rFonts w:ascii="Times New Roman" w:hAnsi="Times New Roman" w:cs="Times New Roman"/>
          <w:sz w:val="28"/>
          <w:szCs w:val="28"/>
        </w:rPr>
        <w:t>у 2 типу. Дослідження останніх</w:t>
      </w:r>
      <w:r w:rsidRPr="007F5722">
        <w:rPr>
          <w:rFonts w:ascii="Times New Roman" w:hAnsi="Times New Roman" w:cs="Times New Roman"/>
          <w:sz w:val="28"/>
          <w:szCs w:val="28"/>
        </w:rPr>
        <w:t xml:space="preserve"> років продемонструвал</w:t>
      </w:r>
      <w:r w:rsidR="00AE7B17" w:rsidRPr="007F5722">
        <w:rPr>
          <w:rFonts w:ascii="Times New Roman" w:hAnsi="Times New Roman" w:cs="Times New Roman"/>
          <w:sz w:val="28"/>
          <w:szCs w:val="28"/>
        </w:rPr>
        <w:t>и, що саме АО найбільш</w:t>
      </w:r>
      <w:r w:rsidRPr="007F5722">
        <w:rPr>
          <w:rFonts w:ascii="Times New Roman" w:hAnsi="Times New Roman" w:cs="Times New Roman"/>
          <w:sz w:val="28"/>
          <w:szCs w:val="28"/>
        </w:rPr>
        <w:t xml:space="preserve"> тісно корелює з компонентами МС. На підставі проведених епідеміологічних і клінічних досліджень встановлено, що саме </w:t>
      </w:r>
      <w:r w:rsidRPr="007F5722">
        <w:rPr>
          <w:rFonts w:ascii="Times New Roman" w:hAnsi="Times New Roman" w:cs="Times New Roman"/>
          <w:sz w:val="28"/>
          <w:szCs w:val="28"/>
        </w:rPr>
        <w:lastRenderedPageBreak/>
        <w:t>абдомінальний тип розподілу жирової тканини є чинником ризику серцево-судинної патології [</w:t>
      </w:r>
      <w:r w:rsidR="00556234" w:rsidRPr="007F5722">
        <w:rPr>
          <w:rFonts w:ascii="Times New Roman" w:hAnsi="Times New Roman" w:cs="Times New Roman"/>
          <w:sz w:val="28"/>
          <w:szCs w:val="28"/>
        </w:rPr>
        <w:t>74</w:t>
      </w:r>
      <w:r w:rsidRPr="007F5722">
        <w:rPr>
          <w:rFonts w:ascii="Times New Roman" w:hAnsi="Times New Roman" w:cs="Times New Roman"/>
          <w:sz w:val="28"/>
          <w:szCs w:val="28"/>
        </w:rPr>
        <w:t>].</w:t>
      </w:r>
    </w:p>
    <w:p w:rsidR="007D687A" w:rsidRPr="007F5722" w:rsidRDefault="00556234" w:rsidP="00556234">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МС</w:t>
      </w:r>
      <w:r w:rsidR="007D687A" w:rsidRPr="007F5722">
        <w:rPr>
          <w:rFonts w:ascii="Times New Roman" w:hAnsi="Times New Roman" w:cs="Times New Roman"/>
          <w:sz w:val="28"/>
          <w:szCs w:val="28"/>
        </w:rPr>
        <w:t xml:space="preserve"> супроводжується більш високим ризиком розвитку ССЗ, ніж в загальній популяції. Дані останнього мета-аналізу вказують на те, що у пацієнтів, які страждають </w:t>
      </w:r>
      <w:r w:rsidRPr="007F5722">
        <w:rPr>
          <w:rFonts w:ascii="Times New Roman" w:hAnsi="Times New Roman" w:cs="Times New Roman"/>
          <w:sz w:val="28"/>
          <w:szCs w:val="28"/>
        </w:rPr>
        <w:t>на МС</w:t>
      </w:r>
      <w:r w:rsidR="007D687A" w:rsidRPr="007F5722">
        <w:rPr>
          <w:rFonts w:ascii="Times New Roman" w:hAnsi="Times New Roman" w:cs="Times New Roman"/>
          <w:sz w:val="28"/>
          <w:szCs w:val="28"/>
        </w:rPr>
        <w:t>, в 2 рази підвищений ри</w:t>
      </w:r>
      <w:r w:rsidRPr="007F5722">
        <w:rPr>
          <w:rFonts w:ascii="Times New Roman" w:hAnsi="Times New Roman" w:cs="Times New Roman"/>
          <w:sz w:val="28"/>
          <w:szCs w:val="28"/>
        </w:rPr>
        <w:t>зик розвитку серцево-судинної</w:t>
      </w:r>
      <w:r w:rsidR="007D687A" w:rsidRPr="007F5722">
        <w:rPr>
          <w:rFonts w:ascii="Times New Roman" w:hAnsi="Times New Roman" w:cs="Times New Roman"/>
          <w:sz w:val="28"/>
          <w:szCs w:val="28"/>
        </w:rPr>
        <w:t xml:space="preserve"> патології, а смертність від будь-яких причин вище в 1,5 рази [</w:t>
      </w:r>
      <w:r w:rsidRPr="007F5722">
        <w:rPr>
          <w:rFonts w:ascii="Times New Roman" w:hAnsi="Times New Roman" w:cs="Times New Roman"/>
          <w:sz w:val="28"/>
          <w:szCs w:val="28"/>
        </w:rPr>
        <w:t>74].</w:t>
      </w:r>
    </w:p>
    <w:p w:rsidR="007D687A" w:rsidRPr="007F5722" w:rsidRDefault="007D687A" w:rsidP="007D687A">
      <w:pPr>
        <w:spacing w:after="0" w:line="360" w:lineRule="auto"/>
        <w:jc w:val="both"/>
        <w:rPr>
          <w:rFonts w:ascii="Times New Roman" w:hAnsi="Times New Roman" w:cs="Times New Roman"/>
          <w:sz w:val="28"/>
          <w:szCs w:val="28"/>
        </w:rPr>
      </w:pPr>
      <w:r w:rsidRPr="007F5722">
        <w:rPr>
          <w:rFonts w:ascii="Times New Roman" w:hAnsi="Times New Roman" w:cs="Times New Roman"/>
          <w:sz w:val="28"/>
          <w:szCs w:val="28"/>
        </w:rPr>
        <w:t>Специфічні ознаки дисліпідем</w:t>
      </w:r>
      <w:r w:rsidR="00066D09" w:rsidRPr="007F5722">
        <w:rPr>
          <w:rFonts w:ascii="Times New Roman" w:hAnsi="Times New Roman" w:cs="Times New Roman"/>
          <w:sz w:val="28"/>
          <w:szCs w:val="28"/>
        </w:rPr>
        <w:t>ії на тлі ІР та цукрового діабету</w:t>
      </w:r>
      <w:r w:rsidRPr="007F5722">
        <w:rPr>
          <w:rFonts w:ascii="Times New Roman" w:hAnsi="Times New Roman" w:cs="Times New Roman"/>
          <w:sz w:val="28"/>
          <w:szCs w:val="28"/>
        </w:rPr>
        <w:t xml:space="preserve"> 2 типу. Діабетична дисліпідемія являє собою поєднання порушень змісту в плазмі ліпідів і ліпопротеїдів, які взаємопов'язані на рівні метаболізму. Гіпертриглі</w:t>
      </w:r>
      <w:r w:rsidR="00066D09" w:rsidRPr="007F5722">
        <w:rPr>
          <w:rFonts w:ascii="Times New Roman" w:hAnsi="Times New Roman" w:cs="Times New Roman"/>
          <w:sz w:val="28"/>
          <w:szCs w:val="28"/>
        </w:rPr>
        <w:t>церидемія або низький рівень ХС ЛПВЩ</w:t>
      </w:r>
      <w:r w:rsidRPr="007F5722">
        <w:rPr>
          <w:rFonts w:ascii="Times New Roman" w:hAnsi="Times New Roman" w:cs="Times New Roman"/>
          <w:sz w:val="28"/>
          <w:szCs w:val="28"/>
        </w:rPr>
        <w:t>, або їх поєднання зустр</w:t>
      </w:r>
      <w:r w:rsidR="00066D09" w:rsidRPr="007F5722">
        <w:rPr>
          <w:rFonts w:ascii="Times New Roman" w:hAnsi="Times New Roman" w:cs="Times New Roman"/>
          <w:sz w:val="28"/>
          <w:szCs w:val="28"/>
        </w:rPr>
        <w:t>ічаються у половини хворих на цукровий діабет</w:t>
      </w:r>
      <w:r w:rsidRPr="007F5722">
        <w:rPr>
          <w:rFonts w:ascii="Times New Roman" w:hAnsi="Times New Roman" w:cs="Times New Roman"/>
          <w:sz w:val="28"/>
          <w:szCs w:val="28"/>
        </w:rPr>
        <w:t xml:space="preserve">. Збільшення концентрації великих часток </w:t>
      </w:r>
      <w:r w:rsidR="00066D09" w:rsidRPr="007F5722">
        <w:rPr>
          <w:rFonts w:ascii="Times New Roman" w:hAnsi="Times New Roman" w:cs="Times New Roman"/>
          <w:sz w:val="28"/>
          <w:szCs w:val="28"/>
        </w:rPr>
        <w:t xml:space="preserve">ХС </w:t>
      </w:r>
      <w:r w:rsidRPr="007F5722">
        <w:rPr>
          <w:rFonts w:ascii="Times New Roman" w:hAnsi="Times New Roman" w:cs="Times New Roman"/>
          <w:sz w:val="28"/>
          <w:szCs w:val="28"/>
        </w:rPr>
        <w:t>Л</w:t>
      </w:r>
      <w:r w:rsidR="00066D09" w:rsidRPr="007F5722">
        <w:rPr>
          <w:rFonts w:ascii="Times New Roman" w:hAnsi="Times New Roman" w:cs="Times New Roman"/>
          <w:sz w:val="28"/>
          <w:szCs w:val="28"/>
        </w:rPr>
        <w:t>ПДНЩ при цукровому діабеті</w:t>
      </w:r>
      <w:r w:rsidRPr="007F5722">
        <w:rPr>
          <w:rFonts w:ascii="Times New Roman" w:hAnsi="Times New Roman" w:cs="Times New Roman"/>
          <w:sz w:val="28"/>
          <w:szCs w:val="28"/>
        </w:rPr>
        <w:t xml:space="preserve"> 2 типу ініціює каскад метаболічних порушень, що призводить до збільшення в циркулюючої крові залишків хиломикронів, </w:t>
      </w:r>
      <w:r w:rsidR="00066D09" w:rsidRPr="007F5722">
        <w:rPr>
          <w:rFonts w:ascii="Times New Roman" w:hAnsi="Times New Roman" w:cs="Times New Roman"/>
          <w:sz w:val="28"/>
          <w:szCs w:val="28"/>
        </w:rPr>
        <w:t>ХС ЛПДНЩ, дрібних і щільних часто</w:t>
      </w:r>
      <w:r w:rsidRPr="007F5722">
        <w:rPr>
          <w:rFonts w:ascii="Times New Roman" w:hAnsi="Times New Roman" w:cs="Times New Roman"/>
          <w:sz w:val="28"/>
          <w:szCs w:val="28"/>
        </w:rPr>
        <w:t xml:space="preserve">к </w:t>
      </w:r>
      <w:r w:rsidR="00066D09" w:rsidRPr="007F5722">
        <w:rPr>
          <w:rFonts w:ascii="Times New Roman" w:hAnsi="Times New Roman" w:cs="Times New Roman"/>
          <w:sz w:val="28"/>
          <w:szCs w:val="28"/>
        </w:rPr>
        <w:t xml:space="preserve">ХС </w:t>
      </w:r>
      <w:r w:rsidRPr="007F5722">
        <w:rPr>
          <w:rFonts w:ascii="Times New Roman" w:hAnsi="Times New Roman" w:cs="Times New Roman"/>
          <w:sz w:val="28"/>
          <w:szCs w:val="28"/>
        </w:rPr>
        <w:t>ЛПНЩ [</w:t>
      </w:r>
      <w:r w:rsidR="00066D09" w:rsidRPr="007F5722">
        <w:rPr>
          <w:rFonts w:ascii="Times New Roman" w:hAnsi="Times New Roman" w:cs="Times New Roman"/>
          <w:sz w:val="28"/>
          <w:szCs w:val="28"/>
        </w:rPr>
        <w:t>75, 76</w:t>
      </w:r>
      <w:r w:rsidRPr="007F5722">
        <w:rPr>
          <w:rFonts w:ascii="Times New Roman" w:hAnsi="Times New Roman" w:cs="Times New Roman"/>
          <w:sz w:val="28"/>
          <w:szCs w:val="28"/>
        </w:rPr>
        <w:t xml:space="preserve">]. </w:t>
      </w:r>
    </w:p>
    <w:p w:rsidR="007D687A" w:rsidRPr="007F5722" w:rsidRDefault="007D687A" w:rsidP="00066D09">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 xml:space="preserve">Гіпертригліцеридемія, підвищення </w:t>
      </w:r>
      <w:r w:rsidR="00066D09" w:rsidRPr="007F5722">
        <w:rPr>
          <w:rFonts w:ascii="Times New Roman" w:hAnsi="Times New Roman" w:cs="Times New Roman"/>
          <w:sz w:val="28"/>
          <w:szCs w:val="28"/>
        </w:rPr>
        <w:t xml:space="preserve">ХС </w:t>
      </w:r>
      <w:r w:rsidRPr="007F5722">
        <w:rPr>
          <w:rFonts w:ascii="Times New Roman" w:hAnsi="Times New Roman" w:cs="Times New Roman"/>
          <w:sz w:val="28"/>
          <w:szCs w:val="28"/>
        </w:rPr>
        <w:t xml:space="preserve">ЛПНЩ та зменьшення </w:t>
      </w:r>
      <w:r w:rsidR="00066D09" w:rsidRPr="007F5722">
        <w:rPr>
          <w:rFonts w:ascii="Times New Roman" w:hAnsi="Times New Roman" w:cs="Times New Roman"/>
          <w:sz w:val="28"/>
          <w:szCs w:val="28"/>
        </w:rPr>
        <w:t xml:space="preserve">ХС </w:t>
      </w:r>
      <w:r w:rsidRPr="007F5722">
        <w:rPr>
          <w:rFonts w:ascii="Times New Roman" w:hAnsi="Times New Roman" w:cs="Times New Roman"/>
          <w:sz w:val="28"/>
          <w:szCs w:val="28"/>
        </w:rPr>
        <w:t xml:space="preserve">ЛПВЩ складають атерогену ліпідну тріаду. Важливим є той факт, що </w:t>
      </w:r>
      <w:r w:rsidR="00066D09" w:rsidRPr="007F5722">
        <w:rPr>
          <w:rFonts w:ascii="Times New Roman" w:hAnsi="Times New Roman" w:cs="Times New Roman"/>
          <w:sz w:val="28"/>
          <w:szCs w:val="28"/>
        </w:rPr>
        <w:t>багаті на ТГ</w:t>
      </w:r>
      <w:r w:rsidRPr="007F5722">
        <w:rPr>
          <w:rFonts w:ascii="Times New Roman" w:hAnsi="Times New Roman" w:cs="Times New Roman"/>
          <w:sz w:val="28"/>
          <w:szCs w:val="28"/>
        </w:rPr>
        <w:t xml:space="preserve"> ліпопротеїди (включаючи хиломікрони) і їх зали</w:t>
      </w:r>
      <w:r w:rsidR="00066D09" w:rsidRPr="007F5722">
        <w:rPr>
          <w:rFonts w:ascii="Times New Roman" w:hAnsi="Times New Roman" w:cs="Times New Roman"/>
          <w:sz w:val="28"/>
          <w:szCs w:val="28"/>
        </w:rPr>
        <w:t xml:space="preserve">шки несуть по одній молекулі Апо </w:t>
      </w:r>
      <w:r w:rsidRPr="007F5722">
        <w:rPr>
          <w:rFonts w:ascii="Times New Roman" w:hAnsi="Times New Roman" w:cs="Times New Roman"/>
          <w:sz w:val="28"/>
          <w:szCs w:val="28"/>
        </w:rPr>
        <w:t xml:space="preserve">B, як і частки </w:t>
      </w:r>
      <w:r w:rsidR="00066D09" w:rsidRPr="007F5722">
        <w:rPr>
          <w:rFonts w:ascii="Times New Roman" w:hAnsi="Times New Roman" w:cs="Times New Roman"/>
          <w:sz w:val="28"/>
          <w:szCs w:val="28"/>
        </w:rPr>
        <w:t xml:space="preserve">ХС </w:t>
      </w:r>
      <w:r w:rsidRPr="007F5722">
        <w:rPr>
          <w:rFonts w:ascii="Times New Roman" w:hAnsi="Times New Roman" w:cs="Times New Roman"/>
          <w:sz w:val="28"/>
          <w:szCs w:val="28"/>
        </w:rPr>
        <w:t>Л</w:t>
      </w:r>
      <w:r w:rsidR="00066D09" w:rsidRPr="007F5722">
        <w:rPr>
          <w:rFonts w:ascii="Times New Roman" w:hAnsi="Times New Roman" w:cs="Times New Roman"/>
          <w:sz w:val="28"/>
          <w:szCs w:val="28"/>
        </w:rPr>
        <w:t>ПНЩ</w:t>
      </w:r>
      <w:r w:rsidRPr="007F5722">
        <w:rPr>
          <w:rFonts w:ascii="Times New Roman" w:hAnsi="Times New Roman" w:cs="Times New Roman"/>
          <w:sz w:val="28"/>
          <w:szCs w:val="28"/>
        </w:rPr>
        <w:t xml:space="preserve">. Таким чином, злоякісний характер діабетіческой дисліпідемії не завжди вдається виявити при проведенні рутинного аналізу ліпідів, так як </w:t>
      </w:r>
      <w:r w:rsidR="00066D09" w:rsidRPr="007F5722">
        <w:rPr>
          <w:rFonts w:ascii="Times New Roman" w:hAnsi="Times New Roman" w:cs="Times New Roman"/>
          <w:sz w:val="28"/>
          <w:szCs w:val="28"/>
        </w:rPr>
        <w:t xml:space="preserve">рівень ХС </w:t>
      </w:r>
      <w:r w:rsidRPr="007F5722">
        <w:rPr>
          <w:rFonts w:ascii="Times New Roman" w:hAnsi="Times New Roman" w:cs="Times New Roman"/>
          <w:sz w:val="28"/>
          <w:szCs w:val="28"/>
        </w:rPr>
        <w:t>Л</w:t>
      </w:r>
      <w:r w:rsidR="00066D09" w:rsidRPr="007F5722">
        <w:rPr>
          <w:rFonts w:ascii="Times New Roman" w:hAnsi="Times New Roman" w:cs="Times New Roman"/>
          <w:sz w:val="28"/>
          <w:szCs w:val="28"/>
        </w:rPr>
        <w:t>ПНЩ</w:t>
      </w:r>
      <w:r w:rsidRPr="007F5722">
        <w:rPr>
          <w:rFonts w:ascii="Times New Roman" w:hAnsi="Times New Roman" w:cs="Times New Roman"/>
          <w:sz w:val="28"/>
          <w:szCs w:val="28"/>
        </w:rPr>
        <w:t xml:space="preserve"> залишається в нормальних межах. Підвищений р</w:t>
      </w:r>
      <w:r w:rsidR="00066D09" w:rsidRPr="007F5722">
        <w:rPr>
          <w:rFonts w:ascii="Times New Roman" w:hAnsi="Times New Roman" w:cs="Times New Roman"/>
          <w:sz w:val="28"/>
          <w:szCs w:val="28"/>
        </w:rPr>
        <w:t xml:space="preserve">івень ТГ або знижений рівень ХС </w:t>
      </w:r>
      <w:r w:rsidRPr="007F5722">
        <w:rPr>
          <w:rFonts w:ascii="Times New Roman" w:hAnsi="Times New Roman" w:cs="Times New Roman"/>
          <w:sz w:val="28"/>
          <w:szCs w:val="28"/>
        </w:rPr>
        <w:t>ЛПВЩ зустрічаються при</w:t>
      </w:r>
      <w:r w:rsidR="00066D09" w:rsidRPr="007F5722">
        <w:rPr>
          <w:rFonts w:ascii="Times New Roman" w:hAnsi="Times New Roman" w:cs="Times New Roman"/>
          <w:sz w:val="28"/>
          <w:szCs w:val="28"/>
        </w:rPr>
        <w:t>близно у половини пацієнтів з цукровим діабетом 2 типу [77</w:t>
      </w:r>
      <w:r w:rsidRPr="007F5722">
        <w:rPr>
          <w:rFonts w:ascii="Times New Roman" w:hAnsi="Times New Roman" w:cs="Times New Roman"/>
          <w:sz w:val="28"/>
          <w:szCs w:val="28"/>
        </w:rPr>
        <w:t xml:space="preserve">]. Зміни ліпідного </w:t>
      </w:r>
      <w:r w:rsidR="00066D09" w:rsidRPr="007F5722">
        <w:rPr>
          <w:rFonts w:ascii="Times New Roman" w:hAnsi="Times New Roman" w:cs="Times New Roman"/>
          <w:sz w:val="28"/>
          <w:szCs w:val="28"/>
        </w:rPr>
        <w:t>профілю випереджають розвиток цукровий діабет</w:t>
      </w:r>
      <w:r w:rsidRPr="007F5722">
        <w:rPr>
          <w:rFonts w:ascii="Times New Roman" w:hAnsi="Times New Roman" w:cs="Times New Roman"/>
          <w:sz w:val="28"/>
          <w:szCs w:val="28"/>
        </w:rPr>
        <w:t xml:space="preserve"> на кілька років і часто спостерігаються у пацієн</w:t>
      </w:r>
      <w:r w:rsidR="00066D09" w:rsidRPr="007F5722">
        <w:rPr>
          <w:rFonts w:ascii="Times New Roman" w:hAnsi="Times New Roman" w:cs="Times New Roman"/>
          <w:sz w:val="28"/>
          <w:szCs w:val="28"/>
        </w:rPr>
        <w:t>тів з АО</w:t>
      </w:r>
      <w:r w:rsidRPr="007F5722">
        <w:rPr>
          <w:rFonts w:ascii="Times New Roman" w:hAnsi="Times New Roman" w:cs="Times New Roman"/>
          <w:sz w:val="28"/>
          <w:szCs w:val="28"/>
        </w:rPr>
        <w:t xml:space="preserve">, </w:t>
      </w:r>
      <w:r w:rsidR="00066D09" w:rsidRPr="007F5722">
        <w:rPr>
          <w:rFonts w:ascii="Times New Roman" w:hAnsi="Times New Roman" w:cs="Times New Roman"/>
          <w:sz w:val="28"/>
          <w:szCs w:val="28"/>
        </w:rPr>
        <w:t>МС</w:t>
      </w:r>
      <w:r w:rsidRPr="007F5722">
        <w:rPr>
          <w:rFonts w:ascii="Times New Roman" w:hAnsi="Times New Roman" w:cs="Times New Roman"/>
          <w:sz w:val="28"/>
          <w:szCs w:val="28"/>
        </w:rPr>
        <w:t xml:space="preserve"> [</w:t>
      </w:r>
      <w:r w:rsidR="00066D09" w:rsidRPr="007F5722">
        <w:rPr>
          <w:rFonts w:ascii="Times New Roman" w:hAnsi="Times New Roman" w:cs="Times New Roman"/>
          <w:sz w:val="28"/>
          <w:szCs w:val="28"/>
        </w:rPr>
        <w:t>77</w:t>
      </w:r>
      <w:r w:rsidRPr="007F5722">
        <w:rPr>
          <w:rFonts w:ascii="Times New Roman" w:hAnsi="Times New Roman" w:cs="Times New Roman"/>
          <w:sz w:val="28"/>
          <w:szCs w:val="28"/>
        </w:rPr>
        <w:t>].</w:t>
      </w:r>
    </w:p>
    <w:p w:rsidR="007D687A" w:rsidRPr="007F5722" w:rsidRDefault="00066D09" w:rsidP="00066D09">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Дисліпідемия при МС</w:t>
      </w:r>
      <w:r w:rsidR="007D687A" w:rsidRPr="007F5722">
        <w:rPr>
          <w:rFonts w:ascii="Times New Roman" w:hAnsi="Times New Roman" w:cs="Times New Roman"/>
          <w:sz w:val="28"/>
          <w:szCs w:val="28"/>
        </w:rPr>
        <w:t xml:space="preserve"> є комплексом порушень метаболізму ліпідів і л</w:t>
      </w:r>
      <w:r w:rsidRPr="007F5722">
        <w:rPr>
          <w:rFonts w:ascii="Times New Roman" w:hAnsi="Times New Roman" w:cs="Times New Roman"/>
          <w:sz w:val="28"/>
          <w:szCs w:val="28"/>
        </w:rPr>
        <w:t>іпопротеїдів, включаючи</w:t>
      </w:r>
      <w:r w:rsidR="00556F8E" w:rsidRPr="007F5722">
        <w:rPr>
          <w:rFonts w:ascii="Times New Roman" w:hAnsi="Times New Roman" w:cs="Times New Roman"/>
          <w:sz w:val="28"/>
          <w:szCs w:val="28"/>
        </w:rPr>
        <w:t xml:space="preserve"> підвищення рівнів ТГ, Апо B, малих щільних ХС ЛПНЩ, а також низький рівень ХС ЛПВЩ і Апо A1</w:t>
      </w:r>
      <w:r w:rsidRPr="007F5722">
        <w:rPr>
          <w:rFonts w:ascii="Times New Roman" w:hAnsi="Times New Roman" w:cs="Times New Roman"/>
          <w:sz w:val="28"/>
          <w:szCs w:val="28"/>
        </w:rPr>
        <w:t xml:space="preserve"> </w:t>
      </w:r>
      <w:r w:rsidR="00556F8E" w:rsidRPr="007F5722">
        <w:rPr>
          <w:rFonts w:ascii="Times New Roman" w:hAnsi="Times New Roman" w:cs="Times New Roman"/>
          <w:sz w:val="28"/>
          <w:szCs w:val="28"/>
        </w:rPr>
        <w:t>натще</w:t>
      </w:r>
      <w:r w:rsidR="007D687A" w:rsidRPr="007F5722">
        <w:rPr>
          <w:rFonts w:ascii="Times New Roman" w:hAnsi="Times New Roman" w:cs="Times New Roman"/>
          <w:sz w:val="28"/>
          <w:szCs w:val="28"/>
        </w:rPr>
        <w:t xml:space="preserve"> і постпрандіальн</w:t>
      </w:r>
      <w:r w:rsidR="00556F8E" w:rsidRPr="007F5722">
        <w:rPr>
          <w:rFonts w:ascii="Times New Roman" w:hAnsi="Times New Roman" w:cs="Times New Roman"/>
          <w:sz w:val="28"/>
          <w:szCs w:val="28"/>
        </w:rPr>
        <w:t>о</w:t>
      </w:r>
      <w:r w:rsidRPr="007F5722">
        <w:rPr>
          <w:rFonts w:ascii="Times New Roman" w:hAnsi="Times New Roman" w:cs="Times New Roman"/>
          <w:sz w:val="28"/>
          <w:szCs w:val="28"/>
        </w:rPr>
        <w:t>. ХС-неЛВЩ або рівень А</w:t>
      </w:r>
      <w:r w:rsidR="007D687A" w:rsidRPr="007F5722">
        <w:rPr>
          <w:rFonts w:ascii="Times New Roman" w:hAnsi="Times New Roman" w:cs="Times New Roman"/>
          <w:sz w:val="28"/>
          <w:szCs w:val="28"/>
        </w:rPr>
        <w:t>по</w:t>
      </w:r>
      <w:r w:rsidRPr="007F5722">
        <w:rPr>
          <w:rFonts w:ascii="Times New Roman" w:hAnsi="Times New Roman" w:cs="Times New Roman"/>
          <w:sz w:val="28"/>
          <w:szCs w:val="28"/>
        </w:rPr>
        <w:t xml:space="preserve"> </w:t>
      </w:r>
      <w:r w:rsidR="007D687A" w:rsidRPr="007F5722">
        <w:rPr>
          <w:rFonts w:ascii="Times New Roman" w:hAnsi="Times New Roman" w:cs="Times New Roman"/>
          <w:sz w:val="28"/>
          <w:szCs w:val="28"/>
        </w:rPr>
        <w:t>B є гарними маркерами рівня ліпопротеїдів, насичених триглицеридами [</w:t>
      </w:r>
      <w:r w:rsidRPr="007F5722">
        <w:rPr>
          <w:rFonts w:ascii="Times New Roman" w:hAnsi="Times New Roman" w:cs="Times New Roman"/>
          <w:sz w:val="28"/>
          <w:szCs w:val="28"/>
        </w:rPr>
        <w:t>78</w:t>
      </w:r>
      <w:r w:rsidR="007D687A" w:rsidRPr="007F5722">
        <w:rPr>
          <w:rFonts w:ascii="Times New Roman" w:hAnsi="Times New Roman" w:cs="Times New Roman"/>
          <w:sz w:val="28"/>
          <w:szCs w:val="28"/>
        </w:rPr>
        <w:t>]</w:t>
      </w:r>
    </w:p>
    <w:p w:rsidR="007D687A" w:rsidRPr="007F5722" w:rsidRDefault="007D687A" w:rsidP="00066D09">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lastRenderedPageBreak/>
        <w:t>Як свідчать епідеміологічні дослідження,</w:t>
      </w:r>
      <w:r w:rsidR="00066D09" w:rsidRPr="007F5722">
        <w:rPr>
          <w:rFonts w:ascii="Times New Roman" w:hAnsi="Times New Roman" w:cs="Times New Roman"/>
          <w:sz w:val="28"/>
          <w:szCs w:val="28"/>
        </w:rPr>
        <w:t xml:space="preserve"> підвищення рівня ТГ</w:t>
      </w:r>
      <w:r w:rsidRPr="007F5722">
        <w:rPr>
          <w:rFonts w:ascii="Times New Roman" w:hAnsi="Times New Roman" w:cs="Times New Roman"/>
          <w:sz w:val="28"/>
          <w:szCs w:val="28"/>
        </w:rPr>
        <w:t xml:space="preserve"> в крові натще є незалежним чинником ризику </w:t>
      </w:r>
      <w:r w:rsidR="00066D09" w:rsidRPr="007F5722">
        <w:rPr>
          <w:rFonts w:ascii="Times New Roman" w:hAnsi="Times New Roman" w:cs="Times New Roman"/>
          <w:sz w:val="28"/>
          <w:szCs w:val="28"/>
        </w:rPr>
        <w:t>ІХС</w:t>
      </w:r>
      <w:r w:rsidRPr="007F5722">
        <w:rPr>
          <w:rFonts w:ascii="Times New Roman" w:hAnsi="Times New Roman" w:cs="Times New Roman"/>
          <w:sz w:val="28"/>
          <w:szCs w:val="28"/>
        </w:rPr>
        <w:t xml:space="preserve"> [</w:t>
      </w:r>
      <w:r w:rsidR="00066D09" w:rsidRPr="007F5722">
        <w:rPr>
          <w:rFonts w:ascii="Times New Roman" w:hAnsi="Times New Roman" w:cs="Times New Roman"/>
          <w:sz w:val="28"/>
          <w:szCs w:val="28"/>
        </w:rPr>
        <w:t>79</w:t>
      </w:r>
      <w:r w:rsidR="00D46909" w:rsidRPr="007F5722">
        <w:rPr>
          <w:rFonts w:ascii="Times New Roman" w:hAnsi="Times New Roman" w:cs="Times New Roman"/>
          <w:sz w:val="28"/>
          <w:szCs w:val="28"/>
        </w:rPr>
        <w:t>].</w:t>
      </w:r>
    </w:p>
    <w:p w:rsidR="007D687A" w:rsidRPr="007F5722" w:rsidRDefault="00066D09" w:rsidP="00503F11">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Частки ХС ЛПДНЩ</w:t>
      </w:r>
      <w:r w:rsidR="007D687A" w:rsidRPr="007F5722">
        <w:rPr>
          <w:rFonts w:ascii="Times New Roman" w:hAnsi="Times New Roman" w:cs="Times New Roman"/>
          <w:sz w:val="28"/>
          <w:szCs w:val="28"/>
        </w:rPr>
        <w:t>, збагачені ТГ, частіше піддаються ендоцитозу через рецептори на макрофагах з подальшим</w:t>
      </w:r>
      <w:r w:rsidR="00503F11" w:rsidRPr="007F5722">
        <w:rPr>
          <w:rFonts w:ascii="Times New Roman" w:hAnsi="Times New Roman" w:cs="Times New Roman"/>
          <w:sz w:val="28"/>
          <w:szCs w:val="28"/>
        </w:rPr>
        <w:t xml:space="preserve"> </w:t>
      </w:r>
      <w:r w:rsidR="007D687A" w:rsidRPr="007F5722">
        <w:rPr>
          <w:rFonts w:ascii="Times New Roman" w:hAnsi="Times New Roman" w:cs="Times New Roman"/>
          <w:sz w:val="28"/>
          <w:szCs w:val="28"/>
        </w:rPr>
        <w:t>перетворенням в пінисті клітини (механізм, що веде до розвитку атеросклерозу), ніж катаболізуються за звичайним печінковим шляхом [</w:t>
      </w:r>
      <w:r w:rsidR="00503F11" w:rsidRPr="007F5722">
        <w:rPr>
          <w:rFonts w:ascii="Times New Roman" w:hAnsi="Times New Roman" w:cs="Times New Roman"/>
          <w:sz w:val="28"/>
          <w:szCs w:val="28"/>
        </w:rPr>
        <w:t>80</w:t>
      </w:r>
      <w:r w:rsidR="007D687A" w:rsidRPr="007F5722">
        <w:rPr>
          <w:rFonts w:ascii="Times New Roman" w:hAnsi="Times New Roman" w:cs="Times New Roman"/>
          <w:sz w:val="28"/>
          <w:szCs w:val="28"/>
        </w:rPr>
        <w:t xml:space="preserve">]. </w:t>
      </w:r>
    </w:p>
    <w:p w:rsidR="007D687A" w:rsidRPr="007F5722" w:rsidRDefault="007D687A" w:rsidP="007D687A">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Вперше концепція про можливу атерогенну рол</w:t>
      </w:r>
      <w:r w:rsidR="00503F11" w:rsidRPr="007F5722">
        <w:rPr>
          <w:rFonts w:ascii="Times New Roman" w:hAnsi="Times New Roman" w:cs="Times New Roman"/>
          <w:sz w:val="28"/>
          <w:szCs w:val="28"/>
        </w:rPr>
        <w:t>ь постпрандіпльних ТГ, а саме хіломикроні</w:t>
      </w:r>
      <w:r w:rsidRPr="007F5722">
        <w:rPr>
          <w:rFonts w:ascii="Times New Roman" w:hAnsi="Times New Roman" w:cs="Times New Roman"/>
          <w:sz w:val="28"/>
          <w:szCs w:val="28"/>
        </w:rPr>
        <w:t xml:space="preserve">в (ХМ), </w:t>
      </w:r>
      <w:r w:rsidR="00503F11" w:rsidRPr="007F5722">
        <w:rPr>
          <w:rFonts w:ascii="Times New Roman" w:hAnsi="Times New Roman" w:cs="Times New Roman"/>
          <w:sz w:val="28"/>
          <w:szCs w:val="28"/>
        </w:rPr>
        <w:t xml:space="preserve">ХС </w:t>
      </w:r>
      <w:r w:rsidRPr="007F5722">
        <w:rPr>
          <w:rFonts w:ascii="Times New Roman" w:hAnsi="Times New Roman" w:cs="Times New Roman"/>
          <w:sz w:val="28"/>
          <w:szCs w:val="28"/>
        </w:rPr>
        <w:t>ЛПДНЩ і їх ремнант</w:t>
      </w:r>
      <w:r w:rsidR="00503F11" w:rsidRPr="007F5722">
        <w:rPr>
          <w:rFonts w:ascii="Times New Roman" w:hAnsi="Times New Roman" w:cs="Times New Roman"/>
          <w:sz w:val="28"/>
          <w:szCs w:val="28"/>
        </w:rPr>
        <w:t>і</w:t>
      </w:r>
      <w:r w:rsidRPr="007F5722">
        <w:rPr>
          <w:rFonts w:ascii="Times New Roman" w:hAnsi="Times New Roman" w:cs="Times New Roman"/>
          <w:sz w:val="28"/>
          <w:szCs w:val="28"/>
        </w:rPr>
        <w:t>в була запропонована Zilversmit D.B. ще в кінці 70-х років минулого століття.</w:t>
      </w:r>
    </w:p>
    <w:p w:rsidR="007D687A" w:rsidRPr="007F5722" w:rsidRDefault="007D687A" w:rsidP="00503F11">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Збільш</w:t>
      </w:r>
      <w:r w:rsidR="00503F11" w:rsidRPr="007F5722">
        <w:rPr>
          <w:rFonts w:ascii="Times New Roman" w:hAnsi="Times New Roman" w:cs="Times New Roman"/>
          <w:sz w:val="28"/>
          <w:szCs w:val="28"/>
        </w:rPr>
        <w:t>ення в</w:t>
      </w:r>
      <w:r w:rsidRPr="007F5722">
        <w:rPr>
          <w:rFonts w:ascii="Times New Roman" w:hAnsi="Times New Roman" w:cs="Times New Roman"/>
          <w:sz w:val="28"/>
          <w:szCs w:val="28"/>
        </w:rPr>
        <w:t xml:space="preserve"> крові вільних жирних кислот (ВЖК) в </w:t>
      </w:r>
      <w:r w:rsidR="00556F8E" w:rsidRPr="007F5722">
        <w:rPr>
          <w:rFonts w:ascii="Times New Roman" w:hAnsi="Times New Roman" w:cs="Times New Roman"/>
          <w:sz w:val="28"/>
          <w:szCs w:val="28"/>
        </w:rPr>
        <w:t>період постпрандіальної ліпемії</w:t>
      </w:r>
      <w:r w:rsidRPr="007F5722">
        <w:rPr>
          <w:rFonts w:ascii="Times New Roman" w:hAnsi="Times New Roman" w:cs="Times New Roman"/>
          <w:sz w:val="28"/>
          <w:szCs w:val="28"/>
        </w:rPr>
        <w:t xml:space="preserve"> посилює вплив збагачених ТГ частинок </w:t>
      </w:r>
      <w:r w:rsidR="00503F11" w:rsidRPr="007F5722">
        <w:rPr>
          <w:rFonts w:ascii="Times New Roman" w:hAnsi="Times New Roman" w:cs="Times New Roman"/>
          <w:sz w:val="28"/>
          <w:szCs w:val="28"/>
        </w:rPr>
        <w:t xml:space="preserve">ХС </w:t>
      </w:r>
      <w:r w:rsidRPr="007F5722">
        <w:rPr>
          <w:rFonts w:ascii="Times New Roman" w:hAnsi="Times New Roman" w:cs="Times New Roman"/>
          <w:sz w:val="28"/>
          <w:szCs w:val="28"/>
        </w:rPr>
        <w:t>ЛПДНЩ на функ</w:t>
      </w:r>
      <w:r w:rsidR="00503F11" w:rsidRPr="007F5722">
        <w:rPr>
          <w:rFonts w:ascii="Times New Roman" w:hAnsi="Times New Roman" w:cs="Times New Roman"/>
          <w:sz w:val="28"/>
          <w:szCs w:val="28"/>
        </w:rPr>
        <w:t>цію ендотелію, а ефект ліпотокси</w:t>
      </w:r>
      <w:r w:rsidRPr="007F5722">
        <w:rPr>
          <w:rFonts w:ascii="Times New Roman" w:hAnsi="Times New Roman" w:cs="Times New Roman"/>
          <w:sz w:val="28"/>
          <w:szCs w:val="28"/>
        </w:rPr>
        <w:t xml:space="preserve">чності </w:t>
      </w:r>
      <w:r w:rsidR="00503F11" w:rsidRPr="007F5722">
        <w:rPr>
          <w:rFonts w:ascii="Times New Roman" w:hAnsi="Times New Roman" w:cs="Times New Roman"/>
          <w:sz w:val="28"/>
          <w:szCs w:val="28"/>
        </w:rPr>
        <w:t xml:space="preserve">ХС </w:t>
      </w:r>
      <w:r w:rsidRPr="007F5722">
        <w:rPr>
          <w:rFonts w:ascii="Times New Roman" w:hAnsi="Times New Roman" w:cs="Times New Roman"/>
          <w:sz w:val="28"/>
          <w:szCs w:val="28"/>
        </w:rPr>
        <w:t>ЛПДНЩ зростає при підвищенні співвідношення ВЖК / альбумін [</w:t>
      </w:r>
      <w:r w:rsidR="00503F11" w:rsidRPr="007F5722">
        <w:rPr>
          <w:rFonts w:ascii="Times New Roman" w:hAnsi="Times New Roman" w:cs="Times New Roman"/>
          <w:sz w:val="28"/>
          <w:szCs w:val="28"/>
        </w:rPr>
        <w:t>81</w:t>
      </w:r>
      <w:r w:rsidRPr="007F5722">
        <w:rPr>
          <w:rFonts w:ascii="Times New Roman" w:hAnsi="Times New Roman" w:cs="Times New Roman"/>
          <w:sz w:val="28"/>
          <w:szCs w:val="28"/>
        </w:rPr>
        <w:t>].</w:t>
      </w:r>
    </w:p>
    <w:p w:rsidR="007D687A" w:rsidRPr="007F5722" w:rsidRDefault="00503F11" w:rsidP="00503F11">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Збагачення ТГ част</w:t>
      </w:r>
      <w:r w:rsidR="007D687A" w:rsidRPr="007F5722">
        <w:rPr>
          <w:rFonts w:ascii="Times New Roman" w:hAnsi="Times New Roman" w:cs="Times New Roman"/>
          <w:sz w:val="28"/>
          <w:szCs w:val="28"/>
        </w:rPr>
        <w:t xml:space="preserve">ок </w:t>
      </w:r>
      <w:r w:rsidRPr="007F5722">
        <w:rPr>
          <w:rFonts w:ascii="Times New Roman" w:hAnsi="Times New Roman" w:cs="Times New Roman"/>
          <w:sz w:val="28"/>
          <w:szCs w:val="28"/>
        </w:rPr>
        <w:t xml:space="preserve">ХС </w:t>
      </w:r>
      <w:r w:rsidR="007D687A" w:rsidRPr="007F5722">
        <w:rPr>
          <w:rFonts w:ascii="Times New Roman" w:hAnsi="Times New Roman" w:cs="Times New Roman"/>
          <w:sz w:val="28"/>
          <w:szCs w:val="28"/>
        </w:rPr>
        <w:t xml:space="preserve">ЛПДНЩ також сприяє порушенням метаболізму </w:t>
      </w:r>
      <w:r w:rsidRPr="007F5722">
        <w:rPr>
          <w:rFonts w:ascii="Times New Roman" w:hAnsi="Times New Roman" w:cs="Times New Roman"/>
          <w:sz w:val="28"/>
          <w:szCs w:val="28"/>
        </w:rPr>
        <w:t xml:space="preserve">ХС </w:t>
      </w:r>
      <w:r w:rsidR="007D687A" w:rsidRPr="007F5722">
        <w:rPr>
          <w:rFonts w:ascii="Times New Roman" w:hAnsi="Times New Roman" w:cs="Times New Roman"/>
          <w:sz w:val="28"/>
          <w:szCs w:val="28"/>
        </w:rPr>
        <w:t>ЛПНЩ з підвищеним у</w:t>
      </w:r>
      <w:r w:rsidRPr="007F5722">
        <w:rPr>
          <w:rFonts w:ascii="Times New Roman" w:hAnsi="Times New Roman" w:cs="Times New Roman"/>
          <w:sz w:val="28"/>
          <w:szCs w:val="28"/>
        </w:rPr>
        <w:t>творенням дрібних щільних част</w:t>
      </w:r>
      <w:r w:rsidR="007D687A" w:rsidRPr="007F5722">
        <w:rPr>
          <w:rFonts w:ascii="Times New Roman" w:hAnsi="Times New Roman" w:cs="Times New Roman"/>
          <w:sz w:val="28"/>
          <w:szCs w:val="28"/>
        </w:rPr>
        <w:t xml:space="preserve">ок </w:t>
      </w:r>
      <w:r w:rsidRPr="007F5722">
        <w:rPr>
          <w:rFonts w:ascii="Times New Roman" w:hAnsi="Times New Roman" w:cs="Times New Roman"/>
          <w:sz w:val="28"/>
          <w:szCs w:val="28"/>
        </w:rPr>
        <w:t xml:space="preserve">ХС </w:t>
      </w:r>
      <w:r w:rsidR="007D687A" w:rsidRPr="007F5722">
        <w:rPr>
          <w:rFonts w:ascii="Times New Roman" w:hAnsi="Times New Roman" w:cs="Times New Roman"/>
          <w:sz w:val="28"/>
          <w:szCs w:val="28"/>
        </w:rPr>
        <w:t>ЛПНЩ, що надають токсичну дію на клітини судинного ендотелію і захоплює переважно шляхом ендоцитоза через рецептори на поверхні макрофагів [</w:t>
      </w:r>
      <w:r w:rsidRPr="007F5722">
        <w:rPr>
          <w:rFonts w:ascii="Times New Roman" w:hAnsi="Times New Roman" w:cs="Times New Roman"/>
          <w:sz w:val="28"/>
          <w:szCs w:val="28"/>
        </w:rPr>
        <w:t>82</w:t>
      </w:r>
      <w:r w:rsidR="007D687A" w:rsidRPr="007F5722">
        <w:rPr>
          <w:rFonts w:ascii="Times New Roman" w:hAnsi="Times New Roman" w:cs="Times New Roman"/>
          <w:sz w:val="28"/>
          <w:szCs w:val="28"/>
        </w:rPr>
        <w:t>].</w:t>
      </w:r>
    </w:p>
    <w:p w:rsidR="007D687A" w:rsidRPr="007F5722" w:rsidRDefault="007D687A" w:rsidP="00503F11">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 xml:space="preserve">Концентрація ТГ має суттєвий вплив на субфракційний спектр </w:t>
      </w:r>
      <w:r w:rsidR="00503F11" w:rsidRPr="007F5722">
        <w:rPr>
          <w:rFonts w:ascii="Times New Roman" w:hAnsi="Times New Roman" w:cs="Times New Roman"/>
          <w:sz w:val="28"/>
          <w:szCs w:val="28"/>
        </w:rPr>
        <w:t xml:space="preserve">ХС </w:t>
      </w:r>
      <w:r w:rsidRPr="007F5722">
        <w:rPr>
          <w:rFonts w:ascii="Times New Roman" w:hAnsi="Times New Roman" w:cs="Times New Roman"/>
          <w:sz w:val="28"/>
          <w:szCs w:val="28"/>
        </w:rPr>
        <w:t>ЛПНЩ. Так, при рівні ТГ</w:t>
      </w:r>
      <w:r w:rsidR="00503F11" w:rsidRPr="007F5722">
        <w:rPr>
          <w:rFonts w:ascii="Times New Roman" w:hAnsi="Times New Roman" w:cs="Times New Roman"/>
          <w:sz w:val="28"/>
          <w:szCs w:val="28"/>
        </w:rPr>
        <w:t xml:space="preserve"> </w:t>
      </w:r>
      <w:r w:rsidR="00556F8E" w:rsidRPr="007F5722">
        <w:rPr>
          <w:rFonts w:ascii="Times New Roman" w:hAnsi="Times New Roman" w:cs="Times New Roman"/>
          <w:sz w:val="28"/>
          <w:szCs w:val="28"/>
        </w:rPr>
        <w:t>&gt; 1,5-1,7 ммоль/</w:t>
      </w:r>
      <w:r w:rsidRPr="007F5722">
        <w:rPr>
          <w:rFonts w:ascii="Times New Roman" w:hAnsi="Times New Roman" w:cs="Times New Roman"/>
          <w:sz w:val="28"/>
          <w:szCs w:val="28"/>
        </w:rPr>
        <w:t xml:space="preserve">л в крові переважає підфракції дрібних щільних частинок </w:t>
      </w:r>
      <w:r w:rsidR="00503F11" w:rsidRPr="007F5722">
        <w:rPr>
          <w:rFonts w:ascii="Times New Roman" w:hAnsi="Times New Roman" w:cs="Times New Roman"/>
          <w:sz w:val="28"/>
          <w:szCs w:val="28"/>
        </w:rPr>
        <w:t xml:space="preserve">ХС </w:t>
      </w:r>
      <w:r w:rsidRPr="007F5722">
        <w:rPr>
          <w:rFonts w:ascii="Times New Roman" w:hAnsi="Times New Roman" w:cs="Times New Roman"/>
          <w:sz w:val="28"/>
          <w:szCs w:val="28"/>
        </w:rPr>
        <w:t>ЛПНЩ. Зниження концентрації ТГ в крові супроводжується зміною</w:t>
      </w:r>
      <w:r w:rsidR="00503F11" w:rsidRPr="007F5722">
        <w:rPr>
          <w:rFonts w:ascii="Times New Roman" w:hAnsi="Times New Roman" w:cs="Times New Roman"/>
          <w:sz w:val="28"/>
          <w:szCs w:val="28"/>
        </w:rPr>
        <w:t xml:space="preserve"> </w:t>
      </w:r>
      <w:r w:rsidRPr="007F5722">
        <w:rPr>
          <w:rFonts w:ascii="Times New Roman" w:hAnsi="Times New Roman" w:cs="Times New Roman"/>
          <w:sz w:val="28"/>
          <w:szCs w:val="28"/>
        </w:rPr>
        <w:t xml:space="preserve">розміру </w:t>
      </w:r>
      <w:r w:rsidR="00503F11" w:rsidRPr="007F5722">
        <w:rPr>
          <w:rFonts w:ascii="Times New Roman" w:hAnsi="Times New Roman" w:cs="Times New Roman"/>
          <w:sz w:val="28"/>
          <w:szCs w:val="28"/>
        </w:rPr>
        <w:t>ХС ЛПНЩ-част</w:t>
      </w:r>
      <w:r w:rsidRPr="007F5722">
        <w:rPr>
          <w:rFonts w:ascii="Times New Roman" w:hAnsi="Times New Roman" w:cs="Times New Roman"/>
          <w:sz w:val="28"/>
          <w:szCs w:val="28"/>
        </w:rPr>
        <w:t>ок в сторону більших [</w:t>
      </w:r>
      <w:r w:rsidR="00503F11" w:rsidRPr="007F5722">
        <w:rPr>
          <w:rFonts w:ascii="Times New Roman" w:hAnsi="Times New Roman" w:cs="Times New Roman"/>
          <w:sz w:val="28"/>
          <w:szCs w:val="28"/>
        </w:rPr>
        <w:t>83</w:t>
      </w:r>
      <w:r w:rsidRPr="007F5722">
        <w:rPr>
          <w:rFonts w:ascii="Times New Roman" w:hAnsi="Times New Roman" w:cs="Times New Roman"/>
          <w:sz w:val="28"/>
          <w:szCs w:val="28"/>
        </w:rPr>
        <w:t>].</w:t>
      </w:r>
    </w:p>
    <w:p w:rsidR="007D687A" w:rsidRPr="007F5722" w:rsidRDefault="007D687A" w:rsidP="007D687A">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Фундамент</w:t>
      </w:r>
      <w:r w:rsidR="00A804E2" w:rsidRPr="007F5722">
        <w:rPr>
          <w:rFonts w:ascii="Times New Roman" w:hAnsi="Times New Roman" w:cs="Times New Roman"/>
          <w:sz w:val="28"/>
          <w:szCs w:val="28"/>
        </w:rPr>
        <w:t>альні дослідження з вивчення пострандіальної ліпемії</w:t>
      </w:r>
      <w:r w:rsidRPr="007F5722">
        <w:rPr>
          <w:rFonts w:ascii="Times New Roman" w:hAnsi="Times New Roman" w:cs="Times New Roman"/>
          <w:sz w:val="28"/>
          <w:szCs w:val="28"/>
        </w:rPr>
        <w:t xml:space="preserve"> були пронаведені Patsch J.R. і </w:t>
      </w:r>
      <w:r w:rsidR="00503F11" w:rsidRPr="007F5722">
        <w:rPr>
          <w:rFonts w:ascii="Times New Roman" w:hAnsi="Times New Roman" w:cs="Times New Roman"/>
          <w:sz w:val="28"/>
          <w:szCs w:val="28"/>
        </w:rPr>
        <w:t>с</w:t>
      </w:r>
      <w:r w:rsidRPr="007F5722">
        <w:rPr>
          <w:rFonts w:ascii="Times New Roman" w:hAnsi="Times New Roman" w:cs="Times New Roman"/>
          <w:sz w:val="28"/>
          <w:szCs w:val="28"/>
        </w:rPr>
        <w:t>півавторами за допомогою ста</w:t>
      </w:r>
      <w:r w:rsidR="00A804E2" w:rsidRPr="007F5722">
        <w:rPr>
          <w:rFonts w:ascii="Times New Roman" w:hAnsi="Times New Roman" w:cs="Times New Roman"/>
          <w:sz w:val="28"/>
          <w:szCs w:val="28"/>
        </w:rPr>
        <w:t>ндартного жрового навантаженя</w:t>
      </w:r>
      <w:r w:rsidRPr="007F5722">
        <w:rPr>
          <w:rFonts w:ascii="Times New Roman" w:hAnsi="Times New Roman" w:cs="Times New Roman"/>
          <w:sz w:val="28"/>
          <w:szCs w:val="28"/>
        </w:rPr>
        <w:t xml:space="preserve"> у здорових осіб для виявлення взаємозв'язків між рівнями ліпідів, ліпопротеїдів і аполіпопротеідов крові в постпрандіальний період. Автори дійшли висновку, що збільшення вмісту в крові другої підфракції частинок </w:t>
      </w:r>
      <w:r w:rsidR="00503F11" w:rsidRPr="007F5722">
        <w:rPr>
          <w:rFonts w:ascii="Times New Roman" w:hAnsi="Times New Roman" w:cs="Times New Roman"/>
          <w:sz w:val="28"/>
          <w:szCs w:val="28"/>
        </w:rPr>
        <w:t>ХС ЛПВЩ</w:t>
      </w:r>
      <w:r w:rsidRPr="007F5722">
        <w:rPr>
          <w:rFonts w:ascii="Times New Roman" w:hAnsi="Times New Roman" w:cs="Times New Roman"/>
          <w:sz w:val="28"/>
          <w:szCs w:val="28"/>
        </w:rPr>
        <w:t xml:space="preserve"> сприяє прискорен</w:t>
      </w:r>
      <w:r w:rsidR="00503F11" w:rsidRPr="007F5722">
        <w:rPr>
          <w:rFonts w:ascii="Times New Roman" w:hAnsi="Times New Roman" w:cs="Times New Roman"/>
          <w:sz w:val="28"/>
          <w:szCs w:val="28"/>
        </w:rPr>
        <w:t>н</w:t>
      </w:r>
      <w:r w:rsidRPr="007F5722">
        <w:rPr>
          <w:rFonts w:ascii="Times New Roman" w:hAnsi="Times New Roman" w:cs="Times New Roman"/>
          <w:sz w:val="28"/>
          <w:szCs w:val="28"/>
        </w:rPr>
        <w:t>ю кліренсу постпрандіального жиру в порівнянні з низьким рівнем цих частинок в кровотоці. Подальші дослідження в цій області дозволил</w:t>
      </w:r>
      <w:r w:rsidR="00A804E2" w:rsidRPr="007F5722">
        <w:rPr>
          <w:rFonts w:ascii="Times New Roman" w:hAnsi="Times New Roman" w:cs="Times New Roman"/>
          <w:sz w:val="28"/>
          <w:szCs w:val="28"/>
        </w:rPr>
        <w:t>и встановити, що вираженість постпрандіальної ліпемії</w:t>
      </w:r>
      <w:r w:rsidRPr="007F5722">
        <w:rPr>
          <w:rFonts w:ascii="Times New Roman" w:hAnsi="Times New Roman" w:cs="Times New Roman"/>
          <w:sz w:val="28"/>
          <w:szCs w:val="28"/>
        </w:rPr>
        <w:t xml:space="preserve"> тісно корелює з рівнем ТГ натще і назад залежить від вмісту в крові </w:t>
      </w:r>
      <w:r w:rsidR="00503F11" w:rsidRPr="007F5722">
        <w:rPr>
          <w:rFonts w:ascii="Times New Roman" w:hAnsi="Times New Roman" w:cs="Times New Roman"/>
          <w:sz w:val="28"/>
          <w:szCs w:val="28"/>
        </w:rPr>
        <w:t>ХС ЛПВЩ</w:t>
      </w:r>
      <w:r w:rsidRPr="007F5722">
        <w:rPr>
          <w:rFonts w:ascii="Times New Roman" w:hAnsi="Times New Roman" w:cs="Times New Roman"/>
          <w:sz w:val="28"/>
          <w:szCs w:val="28"/>
        </w:rPr>
        <w:t xml:space="preserve"> [</w:t>
      </w:r>
      <w:r w:rsidR="00503F11" w:rsidRPr="007F5722">
        <w:rPr>
          <w:rFonts w:ascii="Times New Roman" w:hAnsi="Times New Roman" w:cs="Times New Roman"/>
          <w:sz w:val="28"/>
          <w:szCs w:val="28"/>
        </w:rPr>
        <w:t>84</w:t>
      </w:r>
      <w:r w:rsidRPr="007F5722">
        <w:rPr>
          <w:rFonts w:ascii="Times New Roman" w:hAnsi="Times New Roman" w:cs="Times New Roman"/>
          <w:sz w:val="28"/>
          <w:szCs w:val="28"/>
        </w:rPr>
        <w:t xml:space="preserve">]. </w:t>
      </w:r>
    </w:p>
    <w:p w:rsidR="007D687A" w:rsidRPr="007F5722" w:rsidRDefault="007D687A" w:rsidP="00503F11">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lastRenderedPageBreak/>
        <w:t xml:space="preserve">Додатково було показано, що кліренс постпрандіальних </w:t>
      </w:r>
      <w:r w:rsidR="00503F11" w:rsidRPr="007F5722">
        <w:rPr>
          <w:rFonts w:ascii="Times New Roman" w:hAnsi="Times New Roman" w:cs="Times New Roman"/>
          <w:sz w:val="28"/>
          <w:szCs w:val="28"/>
        </w:rPr>
        <w:t>ліпопротеїд</w:t>
      </w:r>
      <w:r w:rsidR="00A804E2" w:rsidRPr="007F5722">
        <w:rPr>
          <w:rFonts w:ascii="Times New Roman" w:hAnsi="Times New Roman" w:cs="Times New Roman"/>
          <w:sz w:val="28"/>
          <w:szCs w:val="28"/>
        </w:rPr>
        <w:t>ів</w:t>
      </w:r>
      <w:r w:rsidRPr="007F5722">
        <w:rPr>
          <w:rFonts w:ascii="Times New Roman" w:hAnsi="Times New Roman" w:cs="Times New Roman"/>
          <w:sz w:val="28"/>
          <w:szCs w:val="28"/>
        </w:rPr>
        <w:t xml:space="preserve"> у пацієнтів з ІХС і нормоліпідемія натще більше уповільнені в порівнянні з пацієнтами без ІХС. Ц</w:t>
      </w:r>
      <w:r w:rsidR="00503F11" w:rsidRPr="007F5722">
        <w:rPr>
          <w:rFonts w:ascii="Times New Roman" w:hAnsi="Times New Roman" w:cs="Times New Roman"/>
          <w:sz w:val="28"/>
          <w:szCs w:val="28"/>
        </w:rPr>
        <w:t>і дані лягли в основу гіпотези про</w:t>
      </w:r>
      <w:r w:rsidR="00A804E2" w:rsidRPr="007F5722">
        <w:rPr>
          <w:rFonts w:ascii="Times New Roman" w:hAnsi="Times New Roman" w:cs="Times New Roman"/>
          <w:sz w:val="28"/>
          <w:szCs w:val="28"/>
        </w:rPr>
        <w:t xml:space="preserve"> ролі постпрандіальних ліпопротеїдів</w:t>
      </w:r>
      <w:r w:rsidRPr="007F5722">
        <w:rPr>
          <w:rFonts w:ascii="Times New Roman" w:hAnsi="Times New Roman" w:cs="Times New Roman"/>
          <w:sz w:val="28"/>
          <w:szCs w:val="28"/>
        </w:rPr>
        <w:t xml:space="preserve"> в патогенезі атеросклерозу [</w:t>
      </w:r>
      <w:r w:rsidR="00503F11" w:rsidRPr="007F5722">
        <w:rPr>
          <w:rFonts w:ascii="Times New Roman" w:hAnsi="Times New Roman" w:cs="Times New Roman"/>
          <w:sz w:val="28"/>
          <w:szCs w:val="28"/>
        </w:rPr>
        <w:t>85</w:t>
      </w:r>
      <w:r w:rsidRPr="007F5722">
        <w:rPr>
          <w:rFonts w:ascii="Times New Roman" w:hAnsi="Times New Roman" w:cs="Times New Roman"/>
          <w:sz w:val="28"/>
          <w:szCs w:val="28"/>
        </w:rPr>
        <w:t>].</w:t>
      </w:r>
    </w:p>
    <w:p w:rsidR="007D687A" w:rsidRPr="007F5722" w:rsidRDefault="007D687A" w:rsidP="007D687A">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 xml:space="preserve">Цікаві дані були отримані під </w:t>
      </w:r>
      <w:r w:rsidR="00503F11" w:rsidRPr="007F5722">
        <w:rPr>
          <w:rFonts w:ascii="Times New Roman" w:hAnsi="Times New Roman" w:cs="Times New Roman"/>
          <w:sz w:val="28"/>
          <w:szCs w:val="28"/>
        </w:rPr>
        <w:t xml:space="preserve">час проведення </w:t>
      </w:r>
      <w:r w:rsidR="00A804E2" w:rsidRPr="007F5722">
        <w:rPr>
          <w:rFonts w:ascii="Times New Roman" w:hAnsi="Times New Roman" w:cs="Times New Roman"/>
          <w:sz w:val="28"/>
          <w:szCs w:val="28"/>
        </w:rPr>
        <w:t>жирового навантаження</w:t>
      </w:r>
      <w:r w:rsidRPr="007F5722">
        <w:rPr>
          <w:rFonts w:ascii="Times New Roman" w:hAnsi="Times New Roman" w:cs="Times New Roman"/>
          <w:sz w:val="28"/>
          <w:szCs w:val="28"/>
        </w:rPr>
        <w:t xml:space="preserve"> здоровим дорослим синам, батьки яких мали </w:t>
      </w:r>
      <w:r w:rsidR="00503F11" w:rsidRPr="007F5722">
        <w:rPr>
          <w:rFonts w:ascii="Times New Roman" w:hAnsi="Times New Roman" w:cs="Times New Roman"/>
          <w:sz w:val="28"/>
          <w:szCs w:val="28"/>
        </w:rPr>
        <w:t>задокументовану</w:t>
      </w:r>
      <w:r w:rsidRPr="007F5722">
        <w:rPr>
          <w:rFonts w:ascii="Times New Roman" w:hAnsi="Times New Roman" w:cs="Times New Roman"/>
          <w:sz w:val="28"/>
          <w:szCs w:val="28"/>
        </w:rPr>
        <w:t xml:space="preserve"> ІХС. Встановлено, що у здорових пробандів з обтяженою щодо ІХС спадковістю постпрандіальная гіпертріглі</w:t>
      </w:r>
      <w:r w:rsidR="00503F11" w:rsidRPr="007F5722">
        <w:rPr>
          <w:rFonts w:ascii="Times New Roman" w:hAnsi="Times New Roman" w:cs="Times New Roman"/>
          <w:sz w:val="28"/>
          <w:szCs w:val="28"/>
        </w:rPr>
        <w:t>церідемія</w:t>
      </w:r>
      <w:r w:rsidRPr="007F5722">
        <w:rPr>
          <w:rFonts w:ascii="Times New Roman" w:hAnsi="Times New Roman" w:cs="Times New Roman"/>
          <w:sz w:val="28"/>
          <w:szCs w:val="28"/>
        </w:rPr>
        <w:t xml:space="preserve"> більш тривала [</w:t>
      </w:r>
      <w:r w:rsidR="00503F11" w:rsidRPr="007F5722">
        <w:rPr>
          <w:rFonts w:ascii="Times New Roman" w:hAnsi="Times New Roman" w:cs="Times New Roman"/>
          <w:sz w:val="28"/>
          <w:szCs w:val="28"/>
        </w:rPr>
        <w:t>86</w:t>
      </w:r>
      <w:r w:rsidRPr="007F5722">
        <w:rPr>
          <w:rFonts w:ascii="Times New Roman" w:hAnsi="Times New Roman" w:cs="Times New Roman"/>
          <w:sz w:val="28"/>
          <w:szCs w:val="28"/>
        </w:rPr>
        <w:t>].</w:t>
      </w:r>
    </w:p>
    <w:p w:rsidR="00295735" w:rsidRPr="007F5722" w:rsidRDefault="00A804E2" w:rsidP="00295735">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Зміни метаболізму постпрандіальних ліпопротеїдів</w:t>
      </w:r>
      <w:r w:rsidR="007D687A" w:rsidRPr="007F5722">
        <w:rPr>
          <w:rFonts w:ascii="Times New Roman" w:hAnsi="Times New Roman" w:cs="Times New Roman"/>
          <w:sz w:val="28"/>
          <w:szCs w:val="28"/>
        </w:rPr>
        <w:t xml:space="preserve"> розглядають можливим механізмом спадкової схильності до ІХС [</w:t>
      </w:r>
      <w:r w:rsidR="00295735" w:rsidRPr="007F5722">
        <w:rPr>
          <w:rFonts w:ascii="Times New Roman" w:hAnsi="Times New Roman" w:cs="Times New Roman"/>
          <w:sz w:val="28"/>
          <w:szCs w:val="28"/>
        </w:rPr>
        <w:t>87</w:t>
      </w:r>
      <w:r w:rsidR="007D687A" w:rsidRPr="007F5722">
        <w:rPr>
          <w:rFonts w:ascii="Times New Roman" w:hAnsi="Times New Roman" w:cs="Times New Roman"/>
          <w:sz w:val="28"/>
          <w:szCs w:val="28"/>
        </w:rPr>
        <w:t>].</w:t>
      </w:r>
    </w:p>
    <w:p w:rsidR="007D687A" w:rsidRPr="007F5722" w:rsidRDefault="007D687A" w:rsidP="00295735">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Надалі було виявлено, що сироваткові концентрації ТГ в постпрандіальний період є незалежними предикторами ризику</w:t>
      </w:r>
      <w:r w:rsidR="00295735" w:rsidRPr="007F5722">
        <w:rPr>
          <w:rFonts w:ascii="Times New Roman" w:hAnsi="Times New Roman" w:cs="Times New Roman"/>
          <w:sz w:val="28"/>
          <w:szCs w:val="28"/>
        </w:rPr>
        <w:t xml:space="preserve"> розвитку інфаркту міокарда</w:t>
      </w:r>
      <w:r w:rsidRPr="007F5722">
        <w:rPr>
          <w:rFonts w:ascii="Times New Roman" w:hAnsi="Times New Roman" w:cs="Times New Roman"/>
          <w:sz w:val="28"/>
          <w:szCs w:val="28"/>
        </w:rPr>
        <w:t xml:space="preserve"> в майбутньому [</w:t>
      </w:r>
      <w:r w:rsidR="00295735" w:rsidRPr="007F5722">
        <w:rPr>
          <w:rFonts w:ascii="Times New Roman" w:hAnsi="Times New Roman" w:cs="Times New Roman"/>
          <w:sz w:val="28"/>
          <w:szCs w:val="28"/>
        </w:rPr>
        <w:t>88</w:t>
      </w:r>
      <w:r w:rsidRPr="007F5722">
        <w:rPr>
          <w:rFonts w:ascii="Times New Roman" w:hAnsi="Times New Roman" w:cs="Times New Roman"/>
          <w:sz w:val="28"/>
          <w:szCs w:val="28"/>
        </w:rPr>
        <w:t xml:space="preserve">]. </w:t>
      </w:r>
    </w:p>
    <w:p w:rsidR="007D687A" w:rsidRPr="007F5722" w:rsidRDefault="007D687A" w:rsidP="00295735">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В дослідженні Kalsch T., та співавт. (2008) вс</w:t>
      </w:r>
      <w:r w:rsidR="00295735" w:rsidRPr="007F5722">
        <w:rPr>
          <w:rFonts w:ascii="Times New Roman" w:hAnsi="Times New Roman" w:cs="Times New Roman"/>
          <w:sz w:val="28"/>
          <w:szCs w:val="28"/>
        </w:rPr>
        <w:t>тановлені виражені прокоагуляцій</w:t>
      </w:r>
      <w:r w:rsidR="00A804E2" w:rsidRPr="007F5722">
        <w:rPr>
          <w:rFonts w:ascii="Times New Roman" w:hAnsi="Times New Roman" w:cs="Times New Roman"/>
          <w:sz w:val="28"/>
          <w:szCs w:val="28"/>
        </w:rPr>
        <w:t>ні і прозапальні ефекти постпрандіальної ліпемії</w:t>
      </w:r>
      <w:r w:rsidR="00295735" w:rsidRPr="007F5722">
        <w:rPr>
          <w:rFonts w:ascii="Times New Roman" w:hAnsi="Times New Roman" w:cs="Times New Roman"/>
          <w:sz w:val="28"/>
          <w:szCs w:val="28"/>
        </w:rPr>
        <w:t xml:space="preserve"> у пацієнтів, які перенесли інфарт міокарду</w:t>
      </w:r>
      <w:r w:rsidRPr="007F5722">
        <w:rPr>
          <w:rFonts w:ascii="Times New Roman" w:hAnsi="Times New Roman" w:cs="Times New Roman"/>
          <w:sz w:val="28"/>
          <w:szCs w:val="28"/>
        </w:rPr>
        <w:t>, усклад</w:t>
      </w:r>
      <w:r w:rsidR="00295735" w:rsidRPr="007F5722">
        <w:rPr>
          <w:rFonts w:ascii="Times New Roman" w:hAnsi="Times New Roman" w:cs="Times New Roman"/>
          <w:sz w:val="28"/>
          <w:szCs w:val="28"/>
        </w:rPr>
        <w:t>нений фибриляцією</w:t>
      </w:r>
      <w:r w:rsidRPr="007F5722">
        <w:rPr>
          <w:rFonts w:ascii="Times New Roman" w:hAnsi="Times New Roman" w:cs="Times New Roman"/>
          <w:sz w:val="28"/>
          <w:szCs w:val="28"/>
        </w:rPr>
        <w:t xml:space="preserve"> шлуночків [</w:t>
      </w:r>
      <w:r w:rsidR="00295735" w:rsidRPr="007F5722">
        <w:rPr>
          <w:rFonts w:ascii="Times New Roman" w:hAnsi="Times New Roman" w:cs="Times New Roman"/>
          <w:sz w:val="28"/>
          <w:szCs w:val="28"/>
        </w:rPr>
        <w:t>89</w:t>
      </w:r>
      <w:r w:rsidRPr="007F5722">
        <w:rPr>
          <w:rFonts w:ascii="Times New Roman" w:hAnsi="Times New Roman" w:cs="Times New Roman"/>
          <w:sz w:val="28"/>
          <w:szCs w:val="28"/>
        </w:rPr>
        <w:t xml:space="preserve">]. </w:t>
      </w:r>
    </w:p>
    <w:p w:rsidR="007D687A" w:rsidRPr="007F5722" w:rsidRDefault="007D687A" w:rsidP="00295735">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Іншими авторами виявлено значне уповільнення швидкості виведення з кровотоку постпрнандіальних ТГ</w:t>
      </w:r>
      <w:r w:rsidR="00A804E2" w:rsidRPr="007F5722">
        <w:rPr>
          <w:rFonts w:ascii="Times New Roman" w:hAnsi="Times New Roman" w:cs="Times New Roman"/>
          <w:sz w:val="28"/>
          <w:szCs w:val="28"/>
        </w:rPr>
        <w:t xml:space="preserve"> </w:t>
      </w:r>
      <w:r w:rsidRPr="007F5722">
        <w:rPr>
          <w:rFonts w:ascii="Times New Roman" w:hAnsi="Times New Roman" w:cs="Times New Roman"/>
          <w:sz w:val="28"/>
          <w:szCs w:val="28"/>
        </w:rPr>
        <w:t>і ретинил пальмитата (маркера збагачених ТГ ліпопротеїдів кишкового походження) у пацієнтів з ІХС в порівнянні з контролем, що дозволило пояснити механізм, що лежить в осн</w:t>
      </w:r>
      <w:r w:rsidR="00295735" w:rsidRPr="007F5722">
        <w:rPr>
          <w:rFonts w:ascii="Times New Roman" w:hAnsi="Times New Roman" w:cs="Times New Roman"/>
          <w:sz w:val="28"/>
          <w:szCs w:val="28"/>
        </w:rPr>
        <w:t xml:space="preserve">ові схильності пацієнтів з ІХС до </w:t>
      </w:r>
      <w:r w:rsidRPr="007F5722">
        <w:rPr>
          <w:rFonts w:ascii="Times New Roman" w:hAnsi="Times New Roman" w:cs="Times New Roman"/>
          <w:sz w:val="28"/>
          <w:szCs w:val="28"/>
        </w:rPr>
        <w:t>атеросклерозу [</w:t>
      </w:r>
      <w:r w:rsidR="00295735" w:rsidRPr="007F5722">
        <w:rPr>
          <w:rFonts w:ascii="Times New Roman" w:hAnsi="Times New Roman" w:cs="Times New Roman"/>
          <w:sz w:val="28"/>
          <w:szCs w:val="28"/>
        </w:rPr>
        <w:t>90</w:t>
      </w:r>
      <w:r w:rsidRPr="007F5722">
        <w:rPr>
          <w:rFonts w:ascii="Times New Roman" w:hAnsi="Times New Roman" w:cs="Times New Roman"/>
          <w:sz w:val="28"/>
          <w:szCs w:val="28"/>
        </w:rPr>
        <w:t>].</w:t>
      </w:r>
    </w:p>
    <w:p w:rsidR="007D687A" w:rsidRPr="007F5722" w:rsidRDefault="007D687A" w:rsidP="00295735">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Як свідчать дані регресійного анал</w:t>
      </w:r>
      <w:r w:rsidR="00295735" w:rsidRPr="007F5722">
        <w:rPr>
          <w:rFonts w:ascii="Times New Roman" w:hAnsi="Times New Roman" w:cs="Times New Roman"/>
          <w:sz w:val="28"/>
          <w:szCs w:val="28"/>
        </w:rPr>
        <w:t>ізу, концен</w:t>
      </w:r>
      <w:r w:rsidR="00A804E2" w:rsidRPr="007F5722">
        <w:rPr>
          <w:rFonts w:ascii="Times New Roman" w:hAnsi="Times New Roman" w:cs="Times New Roman"/>
          <w:sz w:val="28"/>
          <w:szCs w:val="28"/>
        </w:rPr>
        <w:t>т</w:t>
      </w:r>
      <w:r w:rsidR="00295735" w:rsidRPr="007F5722">
        <w:rPr>
          <w:rFonts w:ascii="Times New Roman" w:hAnsi="Times New Roman" w:cs="Times New Roman"/>
          <w:sz w:val="28"/>
          <w:szCs w:val="28"/>
        </w:rPr>
        <w:t>рацію постхарчових</w:t>
      </w:r>
      <w:r w:rsidRPr="007F5722">
        <w:rPr>
          <w:rFonts w:ascii="Times New Roman" w:hAnsi="Times New Roman" w:cs="Times New Roman"/>
          <w:sz w:val="28"/>
          <w:szCs w:val="28"/>
        </w:rPr>
        <w:t xml:space="preserve"> ТГ в сироватці крові можна вважати найбільш точним предиктором (68%) наявності або відсутності ІХС [</w:t>
      </w:r>
      <w:r w:rsidR="00295735" w:rsidRPr="007F5722">
        <w:rPr>
          <w:rFonts w:ascii="Times New Roman" w:hAnsi="Times New Roman" w:cs="Times New Roman"/>
          <w:sz w:val="28"/>
          <w:szCs w:val="28"/>
        </w:rPr>
        <w:t>91</w:t>
      </w:r>
      <w:r w:rsidRPr="007F5722">
        <w:rPr>
          <w:rFonts w:ascii="Times New Roman" w:hAnsi="Times New Roman" w:cs="Times New Roman"/>
          <w:sz w:val="28"/>
          <w:szCs w:val="28"/>
        </w:rPr>
        <w:t>].</w:t>
      </w:r>
    </w:p>
    <w:p w:rsidR="007D687A" w:rsidRPr="007F5722" w:rsidRDefault="00A804E2" w:rsidP="00A804E2">
      <w:pPr>
        <w:spacing w:after="0" w:line="360" w:lineRule="auto"/>
        <w:jc w:val="both"/>
        <w:rPr>
          <w:rFonts w:ascii="Times New Roman" w:hAnsi="Times New Roman" w:cs="Times New Roman"/>
          <w:sz w:val="28"/>
          <w:szCs w:val="28"/>
        </w:rPr>
      </w:pPr>
      <w:r w:rsidRPr="007F5722">
        <w:rPr>
          <w:rFonts w:ascii="Times New Roman" w:hAnsi="Times New Roman" w:cs="Times New Roman"/>
          <w:sz w:val="28"/>
          <w:szCs w:val="28"/>
        </w:rPr>
        <w:t>Постпрандіальна ліпемія</w:t>
      </w:r>
      <w:r w:rsidR="007D687A" w:rsidRPr="007F5722">
        <w:rPr>
          <w:rFonts w:ascii="Times New Roman" w:hAnsi="Times New Roman" w:cs="Times New Roman"/>
          <w:sz w:val="28"/>
          <w:szCs w:val="28"/>
        </w:rPr>
        <w:t xml:space="preserve"> вивчається вже більш 20 років, але, на жаль, до сих пір не встановлено рівень патологі</w:t>
      </w:r>
      <w:r w:rsidRPr="007F5722">
        <w:rPr>
          <w:rFonts w:ascii="Times New Roman" w:hAnsi="Times New Roman" w:cs="Times New Roman"/>
          <w:sz w:val="28"/>
          <w:szCs w:val="28"/>
        </w:rPr>
        <w:t>чного пост</w:t>
      </w:r>
      <w:r w:rsidR="00295735" w:rsidRPr="007F5722">
        <w:rPr>
          <w:rFonts w:ascii="Times New Roman" w:hAnsi="Times New Roman" w:cs="Times New Roman"/>
          <w:sz w:val="28"/>
          <w:szCs w:val="28"/>
        </w:rPr>
        <w:t>прандіального рівня</w:t>
      </w:r>
      <w:r w:rsidR="007D687A" w:rsidRPr="007F5722">
        <w:rPr>
          <w:rFonts w:ascii="Times New Roman" w:hAnsi="Times New Roman" w:cs="Times New Roman"/>
          <w:sz w:val="28"/>
          <w:szCs w:val="28"/>
        </w:rPr>
        <w:t xml:space="preserve"> ТГ в крові і відсутні міжнародні рекомендації по застосування в клінічній п</w:t>
      </w:r>
      <w:r w:rsidR="00295735" w:rsidRPr="007F5722">
        <w:rPr>
          <w:rFonts w:ascii="Times New Roman" w:hAnsi="Times New Roman" w:cs="Times New Roman"/>
          <w:sz w:val="28"/>
          <w:szCs w:val="28"/>
        </w:rPr>
        <w:t xml:space="preserve">рактиці уніфікованого тесту з </w:t>
      </w:r>
      <w:r w:rsidRPr="007F5722">
        <w:rPr>
          <w:rFonts w:ascii="Times New Roman" w:hAnsi="Times New Roman" w:cs="Times New Roman"/>
          <w:sz w:val="28"/>
          <w:szCs w:val="28"/>
        </w:rPr>
        <w:t>жировим навантаженням</w:t>
      </w:r>
      <w:r w:rsidR="007D687A" w:rsidRPr="007F5722">
        <w:rPr>
          <w:rFonts w:ascii="Times New Roman" w:hAnsi="Times New Roman" w:cs="Times New Roman"/>
          <w:sz w:val="28"/>
          <w:szCs w:val="28"/>
        </w:rPr>
        <w:t xml:space="preserve"> [</w:t>
      </w:r>
      <w:r w:rsidR="00295735" w:rsidRPr="007F5722">
        <w:rPr>
          <w:rFonts w:ascii="Times New Roman" w:hAnsi="Times New Roman" w:cs="Times New Roman"/>
          <w:sz w:val="28"/>
          <w:szCs w:val="28"/>
        </w:rPr>
        <w:t>92</w:t>
      </w:r>
      <w:r w:rsidR="007D687A" w:rsidRPr="007F5722">
        <w:rPr>
          <w:rFonts w:ascii="Times New Roman" w:hAnsi="Times New Roman" w:cs="Times New Roman"/>
          <w:sz w:val="28"/>
          <w:szCs w:val="28"/>
        </w:rPr>
        <w:t xml:space="preserve">]. </w:t>
      </w:r>
    </w:p>
    <w:p w:rsidR="007D687A" w:rsidRPr="007F5722" w:rsidRDefault="007D687A" w:rsidP="007D687A">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lastRenderedPageBreak/>
        <w:t>Проте,</w:t>
      </w:r>
      <w:r w:rsidR="00A804E2" w:rsidRPr="007F5722">
        <w:rPr>
          <w:rFonts w:ascii="Times New Roman" w:hAnsi="Times New Roman" w:cs="Times New Roman"/>
          <w:sz w:val="28"/>
          <w:szCs w:val="28"/>
        </w:rPr>
        <w:t xml:space="preserve"> вивчення постпрандіальної ліпемії/глікемії залишає</w:t>
      </w:r>
      <w:r w:rsidRPr="007F5722">
        <w:rPr>
          <w:rFonts w:ascii="Times New Roman" w:hAnsi="Times New Roman" w:cs="Times New Roman"/>
          <w:sz w:val="28"/>
          <w:szCs w:val="28"/>
        </w:rPr>
        <w:t>ться актуальним науковим напрямом, оскільки значну частину свого ж</w:t>
      </w:r>
      <w:r w:rsidR="00A804E2" w:rsidRPr="007F5722">
        <w:rPr>
          <w:rFonts w:ascii="Times New Roman" w:hAnsi="Times New Roman" w:cs="Times New Roman"/>
          <w:sz w:val="28"/>
          <w:szCs w:val="28"/>
        </w:rPr>
        <w:t>иття людина проводить в постпрандіальному стані</w:t>
      </w:r>
      <w:r w:rsidR="00295735" w:rsidRPr="007F5722">
        <w:rPr>
          <w:rFonts w:ascii="Times New Roman" w:hAnsi="Times New Roman" w:cs="Times New Roman"/>
          <w:sz w:val="28"/>
          <w:szCs w:val="28"/>
        </w:rPr>
        <w:t>, споживаючи їжу кілька разів на</w:t>
      </w:r>
      <w:r w:rsidRPr="007F5722">
        <w:rPr>
          <w:rFonts w:ascii="Times New Roman" w:hAnsi="Times New Roman" w:cs="Times New Roman"/>
          <w:sz w:val="28"/>
          <w:szCs w:val="28"/>
        </w:rPr>
        <w:t xml:space="preserve"> день.</w:t>
      </w:r>
    </w:p>
    <w:p w:rsidR="007D687A" w:rsidRPr="007F5722" w:rsidRDefault="007D687A" w:rsidP="007D687A">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 xml:space="preserve">Питання оцінки додаткового ризику крім традиційних факторів ризику в клінічній практиці залишається відкритим. Загальний серцево-судинний ризик може буде вищим, ніж вказано </w:t>
      </w:r>
      <w:r w:rsidR="00A804E2" w:rsidRPr="007F5722">
        <w:rPr>
          <w:rFonts w:ascii="Times New Roman" w:hAnsi="Times New Roman" w:cs="Times New Roman"/>
          <w:sz w:val="28"/>
          <w:szCs w:val="28"/>
        </w:rPr>
        <w:t xml:space="preserve">в таблицях SCORE, наприклад, у </w:t>
      </w:r>
      <w:r w:rsidRPr="007F5722">
        <w:rPr>
          <w:rFonts w:ascii="Times New Roman" w:hAnsi="Times New Roman" w:cs="Times New Roman"/>
          <w:sz w:val="28"/>
          <w:szCs w:val="28"/>
        </w:rPr>
        <w:t>безсимптомних осіб з проявами субклінічного атеросклеротичного судинного ушкодження, вста</w:t>
      </w:r>
      <w:r w:rsidR="00295735" w:rsidRPr="007F5722">
        <w:rPr>
          <w:rFonts w:ascii="Times New Roman" w:hAnsi="Times New Roman" w:cs="Times New Roman"/>
          <w:sz w:val="28"/>
          <w:szCs w:val="28"/>
        </w:rPr>
        <w:t>новленого за допомогою кальціє</w:t>
      </w:r>
      <w:r w:rsidRPr="007F5722">
        <w:rPr>
          <w:rFonts w:ascii="Times New Roman" w:hAnsi="Times New Roman" w:cs="Times New Roman"/>
          <w:sz w:val="28"/>
          <w:szCs w:val="28"/>
        </w:rPr>
        <w:t>вого індексу в коронарних арте</w:t>
      </w:r>
      <w:r w:rsidR="00295735" w:rsidRPr="007F5722">
        <w:rPr>
          <w:rFonts w:ascii="Times New Roman" w:hAnsi="Times New Roman" w:cs="Times New Roman"/>
          <w:sz w:val="28"/>
          <w:szCs w:val="28"/>
        </w:rPr>
        <w:t>ріях, гомілково-</w:t>
      </w:r>
      <w:r w:rsidRPr="007F5722">
        <w:rPr>
          <w:rFonts w:ascii="Times New Roman" w:hAnsi="Times New Roman" w:cs="Times New Roman"/>
          <w:sz w:val="28"/>
          <w:szCs w:val="28"/>
        </w:rPr>
        <w:t>плечового індексу</w:t>
      </w:r>
      <w:r w:rsidR="00295735" w:rsidRPr="007F5722">
        <w:rPr>
          <w:rFonts w:ascii="Times New Roman" w:hAnsi="Times New Roman" w:cs="Times New Roman"/>
          <w:sz w:val="28"/>
          <w:szCs w:val="28"/>
        </w:rPr>
        <w:t xml:space="preserve"> (ГПІ)</w:t>
      </w:r>
      <w:r w:rsidRPr="007F5722">
        <w:rPr>
          <w:rFonts w:ascii="Times New Roman" w:hAnsi="Times New Roman" w:cs="Times New Roman"/>
          <w:sz w:val="28"/>
          <w:szCs w:val="28"/>
        </w:rPr>
        <w:t>, швидкості поширення пуль</w:t>
      </w:r>
      <w:r w:rsidR="00A804E2" w:rsidRPr="007F5722">
        <w:rPr>
          <w:rFonts w:ascii="Times New Roman" w:hAnsi="Times New Roman" w:cs="Times New Roman"/>
          <w:sz w:val="28"/>
          <w:szCs w:val="28"/>
        </w:rPr>
        <w:t>сової хвилі або ультрасонографиії</w:t>
      </w:r>
      <w:r w:rsidRPr="007F5722">
        <w:rPr>
          <w:rFonts w:ascii="Times New Roman" w:hAnsi="Times New Roman" w:cs="Times New Roman"/>
          <w:sz w:val="28"/>
          <w:szCs w:val="28"/>
        </w:rPr>
        <w:t xml:space="preserve"> сонних артерій.</w:t>
      </w:r>
    </w:p>
    <w:p w:rsidR="007D687A" w:rsidRPr="007F5722" w:rsidRDefault="00A804E2" w:rsidP="00295735">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Для паціє</w:t>
      </w:r>
      <w:r w:rsidR="007D687A" w:rsidRPr="007F5722">
        <w:rPr>
          <w:rFonts w:ascii="Times New Roman" w:hAnsi="Times New Roman" w:cs="Times New Roman"/>
          <w:sz w:val="28"/>
          <w:szCs w:val="28"/>
        </w:rPr>
        <w:t xml:space="preserve">нтів, які знаходиться в стадії проміжного ризику, інші чинники, в тому числі метаболічні, </w:t>
      </w:r>
      <w:r w:rsidR="00295735" w:rsidRPr="007F5722">
        <w:rPr>
          <w:rFonts w:ascii="Times New Roman" w:hAnsi="Times New Roman" w:cs="Times New Roman"/>
          <w:sz w:val="28"/>
          <w:szCs w:val="28"/>
        </w:rPr>
        <w:t>такі як збільшення А</w:t>
      </w:r>
      <w:r w:rsidR="007D687A" w:rsidRPr="007F5722">
        <w:rPr>
          <w:rFonts w:ascii="Times New Roman" w:hAnsi="Times New Roman" w:cs="Times New Roman"/>
          <w:sz w:val="28"/>
          <w:szCs w:val="28"/>
        </w:rPr>
        <w:t>по</w:t>
      </w:r>
      <w:r w:rsidR="00295735" w:rsidRPr="007F5722">
        <w:rPr>
          <w:rFonts w:ascii="Times New Roman" w:hAnsi="Times New Roman" w:cs="Times New Roman"/>
          <w:sz w:val="28"/>
          <w:szCs w:val="28"/>
        </w:rPr>
        <w:t xml:space="preserve"> B</w:t>
      </w:r>
      <w:r w:rsidR="007D687A" w:rsidRPr="007F5722">
        <w:rPr>
          <w:rFonts w:ascii="Times New Roman" w:hAnsi="Times New Roman" w:cs="Times New Roman"/>
          <w:sz w:val="28"/>
          <w:szCs w:val="28"/>
        </w:rPr>
        <w:t>, ліпопротеї</w:t>
      </w:r>
      <w:r w:rsidR="00295735" w:rsidRPr="007F5722">
        <w:rPr>
          <w:rFonts w:ascii="Times New Roman" w:hAnsi="Times New Roman" w:cs="Times New Roman"/>
          <w:sz w:val="28"/>
          <w:szCs w:val="28"/>
        </w:rPr>
        <w:t>ду</w:t>
      </w:r>
      <w:r w:rsidR="00903BCB" w:rsidRPr="007F5722">
        <w:rPr>
          <w:rFonts w:ascii="Times New Roman" w:hAnsi="Times New Roman" w:cs="Times New Roman"/>
          <w:sz w:val="28"/>
          <w:szCs w:val="28"/>
        </w:rPr>
        <w:t> </w:t>
      </w:r>
      <w:r w:rsidR="00295735" w:rsidRPr="007F5722">
        <w:rPr>
          <w:rFonts w:ascii="Times New Roman" w:hAnsi="Times New Roman" w:cs="Times New Roman"/>
          <w:sz w:val="28"/>
          <w:szCs w:val="28"/>
        </w:rPr>
        <w:t>(а), ТГ</w:t>
      </w:r>
      <w:r w:rsidR="007D687A" w:rsidRPr="007F5722">
        <w:rPr>
          <w:rFonts w:ascii="Times New Roman" w:hAnsi="Times New Roman" w:cs="Times New Roman"/>
          <w:sz w:val="28"/>
          <w:szCs w:val="28"/>
        </w:rPr>
        <w:t xml:space="preserve"> або С-реактивного білка (СРБ</w:t>
      </w:r>
      <w:r w:rsidR="00295735" w:rsidRPr="007F5722">
        <w:rPr>
          <w:rFonts w:ascii="Times New Roman" w:hAnsi="Times New Roman" w:cs="Times New Roman"/>
          <w:sz w:val="28"/>
          <w:szCs w:val="28"/>
        </w:rPr>
        <w:t>), або наявність альбумінурії</w:t>
      </w:r>
      <w:r w:rsidR="007D687A" w:rsidRPr="007F5722">
        <w:rPr>
          <w:rFonts w:ascii="Times New Roman" w:hAnsi="Times New Roman" w:cs="Times New Roman"/>
          <w:sz w:val="28"/>
          <w:szCs w:val="28"/>
        </w:rPr>
        <w:t>, можуть вплинути на класифікацію</w:t>
      </w:r>
      <w:r w:rsidR="00295735" w:rsidRPr="007F5722">
        <w:rPr>
          <w:rFonts w:ascii="Times New Roman" w:hAnsi="Times New Roman" w:cs="Times New Roman"/>
          <w:sz w:val="28"/>
          <w:szCs w:val="28"/>
        </w:rPr>
        <w:t xml:space="preserve"> ризику. Багато інших біомаркерів</w:t>
      </w:r>
      <w:r w:rsidR="000C5872" w:rsidRPr="007F5722">
        <w:rPr>
          <w:rFonts w:ascii="Times New Roman" w:hAnsi="Times New Roman" w:cs="Times New Roman"/>
          <w:sz w:val="28"/>
          <w:szCs w:val="28"/>
        </w:rPr>
        <w:t xml:space="preserve"> також пов’</w:t>
      </w:r>
      <w:r w:rsidR="007D687A" w:rsidRPr="007F5722">
        <w:rPr>
          <w:rFonts w:ascii="Times New Roman" w:hAnsi="Times New Roman" w:cs="Times New Roman"/>
          <w:sz w:val="28"/>
          <w:szCs w:val="28"/>
        </w:rPr>
        <w:t>язані з підвищеним ризиком ССЗ, хоча лише деякі з них вносять свій внесок в рекласифікацію ризику</w:t>
      </w:r>
      <w:r w:rsidR="00295735" w:rsidRPr="007F5722">
        <w:rPr>
          <w:rFonts w:ascii="Times New Roman" w:hAnsi="Times New Roman" w:cs="Times New Roman"/>
          <w:sz w:val="28"/>
          <w:szCs w:val="28"/>
        </w:rPr>
        <w:t xml:space="preserve"> [93,94]</w:t>
      </w:r>
      <w:r w:rsidR="007D687A" w:rsidRPr="007F5722">
        <w:rPr>
          <w:rFonts w:ascii="Times New Roman" w:hAnsi="Times New Roman" w:cs="Times New Roman"/>
          <w:sz w:val="28"/>
          <w:szCs w:val="28"/>
        </w:rPr>
        <w:t xml:space="preserve">. </w:t>
      </w:r>
    </w:p>
    <w:p w:rsidR="007D687A" w:rsidRPr="007F5722" w:rsidRDefault="007D687A" w:rsidP="007D687A">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Додатковими мар</w:t>
      </w:r>
      <w:r w:rsidR="00295735" w:rsidRPr="007F5722">
        <w:rPr>
          <w:rFonts w:ascii="Times New Roman" w:hAnsi="Times New Roman" w:cs="Times New Roman"/>
          <w:sz w:val="28"/>
          <w:szCs w:val="28"/>
        </w:rPr>
        <w:t>керами метаболічного ризику у хв</w:t>
      </w:r>
      <w:r w:rsidRPr="007F5722">
        <w:rPr>
          <w:rFonts w:ascii="Times New Roman" w:hAnsi="Times New Roman" w:cs="Times New Roman"/>
          <w:sz w:val="28"/>
          <w:szCs w:val="28"/>
        </w:rPr>
        <w:t xml:space="preserve">орих при коморбідності ГХ та ожиріння можуть розглядатися ЛП. При формуванні ІР в жирових клітинах підвищується ліполіз, що призводить до вивільнення великої кількості ВЖК в кровотік через воротну вену. ВЖК є основним субстратом синтезу ТГ печінкою та надлишкової продукції </w:t>
      </w:r>
      <w:r w:rsidR="00295735" w:rsidRPr="007F5722">
        <w:rPr>
          <w:rFonts w:ascii="Times New Roman" w:hAnsi="Times New Roman" w:cs="Times New Roman"/>
          <w:sz w:val="28"/>
          <w:szCs w:val="28"/>
        </w:rPr>
        <w:t xml:space="preserve">ХС </w:t>
      </w:r>
      <w:r w:rsidRPr="007F5722">
        <w:rPr>
          <w:rFonts w:ascii="Times New Roman" w:hAnsi="Times New Roman" w:cs="Times New Roman"/>
          <w:sz w:val="28"/>
          <w:szCs w:val="28"/>
        </w:rPr>
        <w:t xml:space="preserve">ЛПДНЩ, які під впливом печінкової ліпази перетворюються в дрібні та щільні часточки – </w:t>
      </w:r>
      <w:r w:rsidR="00295735" w:rsidRPr="007F5722">
        <w:rPr>
          <w:rFonts w:ascii="Times New Roman" w:hAnsi="Times New Roman" w:cs="Times New Roman"/>
          <w:sz w:val="28"/>
          <w:szCs w:val="28"/>
        </w:rPr>
        <w:t xml:space="preserve">ХС </w:t>
      </w:r>
      <w:r w:rsidRPr="007F5722">
        <w:rPr>
          <w:rFonts w:ascii="Times New Roman" w:hAnsi="Times New Roman" w:cs="Times New Roman"/>
          <w:sz w:val="28"/>
          <w:szCs w:val="28"/>
        </w:rPr>
        <w:t>ЛПНЩ. Дрібні ліпідні часточки швидко окислюються та мігруют</w:t>
      </w:r>
      <w:r w:rsidR="00295735" w:rsidRPr="007F5722">
        <w:rPr>
          <w:rFonts w:ascii="Times New Roman" w:hAnsi="Times New Roman" w:cs="Times New Roman"/>
          <w:sz w:val="28"/>
          <w:szCs w:val="28"/>
        </w:rPr>
        <w:t>ь до субендотеліального простору</w:t>
      </w:r>
      <w:r w:rsidRPr="007F5722">
        <w:rPr>
          <w:rFonts w:ascii="Times New Roman" w:hAnsi="Times New Roman" w:cs="Times New Roman"/>
          <w:sz w:val="28"/>
          <w:szCs w:val="28"/>
        </w:rPr>
        <w:t xml:space="preserve">, та ініціюють механізми формування дисфункції ендотелія, активацію макрофагів, провокують та підсилюють запальний процесс, що призводить до атеросклеротичного ураження судин. </w:t>
      </w:r>
    </w:p>
    <w:p w:rsidR="007D687A" w:rsidRPr="007F5722" w:rsidRDefault="007D687A" w:rsidP="007D687A">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Ідентифіковано</w:t>
      </w:r>
      <w:r w:rsidR="00903BCB" w:rsidRPr="007F5722">
        <w:rPr>
          <w:rFonts w:ascii="Times New Roman" w:hAnsi="Times New Roman" w:cs="Times New Roman"/>
          <w:sz w:val="28"/>
          <w:szCs w:val="28"/>
        </w:rPr>
        <w:t xml:space="preserve"> декілька класів ліпопротеїдів</w:t>
      </w:r>
      <w:r w:rsidRPr="007F5722">
        <w:rPr>
          <w:rFonts w:ascii="Times New Roman" w:hAnsi="Times New Roman" w:cs="Times New Roman"/>
          <w:sz w:val="28"/>
          <w:szCs w:val="28"/>
        </w:rPr>
        <w:t xml:space="preserve"> залежно від константи їх седиментації: </w:t>
      </w:r>
      <w:r w:rsidR="00295735" w:rsidRPr="007F5722">
        <w:rPr>
          <w:rFonts w:ascii="Times New Roman" w:hAnsi="Times New Roman" w:cs="Times New Roman"/>
          <w:sz w:val="28"/>
          <w:szCs w:val="28"/>
        </w:rPr>
        <w:t xml:space="preserve">ХС </w:t>
      </w:r>
      <w:r w:rsidRPr="007F5722">
        <w:rPr>
          <w:rFonts w:ascii="Times New Roman" w:hAnsi="Times New Roman" w:cs="Times New Roman"/>
          <w:sz w:val="28"/>
          <w:szCs w:val="28"/>
        </w:rPr>
        <w:t xml:space="preserve">ЛПВЩ, </w:t>
      </w:r>
      <w:r w:rsidR="00295735" w:rsidRPr="007F5722">
        <w:rPr>
          <w:rFonts w:ascii="Times New Roman" w:hAnsi="Times New Roman" w:cs="Times New Roman"/>
          <w:sz w:val="28"/>
          <w:szCs w:val="28"/>
        </w:rPr>
        <w:t xml:space="preserve">ХС </w:t>
      </w:r>
      <w:r w:rsidR="00903BCB" w:rsidRPr="007F5722">
        <w:rPr>
          <w:rFonts w:ascii="Times New Roman" w:hAnsi="Times New Roman" w:cs="Times New Roman"/>
          <w:sz w:val="28"/>
          <w:szCs w:val="28"/>
        </w:rPr>
        <w:t>ЛПНЩ. Аполіпопротеїни</w:t>
      </w:r>
      <w:r w:rsidRPr="007F5722">
        <w:rPr>
          <w:rFonts w:ascii="Times New Roman" w:hAnsi="Times New Roman" w:cs="Times New Roman"/>
          <w:sz w:val="28"/>
          <w:szCs w:val="28"/>
        </w:rPr>
        <w:t xml:space="preserve"> є обов’я</w:t>
      </w:r>
      <w:r w:rsidR="00903BCB" w:rsidRPr="007F5722">
        <w:rPr>
          <w:rFonts w:ascii="Times New Roman" w:hAnsi="Times New Roman" w:cs="Times New Roman"/>
          <w:sz w:val="28"/>
          <w:szCs w:val="28"/>
        </w:rPr>
        <w:t>зковими компонентами ліпопротеїдів</w:t>
      </w:r>
      <w:r w:rsidR="004A444C" w:rsidRPr="007F5722">
        <w:rPr>
          <w:rFonts w:ascii="Times New Roman" w:hAnsi="Times New Roman" w:cs="Times New Roman"/>
          <w:sz w:val="28"/>
          <w:szCs w:val="28"/>
        </w:rPr>
        <w:t>. Серед А</w:t>
      </w:r>
      <w:r w:rsidRPr="007F5722">
        <w:rPr>
          <w:rFonts w:ascii="Times New Roman" w:hAnsi="Times New Roman" w:cs="Times New Roman"/>
          <w:sz w:val="28"/>
          <w:szCs w:val="28"/>
        </w:rPr>
        <w:t>по</w:t>
      </w:r>
      <w:r w:rsidR="004A444C" w:rsidRPr="007F5722">
        <w:rPr>
          <w:rFonts w:ascii="Times New Roman" w:hAnsi="Times New Roman" w:cs="Times New Roman"/>
          <w:sz w:val="28"/>
          <w:szCs w:val="28"/>
        </w:rPr>
        <w:t xml:space="preserve"> </w:t>
      </w:r>
      <w:r w:rsidR="00903BCB" w:rsidRPr="007F5722">
        <w:rPr>
          <w:rFonts w:ascii="Times New Roman" w:hAnsi="Times New Roman" w:cs="Times New Roman"/>
          <w:sz w:val="28"/>
          <w:szCs w:val="28"/>
        </w:rPr>
        <w:t>В-вмістовних ліпопротеїдів</w:t>
      </w:r>
      <w:r w:rsidRPr="007F5722">
        <w:rPr>
          <w:rFonts w:ascii="Times New Roman" w:hAnsi="Times New Roman" w:cs="Times New Roman"/>
          <w:sz w:val="28"/>
          <w:szCs w:val="28"/>
        </w:rPr>
        <w:t xml:space="preserve"> які приймають участь в атерогенезі найбільший інтерес викликають </w:t>
      </w:r>
      <w:r w:rsidR="004A444C" w:rsidRPr="007F5722">
        <w:rPr>
          <w:rFonts w:ascii="Times New Roman" w:hAnsi="Times New Roman" w:cs="Times New Roman"/>
          <w:sz w:val="28"/>
          <w:szCs w:val="28"/>
        </w:rPr>
        <w:t xml:space="preserve">ХС </w:t>
      </w:r>
      <w:r w:rsidRPr="007F5722">
        <w:rPr>
          <w:rFonts w:ascii="Times New Roman" w:hAnsi="Times New Roman" w:cs="Times New Roman"/>
          <w:sz w:val="28"/>
          <w:szCs w:val="28"/>
        </w:rPr>
        <w:t xml:space="preserve">ЛПНЩ і </w:t>
      </w:r>
      <w:r w:rsidR="004A444C" w:rsidRPr="007F5722">
        <w:rPr>
          <w:rFonts w:ascii="Times New Roman" w:hAnsi="Times New Roman" w:cs="Times New Roman"/>
          <w:sz w:val="28"/>
          <w:szCs w:val="28"/>
        </w:rPr>
        <w:lastRenderedPageBreak/>
        <w:t xml:space="preserve">ХС </w:t>
      </w:r>
      <w:r w:rsidRPr="007F5722">
        <w:rPr>
          <w:rFonts w:ascii="Times New Roman" w:hAnsi="Times New Roman" w:cs="Times New Roman"/>
          <w:sz w:val="28"/>
          <w:szCs w:val="28"/>
        </w:rPr>
        <w:t>ЛПДНЩ. Не дивлячись н</w:t>
      </w:r>
      <w:r w:rsidR="00903BCB" w:rsidRPr="007F5722">
        <w:rPr>
          <w:rFonts w:ascii="Times New Roman" w:hAnsi="Times New Roman" w:cs="Times New Roman"/>
          <w:sz w:val="28"/>
          <w:szCs w:val="28"/>
        </w:rPr>
        <w:t>а те, що значення атерогенних ліпопротеїдів</w:t>
      </w:r>
      <w:r w:rsidRPr="007F5722">
        <w:rPr>
          <w:rFonts w:ascii="Times New Roman" w:hAnsi="Times New Roman" w:cs="Times New Roman"/>
          <w:sz w:val="28"/>
          <w:szCs w:val="28"/>
        </w:rPr>
        <w:t xml:space="preserve"> у формуванні і прогресуванні атеросклерозу достоіменно встановлено, внутрішні інтимні молекулярні і клітинні механізми цих відносин до кінця не з’ясовані. Є декілька гіпотез, які пояснюють роль</w:t>
      </w:r>
      <w:r w:rsidR="004A444C" w:rsidRPr="007F5722">
        <w:rPr>
          <w:rFonts w:ascii="Times New Roman" w:hAnsi="Times New Roman" w:cs="Times New Roman"/>
          <w:sz w:val="28"/>
          <w:szCs w:val="28"/>
        </w:rPr>
        <w:t xml:space="preserve"> ХС</w:t>
      </w:r>
      <w:r w:rsidRPr="007F5722">
        <w:rPr>
          <w:rFonts w:ascii="Times New Roman" w:hAnsi="Times New Roman" w:cs="Times New Roman"/>
          <w:sz w:val="28"/>
          <w:szCs w:val="28"/>
        </w:rPr>
        <w:t xml:space="preserve"> ЛПНЩ в ініціації атеросклерозу. В основі гіпотези «відповідь на пошкодження» (the response-to-injury hypothesis) лежать механізми порушення цілісності ендотелія судин при інфільтрації стінки </w:t>
      </w:r>
      <w:r w:rsidR="004A444C" w:rsidRPr="007F5722">
        <w:rPr>
          <w:rFonts w:ascii="Times New Roman" w:hAnsi="Times New Roman" w:cs="Times New Roman"/>
          <w:sz w:val="28"/>
          <w:szCs w:val="28"/>
        </w:rPr>
        <w:t xml:space="preserve">ХС </w:t>
      </w:r>
      <w:r w:rsidRPr="007F5722">
        <w:rPr>
          <w:rFonts w:ascii="Times New Roman" w:hAnsi="Times New Roman" w:cs="Times New Roman"/>
          <w:sz w:val="28"/>
          <w:szCs w:val="28"/>
        </w:rPr>
        <w:t>ЛПНЩ, що призводить до виникнення локальної запальної реакції, в результаті формується атерома і дисфункція ендотелія.</w:t>
      </w:r>
    </w:p>
    <w:p w:rsidR="007D687A" w:rsidRPr="007F5722" w:rsidRDefault="007D687A" w:rsidP="007D687A">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Гіпотеза «відповіді на оксидативний стресс» (the response-to-oxidation hypothesis) заснована на тому, що мод</w:t>
      </w:r>
      <w:r w:rsidR="00903BCB" w:rsidRPr="007F5722">
        <w:rPr>
          <w:rFonts w:ascii="Times New Roman" w:hAnsi="Times New Roman" w:cs="Times New Roman"/>
          <w:sz w:val="28"/>
          <w:szCs w:val="28"/>
        </w:rPr>
        <w:t>ифіковані шляхом пероксидації ліпопротеїдів</w:t>
      </w:r>
      <w:r w:rsidRPr="007F5722">
        <w:rPr>
          <w:rFonts w:ascii="Times New Roman" w:hAnsi="Times New Roman" w:cs="Times New Roman"/>
          <w:sz w:val="28"/>
          <w:szCs w:val="28"/>
        </w:rPr>
        <w:t xml:space="preserve"> здатні локально впливати на артеріальну стінку і сприя</w:t>
      </w:r>
      <w:r w:rsidR="00903BCB" w:rsidRPr="007F5722">
        <w:rPr>
          <w:rFonts w:ascii="Times New Roman" w:hAnsi="Times New Roman" w:cs="Times New Roman"/>
          <w:sz w:val="28"/>
          <w:szCs w:val="28"/>
        </w:rPr>
        <w:t>ють формуванню атероми. Гіпотезу</w:t>
      </w:r>
      <w:r w:rsidRPr="007F5722">
        <w:rPr>
          <w:rFonts w:ascii="Times New Roman" w:hAnsi="Times New Roman" w:cs="Times New Roman"/>
          <w:sz w:val="28"/>
          <w:szCs w:val="28"/>
        </w:rPr>
        <w:t xml:space="preserve"> «відповідь на ретенцію» (the response-to-retention hypothesis) основано на тому,</w:t>
      </w:r>
      <w:r w:rsidR="00903BCB" w:rsidRPr="007F5722">
        <w:rPr>
          <w:rFonts w:ascii="Times New Roman" w:hAnsi="Times New Roman" w:cs="Times New Roman"/>
          <w:sz w:val="28"/>
          <w:szCs w:val="28"/>
        </w:rPr>
        <w:t xml:space="preserve"> що субендотеліальна фіксація ліпопротеїдів</w:t>
      </w:r>
      <w:r w:rsidRPr="007F5722">
        <w:rPr>
          <w:rFonts w:ascii="Times New Roman" w:hAnsi="Times New Roman" w:cs="Times New Roman"/>
          <w:sz w:val="28"/>
          <w:szCs w:val="28"/>
        </w:rPr>
        <w:t xml:space="preserve"> з наступною їх оксидативною модифікацією є ініціюючою ланкою, що зв’язує розвиток дисфункції ендотелія, прозапальні реакції та оксидативний стрес.</w:t>
      </w:r>
    </w:p>
    <w:p w:rsidR="007D687A" w:rsidRPr="007F5722" w:rsidRDefault="00903BCB" w:rsidP="007D687A">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Наведені</w:t>
      </w:r>
      <w:r w:rsidR="007D687A" w:rsidRPr="007F5722">
        <w:rPr>
          <w:rFonts w:ascii="Times New Roman" w:hAnsi="Times New Roman" w:cs="Times New Roman"/>
          <w:sz w:val="28"/>
          <w:szCs w:val="28"/>
        </w:rPr>
        <w:t xml:space="preserve"> гіпотези доповнюють одна іншу і демонструють складність взаєм</w:t>
      </w:r>
      <w:r w:rsidRPr="007F5722">
        <w:rPr>
          <w:rFonts w:ascii="Times New Roman" w:hAnsi="Times New Roman" w:cs="Times New Roman"/>
          <w:sz w:val="28"/>
          <w:szCs w:val="28"/>
        </w:rPr>
        <w:t>озв’язків між атерогенними ліпопротїдми, аполіпопротеїнами</w:t>
      </w:r>
      <w:r w:rsidR="007D687A" w:rsidRPr="007F5722">
        <w:rPr>
          <w:rFonts w:ascii="Times New Roman" w:hAnsi="Times New Roman" w:cs="Times New Roman"/>
          <w:sz w:val="28"/>
          <w:szCs w:val="28"/>
        </w:rPr>
        <w:t xml:space="preserve">, ТГ, прозапальними чинниками і структурами судинної стінки (субендотелієм, екстрацелюлярним матриксом, протеогліканами та колагеном). </w:t>
      </w:r>
    </w:p>
    <w:p w:rsidR="007D687A" w:rsidRPr="007F5722" w:rsidRDefault="007D687A" w:rsidP="007D687A">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 xml:space="preserve">Аполіпопротеїни або апопротеїни виконують наступні функції: при взаємодії з фосфоліпідами допомагають солюбілізувати етери </w:t>
      </w:r>
      <w:r w:rsidR="004A444C" w:rsidRPr="007F5722">
        <w:rPr>
          <w:rFonts w:ascii="Times New Roman" w:hAnsi="Times New Roman" w:cs="Times New Roman"/>
          <w:sz w:val="28"/>
          <w:szCs w:val="28"/>
        </w:rPr>
        <w:t>З</w:t>
      </w:r>
      <w:r w:rsidRPr="007F5722">
        <w:rPr>
          <w:rFonts w:ascii="Times New Roman" w:hAnsi="Times New Roman" w:cs="Times New Roman"/>
          <w:sz w:val="28"/>
          <w:szCs w:val="28"/>
        </w:rPr>
        <w:t>ХС і ТГ; регулюють взаємодію ліпідів з ферментами – ліпопротеїнліпа</w:t>
      </w:r>
      <w:r w:rsidR="00903BCB" w:rsidRPr="007F5722">
        <w:rPr>
          <w:rFonts w:ascii="Times New Roman" w:hAnsi="Times New Roman" w:cs="Times New Roman"/>
          <w:sz w:val="28"/>
          <w:szCs w:val="28"/>
        </w:rPr>
        <w:t>зою; забезпечують зв’язування ліпопротеїдів</w:t>
      </w:r>
      <w:r w:rsidRPr="007F5722">
        <w:rPr>
          <w:rFonts w:ascii="Times New Roman" w:hAnsi="Times New Roman" w:cs="Times New Roman"/>
          <w:sz w:val="28"/>
          <w:szCs w:val="28"/>
        </w:rPr>
        <w:t xml:space="preserve"> зі специфічними рецепторами клітинної мембрани </w:t>
      </w:r>
      <w:r w:rsidR="004A444C" w:rsidRPr="007F5722">
        <w:rPr>
          <w:rFonts w:ascii="Times New Roman" w:hAnsi="Times New Roman" w:cs="Times New Roman"/>
          <w:sz w:val="28"/>
          <w:szCs w:val="28"/>
        </w:rPr>
        <w:t>А</w:t>
      </w:r>
      <w:r w:rsidRPr="007F5722">
        <w:rPr>
          <w:rFonts w:ascii="Times New Roman" w:hAnsi="Times New Roman" w:cs="Times New Roman"/>
          <w:sz w:val="28"/>
          <w:szCs w:val="28"/>
        </w:rPr>
        <w:t>по</w:t>
      </w:r>
      <w:r w:rsidR="004A444C" w:rsidRPr="007F5722">
        <w:rPr>
          <w:rFonts w:ascii="Times New Roman" w:hAnsi="Times New Roman" w:cs="Times New Roman"/>
          <w:sz w:val="28"/>
          <w:szCs w:val="28"/>
        </w:rPr>
        <w:t xml:space="preserve"> </w:t>
      </w:r>
      <w:r w:rsidRPr="007F5722">
        <w:rPr>
          <w:rFonts w:ascii="Times New Roman" w:hAnsi="Times New Roman" w:cs="Times New Roman"/>
          <w:sz w:val="28"/>
          <w:szCs w:val="28"/>
        </w:rPr>
        <w:t xml:space="preserve">В головний компонент білків </w:t>
      </w:r>
      <w:r w:rsidR="004A444C" w:rsidRPr="007F5722">
        <w:rPr>
          <w:rFonts w:ascii="Times New Roman" w:hAnsi="Times New Roman" w:cs="Times New Roman"/>
          <w:sz w:val="28"/>
          <w:szCs w:val="28"/>
        </w:rPr>
        <w:t xml:space="preserve">ХС </w:t>
      </w:r>
      <w:r w:rsidRPr="007F5722">
        <w:rPr>
          <w:rFonts w:ascii="Times New Roman" w:hAnsi="Times New Roman" w:cs="Times New Roman"/>
          <w:sz w:val="28"/>
          <w:szCs w:val="28"/>
        </w:rPr>
        <w:t xml:space="preserve">ЛПНЩ, </w:t>
      </w:r>
      <w:r w:rsidR="00903BCB" w:rsidRPr="007F5722">
        <w:rPr>
          <w:rFonts w:ascii="Times New Roman" w:hAnsi="Times New Roman" w:cs="Times New Roman"/>
          <w:sz w:val="28"/>
          <w:szCs w:val="28"/>
        </w:rPr>
        <w:t>холестерину ліпопротеїдів проміжної щільності (ХС ЛП</w:t>
      </w:r>
      <w:r w:rsidR="004A444C" w:rsidRPr="007F5722">
        <w:rPr>
          <w:rFonts w:ascii="Times New Roman" w:hAnsi="Times New Roman" w:cs="Times New Roman"/>
          <w:sz w:val="28"/>
          <w:szCs w:val="28"/>
        </w:rPr>
        <w:t>ПЩ</w:t>
      </w:r>
      <w:r w:rsidR="00903BCB" w:rsidRPr="007F5722">
        <w:rPr>
          <w:rFonts w:ascii="Times New Roman" w:hAnsi="Times New Roman" w:cs="Times New Roman"/>
          <w:sz w:val="28"/>
          <w:szCs w:val="28"/>
        </w:rPr>
        <w:t>)</w:t>
      </w:r>
      <w:r w:rsidR="004A444C" w:rsidRPr="007F5722">
        <w:rPr>
          <w:rFonts w:ascii="Times New Roman" w:hAnsi="Times New Roman" w:cs="Times New Roman"/>
          <w:sz w:val="28"/>
          <w:szCs w:val="28"/>
        </w:rPr>
        <w:t>, ЛПДНЩ та хіломікронів. Однак хіломікрони</w:t>
      </w:r>
      <w:r w:rsidRPr="007F5722">
        <w:rPr>
          <w:rFonts w:ascii="Times New Roman" w:hAnsi="Times New Roman" w:cs="Times New Roman"/>
          <w:sz w:val="28"/>
          <w:szCs w:val="28"/>
        </w:rPr>
        <w:t xml:space="preserve"> не присутні в плазмі натще, і майже весь Апо</w:t>
      </w:r>
      <w:r w:rsidR="004A444C" w:rsidRPr="007F5722">
        <w:rPr>
          <w:rFonts w:ascii="Times New Roman" w:hAnsi="Times New Roman" w:cs="Times New Roman"/>
          <w:sz w:val="28"/>
          <w:szCs w:val="28"/>
        </w:rPr>
        <w:t xml:space="preserve"> </w:t>
      </w:r>
      <w:r w:rsidRPr="007F5722">
        <w:rPr>
          <w:rFonts w:ascii="Times New Roman" w:hAnsi="Times New Roman" w:cs="Times New Roman"/>
          <w:sz w:val="28"/>
          <w:szCs w:val="28"/>
        </w:rPr>
        <w:t>В міститься в атерогенн</w:t>
      </w:r>
      <w:r w:rsidR="00991718" w:rsidRPr="007F5722">
        <w:rPr>
          <w:rFonts w:ascii="Times New Roman" w:hAnsi="Times New Roman" w:cs="Times New Roman"/>
          <w:sz w:val="28"/>
          <w:szCs w:val="28"/>
        </w:rPr>
        <w:t>их ліпопротеїдах</w:t>
      </w:r>
      <w:r w:rsidRPr="007F5722">
        <w:rPr>
          <w:rFonts w:ascii="Times New Roman" w:hAnsi="Times New Roman" w:cs="Times New Roman"/>
          <w:sz w:val="28"/>
          <w:szCs w:val="28"/>
        </w:rPr>
        <w:t xml:space="preserve">. </w:t>
      </w:r>
    </w:p>
    <w:p w:rsidR="007D687A" w:rsidRPr="007F5722" w:rsidRDefault="004A444C" w:rsidP="004A444C">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lastRenderedPageBreak/>
        <w:t>Концентрація А</w:t>
      </w:r>
      <w:r w:rsidR="007D687A" w:rsidRPr="007F5722">
        <w:rPr>
          <w:rFonts w:ascii="Times New Roman" w:hAnsi="Times New Roman" w:cs="Times New Roman"/>
          <w:sz w:val="28"/>
          <w:szCs w:val="28"/>
        </w:rPr>
        <w:t>по</w:t>
      </w:r>
      <w:r w:rsidRPr="007F5722">
        <w:rPr>
          <w:rFonts w:ascii="Times New Roman" w:hAnsi="Times New Roman" w:cs="Times New Roman"/>
          <w:sz w:val="28"/>
          <w:szCs w:val="28"/>
        </w:rPr>
        <w:t xml:space="preserve"> </w:t>
      </w:r>
      <w:r w:rsidR="007D687A" w:rsidRPr="007F5722">
        <w:rPr>
          <w:rFonts w:ascii="Times New Roman" w:hAnsi="Times New Roman" w:cs="Times New Roman"/>
          <w:sz w:val="28"/>
          <w:szCs w:val="28"/>
        </w:rPr>
        <w:t>В розгляда</w:t>
      </w:r>
      <w:r w:rsidR="00991718" w:rsidRPr="007F5722">
        <w:rPr>
          <w:rFonts w:ascii="Times New Roman" w:hAnsi="Times New Roman" w:cs="Times New Roman"/>
          <w:sz w:val="28"/>
          <w:szCs w:val="28"/>
        </w:rPr>
        <w:t>ється як маркер атерогенності ліпопротеїдів</w:t>
      </w:r>
      <w:r w:rsidR="007D687A" w:rsidRPr="007F5722">
        <w:rPr>
          <w:rFonts w:ascii="Times New Roman" w:hAnsi="Times New Roman" w:cs="Times New Roman"/>
          <w:sz w:val="28"/>
          <w:szCs w:val="28"/>
        </w:rPr>
        <w:t xml:space="preserve"> п</w:t>
      </w:r>
      <w:r w:rsidR="00991718" w:rsidRPr="007F5722">
        <w:rPr>
          <w:rFonts w:ascii="Times New Roman" w:hAnsi="Times New Roman" w:cs="Times New Roman"/>
          <w:sz w:val="28"/>
          <w:szCs w:val="28"/>
        </w:rPr>
        <w:t>лазми, особливо у пацієнтів з гі</w:t>
      </w:r>
      <w:r w:rsidR="007D687A" w:rsidRPr="007F5722">
        <w:rPr>
          <w:rFonts w:ascii="Times New Roman" w:hAnsi="Times New Roman" w:cs="Times New Roman"/>
          <w:sz w:val="28"/>
          <w:szCs w:val="28"/>
        </w:rPr>
        <w:t>пертригліцеридемією і в осіб з нормальними концентраціями ЛПНЩ [</w:t>
      </w:r>
      <w:r w:rsidRPr="007F5722">
        <w:rPr>
          <w:rFonts w:ascii="Times New Roman" w:hAnsi="Times New Roman" w:cs="Times New Roman"/>
          <w:sz w:val="28"/>
          <w:szCs w:val="28"/>
        </w:rPr>
        <w:t>95, 96</w:t>
      </w:r>
      <w:r w:rsidR="007D687A" w:rsidRPr="007F5722">
        <w:rPr>
          <w:rFonts w:ascii="Times New Roman" w:hAnsi="Times New Roman" w:cs="Times New Roman"/>
          <w:sz w:val="28"/>
          <w:szCs w:val="28"/>
        </w:rPr>
        <w:t>].</w:t>
      </w:r>
    </w:p>
    <w:p w:rsidR="007D687A" w:rsidRPr="007F5722" w:rsidRDefault="007D687A" w:rsidP="00991718">
      <w:pPr>
        <w:spacing w:after="0" w:line="360" w:lineRule="auto"/>
        <w:ind w:firstLine="709"/>
        <w:jc w:val="both"/>
        <w:rPr>
          <w:rFonts w:ascii="Times New Roman" w:hAnsi="Times New Roman" w:cs="Times New Roman"/>
          <w:sz w:val="28"/>
          <w:szCs w:val="28"/>
        </w:rPr>
      </w:pPr>
      <w:r w:rsidRPr="007F5722">
        <w:rPr>
          <w:rFonts w:ascii="Times New Roman" w:hAnsi="Times New Roman" w:cs="Times New Roman"/>
          <w:sz w:val="28"/>
          <w:szCs w:val="28"/>
        </w:rPr>
        <w:t>Порушення обміну ліпопротеїдів відіграє важливу роль в патогенезі атеросклеротичного процесу,</w:t>
      </w:r>
      <w:r w:rsidR="00CF3C82" w:rsidRPr="007F5722">
        <w:rPr>
          <w:rFonts w:ascii="Times New Roman" w:hAnsi="Times New Roman" w:cs="Times New Roman"/>
          <w:sz w:val="28"/>
          <w:szCs w:val="28"/>
        </w:rPr>
        <w:t xml:space="preserve"> про що свідчать резуль</w:t>
      </w:r>
      <w:r w:rsidRPr="007F5722">
        <w:rPr>
          <w:rFonts w:ascii="Times New Roman" w:hAnsi="Times New Roman" w:cs="Times New Roman"/>
          <w:sz w:val="28"/>
          <w:szCs w:val="28"/>
        </w:rPr>
        <w:t>тати багаточисельних експериментальних, клінічних і епідеміологічних досліджень. Окрім доб</w:t>
      </w:r>
      <w:r w:rsidR="00CF3C82" w:rsidRPr="007F5722">
        <w:rPr>
          <w:rFonts w:ascii="Times New Roman" w:hAnsi="Times New Roman" w:cs="Times New Roman"/>
          <w:sz w:val="28"/>
          <w:szCs w:val="28"/>
        </w:rPr>
        <w:t>ре відомих чинників ризику ате</w:t>
      </w:r>
      <w:r w:rsidRPr="007F5722">
        <w:rPr>
          <w:rFonts w:ascii="Times New Roman" w:hAnsi="Times New Roman" w:cs="Times New Roman"/>
          <w:sz w:val="28"/>
          <w:szCs w:val="28"/>
        </w:rPr>
        <w:t>роскл</w:t>
      </w:r>
      <w:r w:rsidR="00CF3C82" w:rsidRPr="007F5722">
        <w:rPr>
          <w:rFonts w:ascii="Times New Roman" w:hAnsi="Times New Roman" w:cs="Times New Roman"/>
          <w:sz w:val="28"/>
          <w:szCs w:val="28"/>
        </w:rPr>
        <w:t>ерозу — ЗХС</w:t>
      </w:r>
      <w:r w:rsidRPr="007F5722">
        <w:rPr>
          <w:rFonts w:ascii="Times New Roman" w:hAnsi="Times New Roman" w:cs="Times New Roman"/>
          <w:sz w:val="28"/>
          <w:szCs w:val="28"/>
        </w:rPr>
        <w:t xml:space="preserve">, </w:t>
      </w:r>
      <w:r w:rsidR="00CF3C82" w:rsidRPr="007F5722">
        <w:rPr>
          <w:rFonts w:ascii="Times New Roman" w:hAnsi="Times New Roman" w:cs="Times New Roman"/>
          <w:sz w:val="28"/>
          <w:szCs w:val="28"/>
        </w:rPr>
        <w:t>ХС ЛПНЩ</w:t>
      </w:r>
      <w:r w:rsidRPr="007F5722">
        <w:rPr>
          <w:rFonts w:ascii="Times New Roman" w:hAnsi="Times New Roman" w:cs="Times New Roman"/>
          <w:sz w:val="28"/>
          <w:szCs w:val="28"/>
        </w:rPr>
        <w:t xml:space="preserve">, </w:t>
      </w:r>
      <w:r w:rsidR="00CF3C82" w:rsidRPr="007F5722">
        <w:rPr>
          <w:rFonts w:ascii="Times New Roman" w:hAnsi="Times New Roman" w:cs="Times New Roman"/>
          <w:sz w:val="28"/>
          <w:szCs w:val="28"/>
        </w:rPr>
        <w:t>ХС ЛПДНЩ, ТГ</w:t>
      </w:r>
      <w:r w:rsidRPr="007F5722">
        <w:rPr>
          <w:rFonts w:ascii="Times New Roman" w:hAnsi="Times New Roman" w:cs="Times New Roman"/>
          <w:sz w:val="28"/>
          <w:szCs w:val="28"/>
        </w:rPr>
        <w:t>, остан</w:t>
      </w:r>
      <w:r w:rsidR="00CF3C82" w:rsidRPr="007F5722">
        <w:rPr>
          <w:rFonts w:ascii="Times New Roman" w:hAnsi="Times New Roman" w:cs="Times New Roman"/>
          <w:sz w:val="28"/>
          <w:szCs w:val="28"/>
        </w:rPr>
        <w:t>нім часом велику увагу приділя</w:t>
      </w:r>
      <w:r w:rsidRPr="007F5722">
        <w:rPr>
          <w:rFonts w:ascii="Times New Roman" w:hAnsi="Times New Roman" w:cs="Times New Roman"/>
          <w:sz w:val="28"/>
          <w:szCs w:val="28"/>
        </w:rPr>
        <w:t>ють дослі</w:t>
      </w:r>
      <w:r w:rsidR="00991718" w:rsidRPr="007F5722">
        <w:rPr>
          <w:rFonts w:ascii="Times New Roman" w:hAnsi="Times New Roman" w:cs="Times New Roman"/>
          <w:sz w:val="28"/>
          <w:szCs w:val="28"/>
        </w:rPr>
        <w:t>дженню ліпопротеїду (а)</w:t>
      </w:r>
      <w:r w:rsidR="00CF3C82" w:rsidRPr="007F5722">
        <w:rPr>
          <w:rFonts w:ascii="Times New Roman" w:hAnsi="Times New Roman" w:cs="Times New Roman"/>
          <w:sz w:val="28"/>
          <w:szCs w:val="28"/>
        </w:rPr>
        <w:t>, Апо В-100</w:t>
      </w:r>
      <w:r w:rsidRPr="007F5722">
        <w:rPr>
          <w:rFonts w:ascii="Times New Roman" w:hAnsi="Times New Roman" w:cs="Times New Roman"/>
          <w:sz w:val="28"/>
          <w:szCs w:val="28"/>
        </w:rPr>
        <w:t xml:space="preserve"> і </w:t>
      </w:r>
      <w:r w:rsidR="00CF3C82" w:rsidRPr="007F5722">
        <w:rPr>
          <w:rFonts w:ascii="Times New Roman" w:hAnsi="Times New Roman" w:cs="Times New Roman"/>
          <w:sz w:val="28"/>
          <w:szCs w:val="28"/>
        </w:rPr>
        <w:t>Апо А-1</w:t>
      </w:r>
      <w:r w:rsidRPr="007F5722">
        <w:rPr>
          <w:rFonts w:ascii="Times New Roman" w:hAnsi="Times New Roman" w:cs="Times New Roman"/>
          <w:sz w:val="28"/>
          <w:szCs w:val="28"/>
        </w:rPr>
        <w:t xml:space="preserve"> в якості ма</w:t>
      </w:r>
      <w:r w:rsidR="00991718" w:rsidRPr="007F5722">
        <w:rPr>
          <w:rFonts w:ascii="Times New Roman" w:hAnsi="Times New Roman" w:cs="Times New Roman"/>
          <w:sz w:val="28"/>
          <w:szCs w:val="28"/>
        </w:rPr>
        <w:t>ркерів коронарного атеросклеро</w:t>
      </w:r>
      <w:r w:rsidRPr="007F5722">
        <w:rPr>
          <w:rFonts w:ascii="Times New Roman" w:hAnsi="Times New Roman" w:cs="Times New Roman"/>
          <w:sz w:val="28"/>
          <w:szCs w:val="28"/>
        </w:rPr>
        <w:t>зу [</w:t>
      </w:r>
      <w:r w:rsidR="00CF3C82" w:rsidRPr="007F5722">
        <w:rPr>
          <w:rFonts w:ascii="Times New Roman" w:hAnsi="Times New Roman" w:cs="Times New Roman"/>
          <w:sz w:val="28"/>
          <w:szCs w:val="28"/>
        </w:rPr>
        <w:t>97-99</w:t>
      </w:r>
      <w:r w:rsidRPr="007F5722">
        <w:rPr>
          <w:rFonts w:ascii="Times New Roman" w:hAnsi="Times New Roman" w:cs="Times New Roman"/>
          <w:sz w:val="28"/>
          <w:szCs w:val="28"/>
        </w:rPr>
        <w:t xml:space="preserve">]. </w:t>
      </w:r>
    </w:p>
    <w:p w:rsidR="007D687A" w:rsidRPr="007F5722" w:rsidRDefault="007D687A" w:rsidP="007D687A">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На думку багатьох авторів, ці показники є більш значущими прогностичними критеріями ризику ІХС на відміну від інших ліпідних параметрів [</w:t>
      </w:r>
      <w:r w:rsidR="00CF3C82" w:rsidRPr="007F5722">
        <w:rPr>
          <w:rFonts w:ascii="Times New Roman" w:hAnsi="Times New Roman" w:cs="Times New Roman"/>
          <w:sz w:val="28"/>
          <w:szCs w:val="28"/>
        </w:rPr>
        <w:t>100</w:t>
      </w:r>
      <w:r w:rsidRPr="007F5722">
        <w:rPr>
          <w:rFonts w:ascii="Times New Roman" w:hAnsi="Times New Roman" w:cs="Times New Roman"/>
          <w:sz w:val="28"/>
          <w:szCs w:val="28"/>
        </w:rPr>
        <w:t>].</w:t>
      </w:r>
    </w:p>
    <w:p w:rsidR="007D687A" w:rsidRPr="007F5722" w:rsidRDefault="00991718" w:rsidP="00DB24D0">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Ліпопротеїд (а)</w:t>
      </w:r>
      <w:r w:rsidR="00A050AA" w:rsidRPr="007F5722">
        <w:rPr>
          <w:rFonts w:ascii="Times New Roman" w:hAnsi="Times New Roman" w:cs="Times New Roman"/>
          <w:sz w:val="28"/>
          <w:szCs w:val="28"/>
          <w:lang w:val="ru-RU"/>
        </w:rPr>
        <w:t xml:space="preserve"> (</w:t>
      </w:r>
      <w:r w:rsidR="00A050AA" w:rsidRPr="007F5722">
        <w:rPr>
          <w:rFonts w:ascii="Times New Roman" w:hAnsi="Times New Roman" w:cs="Times New Roman"/>
          <w:sz w:val="28"/>
          <w:szCs w:val="28"/>
        </w:rPr>
        <w:t>Апо (а)</w:t>
      </w:r>
      <w:r w:rsidR="00A050AA" w:rsidRPr="007F5722">
        <w:rPr>
          <w:rFonts w:ascii="Times New Roman" w:hAnsi="Times New Roman" w:cs="Times New Roman"/>
          <w:sz w:val="28"/>
          <w:szCs w:val="28"/>
          <w:lang w:val="ru-RU"/>
        </w:rPr>
        <w:t>)</w:t>
      </w:r>
      <w:r w:rsidRPr="007F5722">
        <w:rPr>
          <w:rFonts w:ascii="Times New Roman" w:hAnsi="Times New Roman" w:cs="Times New Roman"/>
          <w:sz w:val="28"/>
          <w:szCs w:val="28"/>
        </w:rPr>
        <w:t xml:space="preserve"> </w:t>
      </w:r>
      <w:r w:rsidR="007D687A" w:rsidRPr="007F5722">
        <w:rPr>
          <w:rFonts w:ascii="Times New Roman" w:hAnsi="Times New Roman" w:cs="Times New Roman"/>
          <w:sz w:val="28"/>
          <w:szCs w:val="28"/>
        </w:rPr>
        <w:t xml:space="preserve">синтезується печінкою, має декілька фізичних та хімічних властивостей, подібних до властивостей </w:t>
      </w:r>
      <w:r w:rsidR="00CF3C82" w:rsidRPr="007F5722">
        <w:rPr>
          <w:rFonts w:ascii="Times New Roman" w:hAnsi="Times New Roman" w:cs="Times New Roman"/>
          <w:sz w:val="28"/>
          <w:szCs w:val="28"/>
        </w:rPr>
        <w:t>ХС ЛПНЩ. Але наявність А</w:t>
      </w:r>
      <w:r w:rsidR="007D687A" w:rsidRPr="007F5722">
        <w:rPr>
          <w:rFonts w:ascii="Times New Roman" w:hAnsi="Times New Roman" w:cs="Times New Roman"/>
          <w:sz w:val="28"/>
          <w:szCs w:val="28"/>
        </w:rPr>
        <w:t xml:space="preserve">по(а) в частинці </w:t>
      </w:r>
      <w:r w:rsidR="00DB24D0" w:rsidRPr="007F5722">
        <w:rPr>
          <w:rFonts w:ascii="Times New Roman" w:hAnsi="Times New Roman" w:cs="Times New Roman"/>
          <w:sz w:val="28"/>
          <w:szCs w:val="28"/>
        </w:rPr>
        <w:t>Лп(а) наділяє його властивостя</w:t>
      </w:r>
      <w:r w:rsidR="007D687A" w:rsidRPr="007F5722">
        <w:rPr>
          <w:rFonts w:ascii="Times New Roman" w:hAnsi="Times New Roman" w:cs="Times New Roman"/>
          <w:sz w:val="28"/>
          <w:szCs w:val="28"/>
        </w:rPr>
        <w:t xml:space="preserve">ми, які не притаманні </w:t>
      </w:r>
      <w:r w:rsidR="00DB24D0" w:rsidRPr="007F5722">
        <w:rPr>
          <w:rFonts w:ascii="Times New Roman" w:hAnsi="Times New Roman" w:cs="Times New Roman"/>
          <w:sz w:val="28"/>
          <w:szCs w:val="28"/>
        </w:rPr>
        <w:t xml:space="preserve">ХС </w:t>
      </w:r>
      <w:r w:rsidR="007D687A" w:rsidRPr="007F5722">
        <w:rPr>
          <w:rFonts w:ascii="Times New Roman" w:hAnsi="Times New Roman" w:cs="Times New Roman"/>
          <w:sz w:val="28"/>
          <w:szCs w:val="28"/>
        </w:rPr>
        <w:t>ЛПНЩ [</w:t>
      </w:r>
      <w:r w:rsidR="00DB24D0" w:rsidRPr="007F5722">
        <w:rPr>
          <w:rFonts w:ascii="Times New Roman" w:hAnsi="Times New Roman" w:cs="Times New Roman"/>
          <w:sz w:val="28"/>
          <w:szCs w:val="28"/>
        </w:rPr>
        <w:t>101].</w:t>
      </w:r>
    </w:p>
    <w:p w:rsidR="007D687A" w:rsidRPr="007F5722" w:rsidRDefault="007D687A" w:rsidP="007D687A">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 xml:space="preserve">Відомо, що </w:t>
      </w:r>
      <w:r w:rsidR="00991718" w:rsidRPr="007F5722">
        <w:rPr>
          <w:rFonts w:ascii="Times New Roman" w:hAnsi="Times New Roman" w:cs="Times New Roman"/>
          <w:sz w:val="28"/>
          <w:szCs w:val="28"/>
        </w:rPr>
        <w:t xml:space="preserve">ліпопротеїд (а) </w:t>
      </w:r>
      <w:r w:rsidRPr="007F5722">
        <w:rPr>
          <w:rFonts w:ascii="Times New Roman" w:hAnsi="Times New Roman" w:cs="Times New Roman"/>
          <w:sz w:val="28"/>
          <w:szCs w:val="28"/>
        </w:rPr>
        <w:t>здатен проникати в суд</w:t>
      </w:r>
      <w:r w:rsidR="00DB24D0" w:rsidRPr="007F5722">
        <w:rPr>
          <w:rFonts w:ascii="Times New Roman" w:hAnsi="Times New Roman" w:cs="Times New Roman"/>
          <w:sz w:val="28"/>
          <w:szCs w:val="28"/>
        </w:rPr>
        <w:t>инну стінку та взаємодіяти з сек</w:t>
      </w:r>
      <w:r w:rsidRPr="007F5722">
        <w:rPr>
          <w:rFonts w:ascii="Times New Roman" w:hAnsi="Times New Roman" w:cs="Times New Roman"/>
          <w:sz w:val="28"/>
          <w:szCs w:val="28"/>
        </w:rPr>
        <w:t>венджер-рецепторами макрофаг</w:t>
      </w:r>
      <w:r w:rsidR="00DB24D0" w:rsidRPr="007F5722">
        <w:rPr>
          <w:rFonts w:ascii="Times New Roman" w:hAnsi="Times New Roman" w:cs="Times New Roman"/>
          <w:sz w:val="28"/>
          <w:szCs w:val="28"/>
        </w:rPr>
        <w:t xml:space="preserve">ів з наступним формуванням </w:t>
      </w:r>
      <w:r w:rsidR="00991718" w:rsidRPr="007F5722">
        <w:rPr>
          <w:rFonts w:ascii="Times New Roman" w:hAnsi="Times New Roman" w:cs="Times New Roman"/>
          <w:sz w:val="28"/>
          <w:szCs w:val="28"/>
        </w:rPr>
        <w:t>пінистих</w:t>
      </w:r>
      <w:r w:rsidRPr="007F5722">
        <w:rPr>
          <w:rFonts w:ascii="Times New Roman" w:hAnsi="Times New Roman" w:cs="Times New Roman"/>
          <w:sz w:val="28"/>
          <w:szCs w:val="28"/>
        </w:rPr>
        <w:t xml:space="preserve"> клітин, багатих на ліпідні вакуолі, які є одн</w:t>
      </w:r>
      <w:r w:rsidR="00DB24D0" w:rsidRPr="007F5722">
        <w:rPr>
          <w:rFonts w:ascii="Times New Roman" w:hAnsi="Times New Roman" w:cs="Times New Roman"/>
          <w:sz w:val="28"/>
          <w:szCs w:val="28"/>
        </w:rPr>
        <w:t>ими з головних клітинних компо</w:t>
      </w:r>
      <w:r w:rsidRPr="007F5722">
        <w:rPr>
          <w:rFonts w:ascii="Times New Roman" w:hAnsi="Times New Roman" w:cs="Times New Roman"/>
          <w:sz w:val="28"/>
          <w:szCs w:val="28"/>
        </w:rPr>
        <w:t>нентів атеросклеротичної бляшки [</w:t>
      </w:r>
      <w:r w:rsidR="00DB24D0" w:rsidRPr="007F5722">
        <w:rPr>
          <w:rFonts w:ascii="Times New Roman" w:hAnsi="Times New Roman" w:cs="Times New Roman"/>
          <w:sz w:val="28"/>
          <w:szCs w:val="28"/>
        </w:rPr>
        <w:t>102</w:t>
      </w:r>
      <w:r w:rsidRPr="007F5722">
        <w:rPr>
          <w:rFonts w:ascii="Times New Roman" w:hAnsi="Times New Roman" w:cs="Times New Roman"/>
          <w:sz w:val="28"/>
          <w:szCs w:val="28"/>
        </w:rPr>
        <w:t>].</w:t>
      </w:r>
    </w:p>
    <w:p w:rsidR="007D687A" w:rsidRPr="007F5722" w:rsidRDefault="007D687A" w:rsidP="00DB24D0">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Є дані ст</w:t>
      </w:r>
      <w:r w:rsidR="00DB24D0" w:rsidRPr="007F5722">
        <w:rPr>
          <w:rFonts w:ascii="Times New Roman" w:hAnsi="Times New Roman" w:cs="Times New Roman"/>
          <w:sz w:val="28"/>
          <w:szCs w:val="28"/>
        </w:rPr>
        <w:t xml:space="preserve">осовно того, що підвищення концентрації </w:t>
      </w:r>
      <w:r w:rsidR="00991718" w:rsidRPr="007F5722">
        <w:rPr>
          <w:rFonts w:ascii="Times New Roman" w:hAnsi="Times New Roman" w:cs="Times New Roman"/>
          <w:sz w:val="28"/>
          <w:szCs w:val="28"/>
        </w:rPr>
        <w:t xml:space="preserve">ліпопротеїду (а) </w:t>
      </w:r>
      <w:r w:rsidR="00DB24D0" w:rsidRPr="007F5722">
        <w:rPr>
          <w:rFonts w:ascii="Times New Roman" w:hAnsi="Times New Roman" w:cs="Times New Roman"/>
          <w:sz w:val="28"/>
          <w:szCs w:val="28"/>
        </w:rPr>
        <w:t>вище 27 – 30 мг/дл та Апо В вище 129 (110 – 130) мг/</w:t>
      </w:r>
      <w:r w:rsidRPr="007F5722">
        <w:rPr>
          <w:rFonts w:ascii="Times New Roman" w:hAnsi="Times New Roman" w:cs="Times New Roman"/>
          <w:sz w:val="28"/>
          <w:szCs w:val="28"/>
        </w:rPr>
        <w:t>дл в крові людини корелює з</w:t>
      </w:r>
      <w:r w:rsidR="00991718" w:rsidRPr="007F5722">
        <w:rPr>
          <w:rFonts w:ascii="Times New Roman" w:hAnsi="Times New Roman" w:cs="Times New Roman"/>
          <w:sz w:val="28"/>
          <w:szCs w:val="28"/>
        </w:rPr>
        <w:t xml:space="preserve"> прискореним атеросклеротичним у</w:t>
      </w:r>
      <w:r w:rsidRPr="007F5722">
        <w:rPr>
          <w:rFonts w:ascii="Times New Roman" w:hAnsi="Times New Roman" w:cs="Times New Roman"/>
          <w:sz w:val="28"/>
          <w:szCs w:val="28"/>
        </w:rPr>
        <w:t>раженням</w:t>
      </w:r>
      <w:r w:rsidR="00DB24D0" w:rsidRPr="007F5722">
        <w:rPr>
          <w:rFonts w:ascii="Times New Roman" w:hAnsi="Times New Roman" w:cs="Times New Roman"/>
          <w:sz w:val="28"/>
          <w:szCs w:val="28"/>
        </w:rPr>
        <w:t xml:space="preserve"> коронарних, сонних, периферич</w:t>
      </w:r>
      <w:r w:rsidRPr="007F5722">
        <w:rPr>
          <w:rFonts w:ascii="Times New Roman" w:hAnsi="Times New Roman" w:cs="Times New Roman"/>
          <w:sz w:val="28"/>
          <w:szCs w:val="28"/>
        </w:rPr>
        <w:t>них артерій, аутовенозних шунтів після опер</w:t>
      </w:r>
      <w:r w:rsidR="00DB24D0" w:rsidRPr="007F5722">
        <w:rPr>
          <w:rFonts w:ascii="Times New Roman" w:hAnsi="Times New Roman" w:cs="Times New Roman"/>
          <w:sz w:val="28"/>
          <w:szCs w:val="28"/>
        </w:rPr>
        <w:t>ацій аортокоронарного шунтування, часто</w:t>
      </w:r>
      <w:r w:rsidRPr="007F5722">
        <w:rPr>
          <w:rFonts w:ascii="Times New Roman" w:hAnsi="Times New Roman" w:cs="Times New Roman"/>
          <w:sz w:val="28"/>
          <w:szCs w:val="28"/>
        </w:rPr>
        <w:t>тою рестенозування оперованих судин після коронарної ангіопластики [</w:t>
      </w:r>
      <w:r w:rsidR="00DB24D0" w:rsidRPr="007F5722">
        <w:rPr>
          <w:rFonts w:ascii="Times New Roman" w:hAnsi="Times New Roman" w:cs="Times New Roman"/>
          <w:sz w:val="28"/>
          <w:szCs w:val="28"/>
        </w:rPr>
        <w:t>103, 104</w:t>
      </w:r>
      <w:r w:rsidRPr="007F5722">
        <w:rPr>
          <w:rFonts w:ascii="Times New Roman" w:hAnsi="Times New Roman" w:cs="Times New Roman"/>
          <w:sz w:val="28"/>
          <w:szCs w:val="28"/>
        </w:rPr>
        <w:t xml:space="preserve">]. </w:t>
      </w:r>
    </w:p>
    <w:p w:rsidR="007D687A" w:rsidRPr="007F5722" w:rsidRDefault="007D687A" w:rsidP="00060466">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Обов’язковим</w:t>
      </w:r>
      <w:r w:rsidR="00991718" w:rsidRPr="007F5722">
        <w:rPr>
          <w:rFonts w:ascii="Times New Roman" w:hAnsi="Times New Roman" w:cs="Times New Roman"/>
          <w:sz w:val="28"/>
          <w:szCs w:val="28"/>
        </w:rPr>
        <w:t>и компонентами ліпопротеїдів</w:t>
      </w:r>
      <w:r w:rsidR="00DB24D0" w:rsidRPr="007F5722">
        <w:rPr>
          <w:rFonts w:ascii="Times New Roman" w:hAnsi="Times New Roman" w:cs="Times New Roman"/>
          <w:sz w:val="28"/>
          <w:szCs w:val="28"/>
        </w:rPr>
        <w:t xml:space="preserve"> є аполіпопротеїни</w:t>
      </w:r>
      <w:r w:rsidRPr="007F5722">
        <w:rPr>
          <w:rFonts w:ascii="Times New Roman" w:hAnsi="Times New Roman" w:cs="Times New Roman"/>
          <w:sz w:val="28"/>
          <w:szCs w:val="28"/>
        </w:rPr>
        <w:t>. Виділяють два кла</w:t>
      </w:r>
      <w:r w:rsidR="00DB24D0" w:rsidRPr="007F5722">
        <w:rPr>
          <w:rFonts w:ascii="Times New Roman" w:hAnsi="Times New Roman" w:cs="Times New Roman"/>
          <w:sz w:val="28"/>
          <w:szCs w:val="28"/>
        </w:rPr>
        <w:t>си аполіпопротеїні</w:t>
      </w:r>
      <w:r w:rsidR="00991718" w:rsidRPr="007F5722">
        <w:rPr>
          <w:rFonts w:ascii="Times New Roman" w:hAnsi="Times New Roman" w:cs="Times New Roman"/>
          <w:sz w:val="28"/>
          <w:szCs w:val="28"/>
        </w:rPr>
        <w:t>в: незмінні Апо-В100 та Апо-В48</w:t>
      </w:r>
      <w:r w:rsidR="00DB24D0" w:rsidRPr="007F5722">
        <w:rPr>
          <w:rFonts w:ascii="Times New Roman" w:hAnsi="Times New Roman" w:cs="Times New Roman"/>
          <w:sz w:val="28"/>
          <w:szCs w:val="28"/>
        </w:rPr>
        <w:t xml:space="preserve"> та </w:t>
      </w:r>
      <w:r w:rsidR="00991718" w:rsidRPr="007F5722">
        <w:rPr>
          <w:rFonts w:ascii="Times New Roman" w:hAnsi="Times New Roman" w:cs="Times New Roman"/>
          <w:sz w:val="28"/>
          <w:szCs w:val="28"/>
        </w:rPr>
        <w:t>змінні:</w:t>
      </w:r>
      <w:r w:rsidR="00DB24D0" w:rsidRPr="007F5722">
        <w:rPr>
          <w:rFonts w:ascii="Times New Roman" w:hAnsi="Times New Roman" w:cs="Times New Roman"/>
          <w:sz w:val="28"/>
          <w:szCs w:val="28"/>
        </w:rPr>
        <w:t>Апо-АІ, Апо-АІІ Апо-АІV, Апо-СІ, Апо-СІІ, Апо-СІІІ та А</w:t>
      </w:r>
      <w:r w:rsidR="00991718" w:rsidRPr="007F5722">
        <w:rPr>
          <w:rFonts w:ascii="Times New Roman" w:hAnsi="Times New Roman" w:cs="Times New Roman"/>
          <w:sz w:val="28"/>
          <w:szCs w:val="28"/>
        </w:rPr>
        <w:t>по-Е.</w:t>
      </w:r>
      <w:r w:rsidRPr="007F5722">
        <w:rPr>
          <w:rFonts w:ascii="Times New Roman" w:hAnsi="Times New Roman" w:cs="Times New Roman"/>
          <w:sz w:val="28"/>
          <w:szCs w:val="28"/>
        </w:rPr>
        <w:t xml:space="preserve"> Апо</w:t>
      </w:r>
      <w:r w:rsidR="00DB24D0" w:rsidRPr="007F5722">
        <w:rPr>
          <w:rFonts w:ascii="Times New Roman" w:hAnsi="Times New Roman" w:cs="Times New Roman"/>
          <w:sz w:val="28"/>
          <w:szCs w:val="28"/>
        </w:rPr>
        <w:t xml:space="preserve"> </w:t>
      </w:r>
      <w:r w:rsidRPr="007F5722">
        <w:rPr>
          <w:rFonts w:ascii="Times New Roman" w:hAnsi="Times New Roman" w:cs="Times New Roman"/>
          <w:sz w:val="28"/>
          <w:szCs w:val="28"/>
        </w:rPr>
        <w:t xml:space="preserve">В-100 — секреторний протеїн, який синтезується в рибосомах </w:t>
      </w:r>
      <w:r w:rsidRPr="007F5722">
        <w:rPr>
          <w:rFonts w:ascii="Times New Roman" w:hAnsi="Times New Roman" w:cs="Times New Roman"/>
          <w:sz w:val="28"/>
          <w:szCs w:val="28"/>
        </w:rPr>
        <w:lastRenderedPageBreak/>
        <w:t xml:space="preserve">саркоплазматичного ретикулума гепатоцитів. Він є компонентом ХМ, </w:t>
      </w:r>
      <w:r w:rsidR="00722146" w:rsidRPr="007F5722">
        <w:rPr>
          <w:rFonts w:ascii="Times New Roman" w:hAnsi="Times New Roman" w:cs="Times New Roman"/>
          <w:sz w:val="28"/>
          <w:szCs w:val="28"/>
        </w:rPr>
        <w:t xml:space="preserve">ХС </w:t>
      </w:r>
      <w:r w:rsidRPr="007F5722">
        <w:rPr>
          <w:rFonts w:ascii="Times New Roman" w:hAnsi="Times New Roman" w:cs="Times New Roman"/>
          <w:sz w:val="28"/>
          <w:szCs w:val="28"/>
        </w:rPr>
        <w:t xml:space="preserve">ЛПНЩ, </w:t>
      </w:r>
      <w:r w:rsidR="00722146" w:rsidRPr="007F5722">
        <w:rPr>
          <w:rFonts w:ascii="Times New Roman" w:hAnsi="Times New Roman" w:cs="Times New Roman"/>
          <w:sz w:val="28"/>
          <w:szCs w:val="28"/>
        </w:rPr>
        <w:t xml:space="preserve">ХС </w:t>
      </w:r>
      <w:r w:rsidR="00991718" w:rsidRPr="007F5722">
        <w:rPr>
          <w:rFonts w:ascii="Times New Roman" w:hAnsi="Times New Roman" w:cs="Times New Roman"/>
          <w:sz w:val="28"/>
          <w:szCs w:val="28"/>
        </w:rPr>
        <w:t>ЛПДНЩ та ліпопротеїду (а)</w:t>
      </w:r>
      <w:r w:rsidRPr="007F5722">
        <w:rPr>
          <w:rFonts w:ascii="Times New Roman" w:hAnsi="Times New Roman" w:cs="Times New Roman"/>
          <w:sz w:val="28"/>
          <w:szCs w:val="28"/>
        </w:rPr>
        <w:t xml:space="preserve">. Більш ніж 90 % білка </w:t>
      </w:r>
      <w:r w:rsidR="00060466" w:rsidRPr="007F5722">
        <w:rPr>
          <w:rFonts w:ascii="Times New Roman" w:hAnsi="Times New Roman" w:cs="Times New Roman"/>
          <w:sz w:val="28"/>
          <w:szCs w:val="28"/>
        </w:rPr>
        <w:t>ХС ЛПНЩ складає А</w:t>
      </w:r>
      <w:r w:rsidRPr="007F5722">
        <w:rPr>
          <w:rFonts w:ascii="Times New Roman" w:hAnsi="Times New Roman" w:cs="Times New Roman"/>
          <w:sz w:val="28"/>
          <w:szCs w:val="28"/>
        </w:rPr>
        <w:t>по</w:t>
      </w:r>
      <w:r w:rsidR="00991718" w:rsidRPr="007F5722">
        <w:rPr>
          <w:rFonts w:ascii="Times New Roman" w:hAnsi="Times New Roman" w:cs="Times New Roman"/>
          <w:sz w:val="28"/>
          <w:szCs w:val="28"/>
        </w:rPr>
        <w:t xml:space="preserve"> В</w:t>
      </w:r>
      <w:r w:rsidR="00060466" w:rsidRPr="007F5722">
        <w:rPr>
          <w:rFonts w:ascii="Times New Roman" w:hAnsi="Times New Roman" w:cs="Times New Roman"/>
          <w:sz w:val="28"/>
          <w:szCs w:val="28"/>
        </w:rPr>
        <w:t>100, причому кількість А</w:t>
      </w:r>
      <w:r w:rsidRPr="007F5722">
        <w:rPr>
          <w:rFonts w:ascii="Times New Roman" w:hAnsi="Times New Roman" w:cs="Times New Roman"/>
          <w:sz w:val="28"/>
          <w:szCs w:val="28"/>
        </w:rPr>
        <w:t>по</w:t>
      </w:r>
      <w:r w:rsidR="00060466" w:rsidRPr="007F5722">
        <w:rPr>
          <w:rFonts w:ascii="Times New Roman" w:hAnsi="Times New Roman" w:cs="Times New Roman"/>
          <w:sz w:val="28"/>
          <w:szCs w:val="28"/>
        </w:rPr>
        <w:t xml:space="preserve"> </w:t>
      </w:r>
      <w:r w:rsidR="00991718" w:rsidRPr="007F5722">
        <w:rPr>
          <w:rFonts w:ascii="Times New Roman" w:hAnsi="Times New Roman" w:cs="Times New Roman"/>
          <w:sz w:val="28"/>
          <w:szCs w:val="28"/>
        </w:rPr>
        <w:t>В у</w:t>
      </w:r>
      <w:r w:rsidRPr="007F5722">
        <w:rPr>
          <w:rFonts w:ascii="Times New Roman" w:hAnsi="Times New Roman" w:cs="Times New Roman"/>
          <w:sz w:val="28"/>
          <w:szCs w:val="28"/>
        </w:rPr>
        <w:t xml:space="preserve"> </w:t>
      </w:r>
      <w:r w:rsidR="00060466" w:rsidRPr="007F5722">
        <w:rPr>
          <w:rFonts w:ascii="Times New Roman" w:hAnsi="Times New Roman" w:cs="Times New Roman"/>
          <w:sz w:val="28"/>
          <w:szCs w:val="28"/>
        </w:rPr>
        <w:t>ХС ЛПНЩ постійна, а кіль</w:t>
      </w:r>
      <w:r w:rsidRPr="007F5722">
        <w:rPr>
          <w:rFonts w:ascii="Times New Roman" w:hAnsi="Times New Roman" w:cs="Times New Roman"/>
          <w:sz w:val="28"/>
          <w:szCs w:val="28"/>
        </w:rPr>
        <w:t xml:space="preserve">кість </w:t>
      </w:r>
      <w:r w:rsidR="00060466" w:rsidRPr="007F5722">
        <w:rPr>
          <w:rFonts w:ascii="Times New Roman" w:hAnsi="Times New Roman" w:cs="Times New Roman"/>
          <w:sz w:val="28"/>
          <w:szCs w:val="28"/>
        </w:rPr>
        <w:t>З</w:t>
      </w:r>
      <w:r w:rsidRPr="007F5722">
        <w:rPr>
          <w:rFonts w:ascii="Times New Roman" w:hAnsi="Times New Roman" w:cs="Times New Roman"/>
          <w:sz w:val="28"/>
          <w:szCs w:val="28"/>
        </w:rPr>
        <w:t xml:space="preserve">ХС може </w:t>
      </w:r>
      <w:r w:rsidR="00060466" w:rsidRPr="007F5722">
        <w:rPr>
          <w:rFonts w:ascii="Times New Roman" w:hAnsi="Times New Roman" w:cs="Times New Roman"/>
          <w:sz w:val="28"/>
          <w:szCs w:val="28"/>
        </w:rPr>
        <w:t>змінюватись в широких меж</w:t>
      </w:r>
      <w:r w:rsidRPr="007F5722">
        <w:rPr>
          <w:rFonts w:ascii="Times New Roman" w:hAnsi="Times New Roman" w:cs="Times New Roman"/>
          <w:sz w:val="28"/>
          <w:szCs w:val="28"/>
        </w:rPr>
        <w:t>ах [</w:t>
      </w:r>
      <w:r w:rsidR="00060466" w:rsidRPr="007F5722">
        <w:rPr>
          <w:rFonts w:ascii="Times New Roman" w:hAnsi="Times New Roman" w:cs="Times New Roman"/>
          <w:sz w:val="28"/>
          <w:szCs w:val="28"/>
        </w:rPr>
        <w:t>105</w:t>
      </w:r>
      <w:r w:rsidRPr="007F5722">
        <w:rPr>
          <w:rFonts w:ascii="Times New Roman" w:hAnsi="Times New Roman" w:cs="Times New Roman"/>
          <w:sz w:val="28"/>
          <w:szCs w:val="28"/>
        </w:rPr>
        <w:t xml:space="preserve">]. </w:t>
      </w:r>
    </w:p>
    <w:p w:rsidR="007D687A" w:rsidRPr="007F5722" w:rsidRDefault="007D687A" w:rsidP="007D687A">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 xml:space="preserve">Підвищення </w:t>
      </w:r>
      <w:r w:rsidR="00060466" w:rsidRPr="007F5722">
        <w:rPr>
          <w:rFonts w:ascii="Times New Roman" w:hAnsi="Times New Roman" w:cs="Times New Roman"/>
          <w:sz w:val="28"/>
          <w:szCs w:val="28"/>
        </w:rPr>
        <w:t>концентрації А</w:t>
      </w:r>
      <w:r w:rsidRPr="007F5722">
        <w:rPr>
          <w:rFonts w:ascii="Times New Roman" w:hAnsi="Times New Roman" w:cs="Times New Roman"/>
          <w:sz w:val="28"/>
          <w:szCs w:val="28"/>
        </w:rPr>
        <w:t>по</w:t>
      </w:r>
      <w:r w:rsidR="00060466" w:rsidRPr="007F5722">
        <w:rPr>
          <w:rFonts w:ascii="Times New Roman" w:hAnsi="Times New Roman" w:cs="Times New Roman"/>
          <w:sz w:val="28"/>
          <w:szCs w:val="28"/>
        </w:rPr>
        <w:t xml:space="preserve"> </w:t>
      </w:r>
      <w:r w:rsidRPr="007F5722">
        <w:rPr>
          <w:rFonts w:ascii="Times New Roman" w:hAnsi="Times New Roman" w:cs="Times New Roman"/>
          <w:sz w:val="28"/>
          <w:szCs w:val="28"/>
        </w:rPr>
        <w:t xml:space="preserve">В призводе до прискорення швидкості секреції </w:t>
      </w:r>
      <w:r w:rsidR="00060466" w:rsidRPr="007F5722">
        <w:rPr>
          <w:rFonts w:ascii="Times New Roman" w:hAnsi="Times New Roman" w:cs="Times New Roman"/>
          <w:sz w:val="28"/>
          <w:szCs w:val="28"/>
        </w:rPr>
        <w:t xml:space="preserve">ХС </w:t>
      </w:r>
      <w:r w:rsidRPr="007F5722">
        <w:rPr>
          <w:rFonts w:ascii="Times New Roman" w:hAnsi="Times New Roman" w:cs="Times New Roman"/>
          <w:sz w:val="28"/>
          <w:szCs w:val="28"/>
        </w:rPr>
        <w:t xml:space="preserve">ЛПДНЩ, збільшення транспортної швидкості </w:t>
      </w:r>
      <w:r w:rsidR="00060466" w:rsidRPr="007F5722">
        <w:rPr>
          <w:rFonts w:ascii="Times New Roman" w:hAnsi="Times New Roman" w:cs="Times New Roman"/>
          <w:sz w:val="28"/>
          <w:szCs w:val="28"/>
        </w:rPr>
        <w:t xml:space="preserve">ХС </w:t>
      </w:r>
      <w:r w:rsidRPr="007F5722">
        <w:rPr>
          <w:rFonts w:ascii="Times New Roman" w:hAnsi="Times New Roman" w:cs="Times New Roman"/>
          <w:sz w:val="28"/>
          <w:szCs w:val="28"/>
        </w:rPr>
        <w:t>ЛПНЩ, чим поясн</w:t>
      </w:r>
      <w:r w:rsidR="00060466" w:rsidRPr="007F5722">
        <w:rPr>
          <w:rFonts w:ascii="Times New Roman" w:hAnsi="Times New Roman" w:cs="Times New Roman"/>
          <w:sz w:val="28"/>
          <w:szCs w:val="28"/>
        </w:rPr>
        <w:t>юється незалежна атерогенність А</w:t>
      </w:r>
      <w:r w:rsidRPr="007F5722">
        <w:rPr>
          <w:rFonts w:ascii="Times New Roman" w:hAnsi="Times New Roman" w:cs="Times New Roman"/>
          <w:sz w:val="28"/>
          <w:szCs w:val="28"/>
        </w:rPr>
        <w:t>по</w:t>
      </w:r>
      <w:r w:rsidR="00060466" w:rsidRPr="007F5722">
        <w:rPr>
          <w:rFonts w:ascii="Times New Roman" w:hAnsi="Times New Roman" w:cs="Times New Roman"/>
          <w:sz w:val="28"/>
          <w:szCs w:val="28"/>
        </w:rPr>
        <w:t xml:space="preserve"> </w:t>
      </w:r>
      <w:r w:rsidRPr="007F5722">
        <w:rPr>
          <w:rFonts w:ascii="Times New Roman" w:hAnsi="Times New Roman" w:cs="Times New Roman"/>
          <w:sz w:val="28"/>
          <w:szCs w:val="28"/>
        </w:rPr>
        <w:t xml:space="preserve">В при нормальному рівні </w:t>
      </w:r>
      <w:r w:rsidR="00060466" w:rsidRPr="007F5722">
        <w:rPr>
          <w:rFonts w:ascii="Times New Roman" w:hAnsi="Times New Roman" w:cs="Times New Roman"/>
          <w:sz w:val="28"/>
          <w:szCs w:val="28"/>
        </w:rPr>
        <w:t>З</w:t>
      </w:r>
      <w:r w:rsidRPr="007F5722">
        <w:rPr>
          <w:rFonts w:ascii="Times New Roman" w:hAnsi="Times New Roman" w:cs="Times New Roman"/>
          <w:sz w:val="28"/>
          <w:szCs w:val="28"/>
        </w:rPr>
        <w:t>ХС у пацієнтів на ІХС</w:t>
      </w:r>
      <w:r w:rsidR="00060466" w:rsidRPr="007F5722">
        <w:rPr>
          <w:rFonts w:ascii="Times New Roman" w:hAnsi="Times New Roman" w:cs="Times New Roman"/>
          <w:sz w:val="28"/>
          <w:szCs w:val="28"/>
        </w:rPr>
        <w:t>.</w:t>
      </w:r>
      <w:r w:rsidRPr="007F5722">
        <w:rPr>
          <w:rFonts w:ascii="Times New Roman" w:hAnsi="Times New Roman" w:cs="Times New Roman"/>
          <w:sz w:val="28"/>
          <w:szCs w:val="28"/>
        </w:rPr>
        <w:t xml:space="preserve"> З’являються дані про те, що в субпопуляції осіб, котрі захворіли на коронарний атеросклероз, але з відносно нормальним рівнем </w:t>
      </w:r>
      <w:r w:rsidR="00060466" w:rsidRPr="007F5722">
        <w:rPr>
          <w:rFonts w:ascii="Times New Roman" w:hAnsi="Times New Roman" w:cs="Times New Roman"/>
          <w:sz w:val="28"/>
          <w:szCs w:val="28"/>
        </w:rPr>
        <w:t>ЗХС та ХЛ ЛПНЩ, визначають високі рівні А</w:t>
      </w:r>
      <w:r w:rsidRPr="007F5722">
        <w:rPr>
          <w:rFonts w:ascii="Times New Roman" w:hAnsi="Times New Roman" w:cs="Times New Roman"/>
          <w:sz w:val="28"/>
          <w:szCs w:val="28"/>
        </w:rPr>
        <w:t>по</w:t>
      </w:r>
      <w:r w:rsidR="00060466" w:rsidRPr="007F5722">
        <w:rPr>
          <w:rFonts w:ascii="Times New Roman" w:hAnsi="Times New Roman" w:cs="Times New Roman"/>
          <w:sz w:val="28"/>
          <w:szCs w:val="28"/>
        </w:rPr>
        <w:t xml:space="preserve"> </w:t>
      </w:r>
      <w:r w:rsidRPr="007F5722">
        <w:rPr>
          <w:rFonts w:ascii="Times New Roman" w:hAnsi="Times New Roman" w:cs="Times New Roman"/>
          <w:sz w:val="28"/>
          <w:szCs w:val="28"/>
        </w:rPr>
        <w:t>В у плазмі крові [</w:t>
      </w:r>
      <w:r w:rsidR="001D1755" w:rsidRPr="007F5722">
        <w:rPr>
          <w:rFonts w:ascii="Times New Roman" w:hAnsi="Times New Roman" w:cs="Times New Roman"/>
          <w:sz w:val="28"/>
          <w:szCs w:val="28"/>
        </w:rPr>
        <w:t>105</w:t>
      </w:r>
      <w:r w:rsidRPr="007F5722">
        <w:rPr>
          <w:rFonts w:ascii="Times New Roman" w:hAnsi="Times New Roman" w:cs="Times New Roman"/>
          <w:sz w:val="28"/>
          <w:szCs w:val="28"/>
        </w:rPr>
        <w:t>].</w:t>
      </w:r>
    </w:p>
    <w:p w:rsidR="007D687A" w:rsidRPr="007F5722" w:rsidRDefault="007D687A" w:rsidP="007D687A">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За даними дослідження LIPID [</w:t>
      </w:r>
      <w:r w:rsidR="001D1755" w:rsidRPr="007F5722">
        <w:rPr>
          <w:rFonts w:ascii="Times New Roman" w:hAnsi="Times New Roman" w:cs="Times New Roman"/>
          <w:sz w:val="28"/>
          <w:szCs w:val="28"/>
        </w:rPr>
        <w:t>106</w:t>
      </w:r>
      <w:r w:rsidR="00060466" w:rsidRPr="007F5722">
        <w:rPr>
          <w:rFonts w:ascii="Times New Roman" w:hAnsi="Times New Roman" w:cs="Times New Roman"/>
          <w:sz w:val="28"/>
          <w:szCs w:val="28"/>
        </w:rPr>
        <w:t>] підвищення рівня А</w:t>
      </w:r>
      <w:r w:rsidRPr="007F5722">
        <w:rPr>
          <w:rFonts w:ascii="Times New Roman" w:hAnsi="Times New Roman" w:cs="Times New Roman"/>
          <w:sz w:val="28"/>
          <w:szCs w:val="28"/>
        </w:rPr>
        <w:t>по</w:t>
      </w:r>
      <w:r w:rsidR="00060466" w:rsidRPr="007F5722">
        <w:rPr>
          <w:rFonts w:ascii="Times New Roman" w:hAnsi="Times New Roman" w:cs="Times New Roman"/>
          <w:sz w:val="28"/>
          <w:szCs w:val="28"/>
        </w:rPr>
        <w:t xml:space="preserve"> </w:t>
      </w:r>
      <w:r w:rsidRPr="007F5722">
        <w:rPr>
          <w:rFonts w:ascii="Times New Roman" w:hAnsi="Times New Roman" w:cs="Times New Roman"/>
          <w:sz w:val="28"/>
          <w:szCs w:val="28"/>
        </w:rPr>
        <w:t xml:space="preserve">В більш достовірно пов’язано з ризиком розвитку ІХС, ніж підвищення концентрації </w:t>
      </w:r>
      <w:r w:rsidR="00991718" w:rsidRPr="007F5722">
        <w:rPr>
          <w:rFonts w:ascii="Times New Roman" w:hAnsi="Times New Roman" w:cs="Times New Roman"/>
          <w:sz w:val="28"/>
          <w:szCs w:val="28"/>
        </w:rPr>
        <w:t>ліпопротеїдів</w:t>
      </w:r>
      <w:r w:rsidRPr="007F5722">
        <w:rPr>
          <w:rFonts w:ascii="Times New Roman" w:hAnsi="Times New Roman" w:cs="Times New Roman"/>
          <w:sz w:val="28"/>
          <w:szCs w:val="28"/>
        </w:rPr>
        <w:t xml:space="preserve">, що не відносяться до </w:t>
      </w:r>
      <w:r w:rsidR="00060466" w:rsidRPr="007F5722">
        <w:rPr>
          <w:rFonts w:ascii="Times New Roman" w:hAnsi="Times New Roman" w:cs="Times New Roman"/>
          <w:sz w:val="28"/>
          <w:szCs w:val="28"/>
        </w:rPr>
        <w:t xml:space="preserve">ХС </w:t>
      </w:r>
      <w:r w:rsidRPr="007F5722">
        <w:rPr>
          <w:rFonts w:ascii="Times New Roman" w:hAnsi="Times New Roman" w:cs="Times New Roman"/>
          <w:sz w:val="28"/>
          <w:szCs w:val="28"/>
        </w:rPr>
        <w:t xml:space="preserve">ЛПВЩ. </w:t>
      </w:r>
      <w:r w:rsidR="00060466" w:rsidRPr="007F5722">
        <w:rPr>
          <w:rFonts w:ascii="Times New Roman" w:hAnsi="Times New Roman" w:cs="Times New Roman"/>
          <w:sz w:val="28"/>
          <w:szCs w:val="28"/>
        </w:rPr>
        <w:t>Рівень А</w:t>
      </w:r>
      <w:r w:rsidRPr="007F5722">
        <w:rPr>
          <w:rFonts w:ascii="Times New Roman" w:hAnsi="Times New Roman" w:cs="Times New Roman"/>
          <w:sz w:val="28"/>
          <w:szCs w:val="28"/>
        </w:rPr>
        <w:t>по</w:t>
      </w:r>
      <w:r w:rsidR="00060466" w:rsidRPr="007F5722">
        <w:rPr>
          <w:rFonts w:ascii="Times New Roman" w:hAnsi="Times New Roman" w:cs="Times New Roman"/>
          <w:sz w:val="28"/>
          <w:szCs w:val="28"/>
        </w:rPr>
        <w:t xml:space="preserve"> </w:t>
      </w:r>
      <w:r w:rsidRPr="007F5722">
        <w:rPr>
          <w:rFonts w:ascii="Times New Roman" w:hAnsi="Times New Roman" w:cs="Times New Roman"/>
          <w:sz w:val="28"/>
          <w:szCs w:val="28"/>
        </w:rPr>
        <w:t xml:space="preserve">В у плазмі крові відображає загальну кількість атерогенних </w:t>
      </w:r>
      <w:r w:rsidR="00991718" w:rsidRPr="007F5722">
        <w:rPr>
          <w:rFonts w:ascii="Times New Roman" w:hAnsi="Times New Roman" w:cs="Times New Roman"/>
          <w:sz w:val="28"/>
          <w:szCs w:val="28"/>
        </w:rPr>
        <w:t>фракцій ліпопротеїдів</w:t>
      </w:r>
      <w:r w:rsidR="00060466" w:rsidRPr="007F5722">
        <w:rPr>
          <w:rFonts w:ascii="Times New Roman" w:hAnsi="Times New Roman" w:cs="Times New Roman"/>
          <w:sz w:val="28"/>
          <w:szCs w:val="28"/>
        </w:rPr>
        <w:t xml:space="preserve"> взагалі, які не від</w:t>
      </w:r>
      <w:r w:rsidRPr="007F5722">
        <w:rPr>
          <w:rFonts w:ascii="Times New Roman" w:hAnsi="Times New Roman" w:cs="Times New Roman"/>
          <w:sz w:val="28"/>
          <w:szCs w:val="28"/>
        </w:rPr>
        <w:t xml:space="preserve">носяться до </w:t>
      </w:r>
      <w:r w:rsidR="00060466" w:rsidRPr="007F5722">
        <w:rPr>
          <w:rFonts w:ascii="Times New Roman" w:hAnsi="Times New Roman" w:cs="Times New Roman"/>
          <w:sz w:val="28"/>
          <w:szCs w:val="28"/>
        </w:rPr>
        <w:t xml:space="preserve">ХС </w:t>
      </w:r>
      <w:r w:rsidRPr="007F5722">
        <w:rPr>
          <w:rFonts w:ascii="Times New Roman" w:hAnsi="Times New Roman" w:cs="Times New Roman"/>
          <w:sz w:val="28"/>
          <w:szCs w:val="28"/>
        </w:rPr>
        <w:t>ЛП</w:t>
      </w:r>
      <w:r w:rsidR="00991718" w:rsidRPr="007F5722">
        <w:rPr>
          <w:rFonts w:ascii="Times New Roman" w:hAnsi="Times New Roman" w:cs="Times New Roman"/>
          <w:sz w:val="28"/>
          <w:szCs w:val="28"/>
        </w:rPr>
        <w:t xml:space="preserve">ВЩ. По результам LIPID </w:t>
      </w:r>
      <w:r w:rsidR="00060466" w:rsidRPr="007F5722">
        <w:rPr>
          <w:rFonts w:ascii="Times New Roman" w:hAnsi="Times New Roman" w:cs="Times New Roman"/>
          <w:sz w:val="28"/>
          <w:szCs w:val="28"/>
        </w:rPr>
        <w:t>рівень А</w:t>
      </w:r>
      <w:r w:rsidRPr="007F5722">
        <w:rPr>
          <w:rFonts w:ascii="Times New Roman" w:hAnsi="Times New Roman" w:cs="Times New Roman"/>
          <w:sz w:val="28"/>
          <w:szCs w:val="28"/>
        </w:rPr>
        <w:t>по</w:t>
      </w:r>
      <w:r w:rsidR="00060466" w:rsidRPr="007F5722">
        <w:rPr>
          <w:rFonts w:ascii="Times New Roman" w:hAnsi="Times New Roman" w:cs="Times New Roman"/>
          <w:sz w:val="28"/>
          <w:szCs w:val="28"/>
        </w:rPr>
        <w:t xml:space="preserve"> </w:t>
      </w:r>
      <w:r w:rsidRPr="007F5722">
        <w:rPr>
          <w:rFonts w:ascii="Times New Roman" w:hAnsi="Times New Roman" w:cs="Times New Roman"/>
          <w:sz w:val="28"/>
          <w:szCs w:val="28"/>
        </w:rPr>
        <w:t>В був більш достовірним предиктором ризику ІХС (ОR 2,10,р=0,008) на фоні терапії статинами, ніж показники Х</w:t>
      </w:r>
      <w:r w:rsidR="00060466" w:rsidRPr="007F5722">
        <w:rPr>
          <w:rFonts w:ascii="Times New Roman" w:hAnsi="Times New Roman" w:cs="Times New Roman"/>
          <w:sz w:val="28"/>
          <w:szCs w:val="28"/>
        </w:rPr>
        <w:t xml:space="preserve">Л </w:t>
      </w:r>
      <w:r w:rsidRPr="007F5722">
        <w:rPr>
          <w:rFonts w:ascii="Times New Roman" w:hAnsi="Times New Roman" w:cs="Times New Roman"/>
          <w:sz w:val="28"/>
          <w:szCs w:val="28"/>
        </w:rPr>
        <w:t xml:space="preserve">ЛПНЩ (ОR 1,20,р=0,04). </w:t>
      </w:r>
    </w:p>
    <w:p w:rsidR="007D687A" w:rsidRPr="007F5722" w:rsidRDefault="007D687A" w:rsidP="00C47359">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У клінічних дослідженнях (</w:t>
      </w:r>
      <w:r w:rsidR="00060466" w:rsidRPr="007F5722">
        <w:rPr>
          <w:rFonts w:ascii="Times New Roman" w:hAnsi="Times New Roman" w:cs="Times New Roman"/>
          <w:sz w:val="28"/>
          <w:szCs w:val="28"/>
        </w:rPr>
        <w:t>АFCAPS / TexCFPS trial) рівень А</w:t>
      </w:r>
      <w:r w:rsidRPr="007F5722">
        <w:rPr>
          <w:rFonts w:ascii="Times New Roman" w:hAnsi="Times New Roman" w:cs="Times New Roman"/>
          <w:sz w:val="28"/>
          <w:szCs w:val="28"/>
        </w:rPr>
        <w:t>по</w:t>
      </w:r>
      <w:r w:rsidR="00060466" w:rsidRPr="007F5722">
        <w:rPr>
          <w:rFonts w:ascii="Times New Roman" w:hAnsi="Times New Roman" w:cs="Times New Roman"/>
          <w:sz w:val="28"/>
          <w:szCs w:val="28"/>
        </w:rPr>
        <w:t xml:space="preserve"> </w:t>
      </w:r>
      <w:r w:rsidRPr="007F5722">
        <w:rPr>
          <w:rFonts w:ascii="Times New Roman" w:hAnsi="Times New Roman" w:cs="Times New Roman"/>
          <w:sz w:val="28"/>
          <w:szCs w:val="28"/>
        </w:rPr>
        <w:t xml:space="preserve">В </w:t>
      </w:r>
      <w:r w:rsidR="00F11F27" w:rsidRPr="007F5722">
        <w:rPr>
          <w:rFonts w:ascii="Times New Roman" w:hAnsi="Times New Roman" w:cs="Times New Roman"/>
          <w:sz w:val="28"/>
          <w:szCs w:val="28"/>
        </w:rPr>
        <w:t>у</w:t>
      </w:r>
      <w:r w:rsidRPr="007F5722">
        <w:rPr>
          <w:rFonts w:ascii="Times New Roman" w:hAnsi="Times New Roman" w:cs="Times New Roman"/>
          <w:sz w:val="28"/>
          <w:szCs w:val="28"/>
        </w:rPr>
        <w:t xml:space="preserve"> </w:t>
      </w:r>
      <w:r w:rsidR="00796EC3">
        <w:rPr>
          <w:rFonts w:ascii="Times New Roman" w:hAnsi="Times New Roman" w:cs="Times New Roman"/>
          <w:sz w:val="28"/>
          <w:szCs w:val="28"/>
        </w:rPr>
        <w:t>плазмі</w:t>
      </w:r>
      <w:r w:rsidRPr="007F5722">
        <w:rPr>
          <w:rFonts w:ascii="Times New Roman" w:hAnsi="Times New Roman" w:cs="Times New Roman"/>
          <w:sz w:val="28"/>
          <w:szCs w:val="28"/>
        </w:rPr>
        <w:t xml:space="preserve"> крові використовували не тільки в якості основного методу селекції пацієнтів в</w:t>
      </w:r>
      <w:r w:rsidR="00060466" w:rsidRPr="007F5722">
        <w:rPr>
          <w:rFonts w:ascii="Times New Roman" w:hAnsi="Times New Roman" w:cs="Times New Roman"/>
          <w:sz w:val="28"/>
          <w:szCs w:val="28"/>
        </w:rPr>
        <w:t xml:space="preserve"> групу високого кардіоваскуляр</w:t>
      </w:r>
      <w:r w:rsidRPr="007F5722">
        <w:rPr>
          <w:rFonts w:ascii="Times New Roman" w:hAnsi="Times New Roman" w:cs="Times New Roman"/>
          <w:sz w:val="28"/>
          <w:szCs w:val="28"/>
        </w:rPr>
        <w:t>ного ризику, а також розглядали як спосіб контролю за ефективністю гіполіпідемічних заходів [</w:t>
      </w:r>
      <w:r w:rsidR="001D1755" w:rsidRPr="007F5722">
        <w:rPr>
          <w:rFonts w:ascii="Times New Roman" w:hAnsi="Times New Roman" w:cs="Times New Roman"/>
          <w:sz w:val="28"/>
          <w:szCs w:val="28"/>
        </w:rPr>
        <w:t>107</w:t>
      </w:r>
      <w:r w:rsidR="00C47359" w:rsidRPr="007F5722">
        <w:rPr>
          <w:rFonts w:ascii="Times New Roman" w:hAnsi="Times New Roman" w:cs="Times New Roman"/>
          <w:sz w:val="28"/>
          <w:szCs w:val="28"/>
        </w:rPr>
        <w:t>].</w:t>
      </w:r>
    </w:p>
    <w:p w:rsidR="007D687A" w:rsidRPr="007F5722" w:rsidRDefault="007D687A" w:rsidP="007D687A">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Але єдиної від</w:t>
      </w:r>
      <w:r w:rsidR="00C47359" w:rsidRPr="007F5722">
        <w:rPr>
          <w:rFonts w:ascii="Times New Roman" w:hAnsi="Times New Roman" w:cs="Times New Roman"/>
          <w:sz w:val="28"/>
          <w:szCs w:val="28"/>
        </w:rPr>
        <w:t xml:space="preserve">повіді на питання, чи є рівень Апо </w:t>
      </w:r>
      <w:r w:rsidRPr="007F5722">
        <w:rPr>
          <w:rFonts w:ascii="Times New Roman" w:hAnsi="Times New Roman" w:cs="Times New Roman"/>
          <w:sz w:val="28"/>
          <w:szCs w:val="28"/>
        </w:rPr>
        <w:t>В більш чутливим показником ризику захворювання коронарни</w:t>
      </w:r>
      <w:r w:rsidR="00C47359" w:rsidRPr="007F5722">
        <w:rPr>
          <w:rFonts w:ascii="Times New Roman" w:hAnsi="Times New Roman" w:cs="Times New Roman"/>
          <w:sz w:val="28"/>
          <w:szCs w:val="28"/>
        </w:rPr>
        <w:t>х артерій, ніж рівень ЗХС та ХС </w:t>
      </w:r>
      <w:r w:rsidRPr="007F5722">
        <w:rPr>
          <w:rFonts w:ascii="Times New Roman" w:hAnsi="Times New Roman" w:cs="Times New Roman"/>
          <w:sz w:val="28"/>
          <w:szCs w:val="28"/>
        </w:rPr>
        <w:t>ЛПНЩ, в останніх ретроспективних та багатоцентрових дослідженнях не отримано. Незваж</w:t>
      </w:r>
      <w:r w:rsidR="00C47359" w:rsidRPr="007F5722">
        <w:rPr>
          <w:rFonts w:ascii="Times New Roman" w:hAnsi="Times New Roman" w:cs="Times New Roman"/>
          <w:sz w:val="28"/>
          <w:szCs w:val="28"/>
        </w:rPr>
        <w:t>аючи на велику кількість дослі</w:t>
      </w:r>
      <w:r w:rsidRPr="007F5722">
        <w:rPr>
          <w:rFonts w:ascii="Times New Roman" w:hAnsi="Times New Roman" w:cs="Times New Roman"/>
          <w:sz w:val="28"/>
          <w:szCs w:val="28"/>
        </w:rPr>
        <w:t xml:space="preserve">джень в </w:t>
      </w:r>
      <w:r w:rsidR="00C47359" w:rsidRPr="007F5722">
        <w:rPr>
          <w:rFonts w:ascii="Times New Roman" w:hAnsi="Times New Roman" w:cs="Times New Roman"/>
          <w:sz w:val="28"/>
          <w:szCs w:val="28"/>
        </w:rPr>
        <w:t xml:space="preserve">останні роки, що присвячені вивченню впливу </w:t>
      </w:r>
      <w:r w:rsidR="00F11F27" w:rsidRPr="007F5722">
        <w:rPr>
          <w:rFonts w:ascii="Times New Roman" w:hAnsi="Times New Roman" w:cs="Times New Roman"/>
          <w:sz w:val="28"/>
          <w:szCs w:val="28"/>
        </w:rPr>
        <w:t>ліпопротеїду (а)</w:t>
      </w:r>
      <w:r w:rsidR="00C47359" w:rsidRPr="007F5722">
        <w:rPr>
          <w:rFonts w:ascii="Times New Roman" w:hAnsi="Times New Roman" w:cs="Times New Roman"/>
          <w:sz w:val="28"/>
          <w:szCs w:val="28"/>
        </w:rPr>
        <w:t xml:space="preserve"> та А</w:t>
      </w:r>
      <w:r w:rsidRPr="007F5722">
        <w:rPr>
          <w:rFonts w:ascii="Times New Roman" w:hAnsi="Times New Roman" w:cs="Times New Roman"/>
          <w:sz w:val="28"/>
          <w:szCs w:val="28"/>
        </w:rPr>
        <w:t>по</w:t>
      </w:r>
      <w:r w:rsidR="00C47359" w:rsidRPr="007F5722">
        <w:rPr>
          <w:rFonts w:ascii="Times New Roman" w:hAnsi="Times New Roman" w:cs="Times New Roman"/>
          <w:sz w:val="28"/>
          <w:szCs w:val="28"/>
        </w:rPr>
        <w:t xml:space="preserve"> В100</w:t>
      </w:r>
      <w:r w:rsidRPr="007F5722">
        <w:rPr>
          <w:rFonts w:ascii="Times New Roman" w:hAnsi="Times New Roman" w:cs="Times New Roman"/>
          <w:sz w:val="28"/>
          <w:szCs w:val="28"/>
        </w:rPr>
        <w:t xml:space="preserve"> на розвиток атероскл</w:t>
      </w:r>
      <w:r w:rsidR="00C47359" w:rsidRPr="007F5722">
        <w:rPr>
          <w:rFonts w:ascii="Times New Roman" w:hAnsi="Times New Roman" w:cs="Times New Roman"/>
          <w:sz w:val="28"/>
          <w:szCs w:val="28"/>
        </w:rPr>
        <w:t>ерозу та його наслідків, питан</w:t>
      </w:r>
      <w:r w:rsidRPr="007F5722">
        <w:rPr>
          <w:rFonts w:ascii="Times New Roman" w:hAnsi="Times New Roman" w:cs="Times New Roman"/>
          <w:sz w:val="28"/>
          <w:szCs w:val="28"/>
        </w:rPr>
        <w:t xml:space="preserve">ня щодо впливу цих показників на прогноз і розвиток ускладнень у хворих з різними </w:t>
      </w:r>
      <w:r w:rsidR="00C47359" w:rsidRPr="007F5722">
        <w:rPr>
          <w:rFonts w:ascii="Times New Roman" w:hAnsi="Times New Roman" w:cs="Times New Roman"/>
          <w:sz w:val="28"/>
          <w:szCs w:val="28"/>
        </w:rPr>
        <w:t>клінічними варіантами ІХС</w:t>
      </w:r>
      <w:r w:rsidRPr="007F5722">
        <w:rPr>
          <w:rFonts w:ascii="Times New Roman" w:hAnsi="Times New Roman" w:cs="Times New Roman"/>
          <w:sz w:val="28"/>
          <w:szCs w:val="28"/>
        </w:rPr>
        <w:t xml:space="preserve"> на сьогоднішній день остаточно не з’ясовані. Поки що немає єдиної відповіді на</w:t>
      </w:r>
      <w:r w:rsidR="00F11F27" w:rsidRPr="007F5722">
        <w:rPr>
          <w:rFonts w:ascii="Times New Roman" w:hAnsi="Times New Roman" w:cs="Times New Roman"/>
          <w:sz w:val="28"/>
          <w:szCs w:val="28"/>
        </w:rPr>
        <w:t xml:space="preserve"> питання, стосовно ролі ліпопротеїду (а)</w:t>
      </w:r>
      <w:r w:rsidR="00C47359" w:rsidRPr="007F5722">
        <w:rPr>
          <w:rFonts w:ascii="Times New Roman" w:hAnsi="Times New Roman" w:cs="Times New Roman"/>
          <w:sz w:val="28"/>
          <w:szCs w:val="28"/>
        </w:rPr>
        <w:t>, Апо В та А</w:t>
      </w:r>
      <w:r w:rsidRPr="007F5722">
        <w:rPr>
          <w:rFonts w:ascii="Times New Roman" w:hAnsi="Times New Roman" w:cs="Times New Roman"/>
          <w:sz w:val="28"/>
          <w:szCs w:val="28"/>
        </w:rPr>
        <w:t>по А-1, як не</w:t>
      </w:r>
      <w:r w:rsidR="00C47359" w:rsidRPr="007F5722">
        <w:rPr>
          <w:rFonts w:ascii="Times New Roman" w:hAnsi="Times New Roman" w:cs="Times New Roman"/>
          <w:sz w:val="28"/>
          <w:szCs w:val="28"/>
        </w:rPr>
        <w:t xml:space="preserve">залежних </w:t>
      </w:r>
      <w:r w:rsidR="00C47359" w:rsidRPr="007F5722">
        <w:rPr>
          <w:rFonts w:ascii="Times New Roman" w:hAnsi="Times New Roman" w:cs="Times New Roman"/>
          <w:sz w:val="28"/>
          <w:szCs w:val="28"/>
        </w:rPr>
        <w:lastRenderedPageBreak/>
        <w:t>факторів ризику розви</w:t>
      </w:r>
      <w:r w:rsidRPr="007F5722">
        <w:rPr>
          <w:rFonts w:ascii="Times New Roman" w:hAnsi="Times New Roman" w:cs="Times New Roman"/>
          <w:sz w:val="28"/>
          <w:szCs w:val="28"/>
        </w:rPr>
        <w:t>тку хронічних та гострих форм ІХС, а також нестабільної стенокардії та гострого інфаркту міокарда.</w:t>
      </w:r>
    </w:p>
    <w:p w:rsidR="00C47359" w:rsidRPr="007F5722" w:rsidRDefault="00C47359" w:rsidP="00C47359">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Скринінг на дисліпідемі</w:t>
      </w:r>
      <w:r w:rsidR="007D687A" w:rsidRPr="007F5722">
        <w:rPr>
          <w:rFonts w:ascii="Times New Roman" w:hAnsi="Times New Roman" w:cs="Times New Roman"/>
          <w:sz w:val="28"/>
          <w:szCs w:val="28"/>
        </w:rPr>
        <w:t>ю завжди показаний у пацієнтів з ССЗ, при деяких клінічних станах, асоційованих з</w:t>
      </w:r>
      <w:r w:rsidR="00F11F27" w:rsidRPr="007F5722">
        <w:rPr>
          <w:rFonts w:ascii="Times New Roman" w:hAnsi="Times New Roman" w:cs="Times New Roman"/>
          <w:sz w:val="28"/>
          <w:szCs w:val="28"/>
        </w:rPr>
        <w:t xml:space="preserve"> підвищеним загальним серцево-с</w:t>
      </w:r>
      <w:r w:rsidR="007D687A" w:rsidRPr="007F5722">
        <w:rPr>
          <w:rFonts w:ascii="Times New Roman" w:hAnsi="Times New Roman" w:cs="Times New Roman"/>
          <w:sz w:val="28"/>
          <w:szCs w:val="28"/>
        </w:rPr>
        <w:t>удинним ризиком [</w:t>
      </w:r>
      <w:r w:rsidR="001D1755" w:rsidRPr="007F5722">
        <w:rPr>
          <w:rFonts w:ascii="Times New Roman" w:hAnsi="Times New Roman" w:cs="Times New Roman"/>
          <w:sz w:val="28"/>
          <w:szCs w:val="28"/>
        </w:rPr>
        <w:t>108</w:t>
      </w:r>
      <w:r w:rsidR="007D687A" w:rsidRPr="007F5722">
        <w:rPr>
          <w:rFonts w:ascii="Times New Roman" w:hAnsi="Times New Roman" w:cs="Times New Roman"/>
          <w:sz w:val="28"/>
          <w:szCs w:val="28"/>
        </w:rPr>
        <w:t>].</w:t>
      </w:r>
    </w:p>
    <w:p w:rsidR="007D687A" w:rsidRPr="007F5722" w:rsidRDefault="007D687A" w:rsidP="00C47359">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 xml:space="preserve">В сучасних рекомендаціях  стратифікація серцево-судинного ризику та і цілі ліпідзнижуючої терапії основані на визначенні рівнів ЗХС та </w:t>
      </w:r>
      <w:r w:rsidR="00C47359" w:rsidRPr="007F5722">
        <w:rPr>
          <w:rFonts w:ascii="Times New Roman" w:hAnsi="Times New Roman" w:cs="Times New Roman"/>
          <w:sz w:val="28"/>
          <w:szCs w:val="28"/>
        </w:rPr>
        <w:t xml:space="preserve">ХС </w:t>
      </w:r>
      <w:r w:rsidRPr="007F5722">
        <w:rPr>
          <w:rFonts w:ascii="Times New Roman" w:hAnsi="Times New Roman" w:cs="Times New Roman"/>
          <w:sz w:val="28"/>
          <w:szCs w:val="28"/>
        </w:rPr>
        <w:t xml:space="preserve">ЛПНЩ. </w:t>
      </w:r>
    </w:p>
    <w:p w:rsidR="007D687A" w:rsidRPr="007F5722" w:rsidRDefault="007D687A" w:rsidP="007D687A">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 xml:space="preserve">При </w:t>
      </w:r>
      <w:r w:rsidR="00C47359" w:rsidRPr="007F5722">
        <w:rPr>
          <w:rFonts w:ascii="Times New Roman" w:hAnsi="Times New Roman" w:cs="Times New Roman"/>
          <w:sz w:val="28"/>
          <w:szCs w:val="28"/>
        </w:rPr>
        <w:t>цьому оцінка аполіпоп</w:t>
      </w:r>
      <w:r w:rsidR="00F11F27" w:rsidRPr="007F5722">
        <w:rPr>
          <w:rFonts w:ascii="Times New Roman" w:hAnsi="Times New Roman" w:cs="Times New Roman"/>
          <w:sz w:val="28"/>
          <w:szCs w:val="28"/>
        </w:rPr>
        <w:t>ротеїнів</w:t>
      </w:r>
      <w:r w:rsidRPr="007F5722">
        <w:rPr>
          <w:rFonts w:ascii="Times New Roman" w:hAnsi="Times New Roman" w:cs="Times New Roman"/>
          <w:sz w:val="28"/>
          <w:szCs w:val="28"/>
        </w:rPr>
        <w:t xml:space="preserve"> в звичайній клінічній практиці не проводиться. Проте наукові дані дозволяють розглядати аполіпротеїни як додатковий маркер дисліпідемії.</w:t>
      </w:r>
    </w:p>
    <w:p w:rsidR="007D687A" w:rsidRPr="007F5722" w:rsidRDefault="007D687A" w:rsidP="007D687A">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Так, у канадському проспективному дослідженні Quebec Cardiovascular Study продемонстровано вірогідний зв'язок між АО та діабетогенним, атерогеними, протромботичними та прозапальними станами. Сукупність АО з гіперінс</w:t>
      </w:r>
      <w:r w:rsidR="00C47359" w:rsidRPr="007F5722">
        <w:rPr>
          <w:rFonts w:ascii="Times New Roman" w:hAnsi="Times New Roman" w:cs="Times New Roman"/>
          <w:sz w:val="28"/>
          <w:szCs w:val="28"/>
        </w:rPr>
        <w:t>улінемією та підвищеним рівнем А</w:t>
      </w:r>
      <w:r w:rsidRPr="007F5722">
        <w:rPr>
          <w:rFonts w:ascii="Times New Roman" w:hAnsi="Times New Roman" w:cs="Times New Roman"/>
          <w:sz w:val="28"/>
          <w:szCs w:val="28"/>
        </w:rPr>
        <w:t>по</w:t>
      </w:r>
      <w:r w:rsidR="00C47359" w:rsidRPr="007F5722">
        <w:rPr>
          <w:rFonts w:ascii="Times New Roman" w:hAnsi="Times New Roman" w:cs="Times New Roman"/>
          <w:sz w:val="28"/>
          <w:szCs w:val="28"/>
        </w:rPr>
        <w:t xml:space="preserve"> </w:t>
      </w:r>
      <w:r w:rsidRPr="007F5722">
        <w:rPr>
          <w:rFonts w:ascii="Times New Roman" w:hAnsi="Times New Roman" w:cs="Times New Roman"/>
          <w:sz w:val="28"/>
          <w:szCs w:val="28"/>
        </w:rPr>
        <w:t xml:space="preserve">В та </w:t>
      </w:r>
      <w:r w:rsidR="00C47359" w:rsidRPr="007F5722">
        <w:rPr>
          <w:rFonts w:ascii="Times New Roman" w:hAnsi="Times New Roman" w:cs="Times New Roman"/>
          <w:sz w:val="28"/>
          <w:szCs w:val="28"/>
        </w:rPr>
        <w:t xml:space="preserve">ХС </w:t>
      </w:r>
      <w:r w:rsidRPr="007F5722">
        <w:rPr>
          <w:rFonts w:ascii="Times New Roman" w:hAnsi="Times New Roman" w:cs="Times New Roman"/>
          <w:sz w:val="28"/>
          <w:szCs w:val="28"/>
        </w:rPr>
        <w:t>ЛПНЩ у 20 разів збільшує ризик розвитку ІХС у чоловіків середнього віку [</w:t>
      </w:r>
      <w:r w:rsidR="001D1755" w:rsidRPr="007F5722">
        <w:rPr>
          <w:rFonts w:ascii="Times New Roman" w:hAnsi="Times New Roman" w:cs="Times New Roman"/>
          <w:sz w:val="28"/>
          <w:szCs w:val="28"/>
        </w:rPr>
        <w:t>109</w:t>
      </w:r>
      <w:r w:rsidRPr="007F5722">
        <w:rPr>
          <w:rFonts w:ascii="Times New Roman" w:hAnsi="Times New Roman" w:cs="Times New Roman"/>
          <w:sz w:val="28"/>
          <w:szCs w:val="28"/>
        </w:rPr>
        <w:t>].</w:t>
      </w:r>
    </w:p>
    <w:p w:rsidR="007D687A" w:rsidRPr="007F5722" w:rsidRDefault="007D687A" w:rsidP="007D687A">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Ряд дослідників демонструють, що прогностичне з</w:t>
      </w:r>
      <w:r w:rsidR="00C47359" w:rsidRPr="007F5722">
        <w:rPr>
          <w:rFonts w:ascii="Times New Roman" w:hAnsi="Times New Roman" w:cs="Times New Roman"/>
          <w:sz w:val="28"/>
          <w:szCs w:val="28"/>
        </w:rPr>
        <w:t>начення рівней проатерогенного А</w:t>
      </w:r>
      <w:r w:rsidRPr="007F5722">
        <w:rPr>
          <w:rFonts w:ascii="Times New Roman" w:hAnsi="Times New Roman" w:cs="Times New Roman"/>
          <w:sz w:val="28"/>
          <w:szCs w:val="28"/>
        </w:rPr>
        <w:t>по</w:t>
      </w:r>
      <w:r w:rsidR="00C47359" w:rsidRPr="007F5722">
        <w:rPr>
          <w:rFonts w:ascii="Times New Roman" w:hAnsi="Times New Roman" w:cs="Times New Roman"/>
          <w:sz w:val="28"/>
          <w:szCs w:val="28"/>
        </w:rPr>
        <w:t xml:space="preserve"> В, і антиатерогенного А</w:t>
      </w:r>
      <w:r w:rsidRPr="007F5722">
        <w:rPr>
          <w:rFonts w:ascii="Times New Roman" w:hAnsi="Times New Roman" w:cs="Times New Roman"/>
          <w:sz w:val="28"/>
          <w:szCs w:val="28"/>
        </w:rPr>
        <w:t>по</w:t>
      </w:r>
      <w:r w:rsidR="00C47359" w:rsidRPr="007F5722">
        <w:rPr>
          <w:rFonts w:ascii="Times New Roman" w:hAnsi="Times New Roman" w:cs="Times New Roman"/>
          <w:sz w:val="28"/>
          <w:szCs w:val="28"/>
        </w:rPr>
        <w:t xml:space="preserve"> А1 та їх співвідношення (А</w:t>
      </w:r>
      <w:r w:rsidRPr="007F5722">
        <w:rPr>
          <w:rFonts w:ascii="Times New Roman" w:hAnsi="Times New Roman" w:cs="Times New Roman"/>
          <w:sz w:val="28"/>
          <w:szCs w:val="28"/>
        </w:rPr>
        <w:t>поВ</w:t>
      </w:r>
      <w:r w:rsidR="00C47359" w:rsidRPr="007F5722">
        <w:rPr>
          <w:rFonts w:ascii="Times New Roman" w:hAnsi="Times New Roman" w:cs="Times New Roman"/>
          <w:sz w:val="28"/>
          <w:szCs w:val="28"/>
        </w:rPr>
        <w:t>/А</w:t>
      </w:r>
      <w:r w:rsidRPr="007F5722">
        <w:rPr>
          <w:rFonts w:ascii="Times New Roman" w:hAnsi="Times New Roman" w:cs="Times New Roman"/>
          <w:sz w:val="28"/>
          <w:szCs w:val="28"/>
        </w:rPr>
        <w:t>поА1) є більш вагомими в прогнозуванні основних атеросклеротичних подій, ніж визначення ЗХ</w:t>
      </w:r>
      <w:r w:rsidR="00C47359" w:rsidRPr="007F5722">
        <w:rPr>
          <w:rFonts w:ascii="Times New Roman" w:hAnsi="Times New Roman" w:cs="Times New Roman"/>
          <w:sz w:val="28"/>
          <w:szCs w:val="28"/>
        </w:rPr>
        <w:t>С</w:t>
      </w:r>
      <w:r w:rsidRPr="007F5722">
        <w:rPr>
          <w:rFonts w:ascii="Times New Roman" w:hAnsi="Times New Roman" w:cs="Times New Roman"/>
          <w:sz w:val="28"/>
          <w:szCs w:val="28"/>
        </w:rPr>
        <w:t xml:space="preserve"> та ліпідів.</w:t>
      </w:r>
    </w:p>
    <w:p w:rsidR="007D687A" w:rsidRPr="007F5722" w:rsidRDefault="007D687A" w:rsidP="007D687A">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Міжнародний колектив вчених провів клінічне дослідження INTERHEART, метою якого стало п</w:t>
      </w:r>
      <w:r w:rsidR="00C47359" w:rsidRPr="007F5722">
        <w:rPr>
          <w:rFonts w:ascii="Times New Roman" w:hAnsi="Times New Roman" w:cs="Times New Roman"/>
          <w:sz w:val="28"/>
          <w:szCs w:val="28"/>
        </w:rPr>
        <w:t>орівняння ефективності індекса АпоВ/А</w:t>
      </w:r>
      <w:r w:rsidRPr="007F5722">
        <w:rPr>
          <w:rFonts w:ascii="Times New Roman" w:hAnsi="Times New Roman" w:cs="Times New Roman"/>
          <w:sz w:val="28"/>
          <w:szCs w:val="28"/>
        </w:rPr>
        <w:t>поА1 і основних холестеринових індексів ате</w:t>
      </w:r>
      <w:r w:rsidR="00C47359" w:rsidRPr="007F5722">
        <w:rPr>
          <w:rFonts w:ascii="Times New Roman" w:hAnsi="Times New Roman" w:cs="Times New Roman"/>
          <w:sz w:val="28"/>
          <w:szCs w:val="28"/>
        </w:rPr>
        <w:t>рогенності як маркерів ризику інфаркту міокарду</w:t>
      </w:r>
      <w:r w:rsidRPr="007F5722">
        <w:rPr>
          <w:rFonts w:ascii="Times New Roman" w:hAnsi="Times New Roman" w:cs="Times New Roman"/>
          <w:sz w:val="28"/>
          <w:szCs w:val="28"/>
        </w:rPr>
        <w:t>. В дослідженні прийняли участь 124</w:t>
      </w:r>
      <w:r w:rsidR="00C47359" w:rsidRPr="007F5722">
        <w:rPr>
          <w:rFonts w:ascii="Times New Roman" w:hAnsi="Times New Roman" w:cs="Times New Roman"/>
          <w:sz w:val="28"/>
          <w:szCs w:val="28"/>
        </w:rPr>
        <w:t>61 пацієнтів з першим гострим інфарктом міокарду</w:t>
      </w:r>
      <w:r w:rsidRPr="007F5722">
        <w:rPr>
          <w:rFonts w:ascii="Times New Roman" w:hAnsi="Times New Roman" w:cs="Times New Roman"/>
          <w:sz w:val="28"/>
          <w:szCs w:val="28"/>
        </w:rPr>
        <w:t xml:space="preserve"> та 14637 осіб без встановлено серцево-судинної пат</w:t>
      </w:r>
      <w:r w:rsidR="00C47359" w:rsidRPr="007F5722">
        <w:rPr>
          <w:rFonts w:ascii="Times New Roman" w:hAnsi="Times New Roman" w:cs="Times New Roman"/>
          <w:sz w:val="28"/>
          <w:szCs w:val="28"/>
        </w:rPr>
        <w:t>ології. Встановлено, що індекс АпоВ/А</w:t>
      </w:r>
      <w:r w:rsidRPr="007F5722">
        <w:rPr>
          <w:rFonts w:ascii="Times New Roman" w:hAnsi="Times New Roman" w:cs="Times New Roman"/>
          <w:sz w:val="28"/>
          <w:szCs w:val="28"/>
        </w:rPr>
        <w:t>поА1 демон</w:t>
      </w:r>
      <w:r w:rsidR="00F11F27" w:rsidRPr="007F5722">
        <w:rPr>
          <w:rFonts w:ascii="Times New Roman" w:hAnsi="Times New Roman" w:cs="Times New Roman"/>
          <w:sz w:val="28"/>
          <w:szCs w:val="28"/>
        </w:rPr>
        <w:t>стрував значно більший популяцій</w:t>
      </w:r>
      <w:r w:rsidRPr="007F5722">
        <w:rPr>
          <w:rFonts w:ascii="Times New Roman" w:hAnsi="Times New Roman" w:cs="Times New Roman"/>
          <w:sz w:val="28"/>
          <w:szCs w:val="28"/>
        </w:rPr>
        <w:t xml:space="preserve">ний ризик </w:t>
      </w:r>
      <w:r w:rsidR="00C47359" w:rsidRPr="007F5722">
        <w:rPr>
          <w:rFonts w:ascii="Times New Roman" w:hAnsi="Times New Roman" w:cs="Times New Roman"/>
          <w:sz w:val="28"/>
          <w:szCs w:val="28"/>
        </w:rPr>
        <w:t>інфаркту міокарду</w:t>
      </w:r>
      <w:r w:rsidRPr="007F5722">
        <w:rPr>
          <w:rFonts w:ascii="Times New Roman" w:hAnsi="Times New Roman" w:cs="Times New Roman"/>
          <w:sz w:val="28"/>
          <w:szCs w:val="28"/>
        </w:rPr>
        <w:t xml:space="preserve"> (54,0%) у порівнянні з традиційними індексами атерогенності – </w:t>
      </w:r>
      <w:r w:rsidR="00C47359" w:rsidRPr="007F5722">
        <w:rPr>
          <w:rFonts w:ascii="Times New Roman" w:hAnsi="Times New Roman" w:cs="Times New Roman"/>
          <w:sz w:val="28"/>
          <w:szCs w:val="28"/>
        </w:rPr>
        <w:t>З</w:t>
      </w:r>
      <w:r w:rsidRPr="007F5722">
        <w:rPr>
          <w:rFonts w:ascii="Times New Roman" w:hAnsi="Times New Roman" w:cs="Times New Roman"/>
          <w:sz w:val="28"/>
          <w:szCs w:val="28"/>
        </w:rPr>
        <w:t>ХС/ХС</w:t>
      </w:r>
      <w:r w:rsidR="00C47359" w:rsidRPr="007F5722">
        <w:rPr>
          <w:rFonts w:ascii="Times New Roman" w:hAnsi="Times New Roman" w:cs="Times New Roman"/>
          <w:sz w:val="28"/>
          <w:szCs w:val="28"/>
        </w:rPr>
        <w:t xml:space="preserve"> </w:t>
      </w:r>
      <w:r w:rsidRPr="007F5722">
        <w:rPr>
          <w:rFonts w:ascii="Times New Roman" w:hAnsi="Times New Roman" w:cs="Times New Roman"/>
          <w:sz w:val="28"/>
          <w:szCs w:val="28"/>
        </w:rPr>
        <w:t>ЛПВЩ (39,1%), ХС</w:t>
      </w:r>
      <w:r w:rsidR="00C47359" w:rsidRPr="007F5722">
        <w:rPr>
          <w:rFonts w:ascii="Times New Roman" w:hAnsi="Times New Roman" w:cs="Times New Roman"/>
          <w:sz w:val="28"/>
          <w:szCs w:val="28"/>
        </w:rPr>
        <w:t xml:space="preserve"> </w:t>
      </w:r>
      <w:r w:rsidRPr="007F5722">
        <w:rPr>
          <w:rFonts w:ascii="Times New Roman" w:hAnsi="Times New Roman" w:cs="Times New Roman"/>
          <w:sz w:val="28"/>
          <w:szCs w:val="28"/>
        </w:rPr>
        <w:t>ЛПНЩ/ХС</w:t>
      </w:r>
      <w:r w:rsidR="00C47359" w:rsidRPr="007F5722">
        <w:rPr>
          <w:rFonts w:ascii="Times New Roman" w:hAnsi="Times New Roman" w:cs="Times New Roman"/>
          <w:sz w:val="28"/>
          <w:szCs w:val="28"/>
        </w:rPr>
        <w:t xml:space="preserve"> </w:t>
      </w:r>
      <w:r w:rsidRPr="007F5722">
        <w:rPr>
          <w:rFonts w:ascii="Times New Roman" w:hAnsi="Times New Roman" w:cs="Times New Roman"/>
          <w:sz w:val="28"/>
          <w:szCs w:val="28"/>
        </w:rPr>
        <w:t xml:space="preserve">ЛПВЩ (37,0%). Показник популяційного ризику </w:t>
      </w:r>
      <w:r w:rsidR="00C47359" w:rsidRPr="007F5722">
        <w:rPr>
          <w:rFonts w:ascii="Times New Roman" w:hAnsi="Times New Roman" w:cs="Times New Roman"/>
          <w:sz w:val="28"/>
          <w:szCs w:val="28"/>
        </w:rPr>
        <w:t xml:space="preserve">інфаркту міокарду </w:t>
      </w:r>
      <w:r w:rsidRPr="007F5722">
        <w:rPr>
          <w:rFonts w:ascii="Times New Roman" w:hAnsi="Times New Roman" w:cs="Times New Roman"/>
          <w:sz w:val="28"/>
          <w:szCs w:val="28"/>
        </w:rPr>
        <w:t>був також біль</w:t>
      </w:r>
      <w:r w:rsidR="00C47359" w:rsidRPr="007F5722">
        <w:rPr>
          <w:rFonts w:ascii="Times New Roman" w:hAnsi="Times New Roman" w:cs="Times New Roman"/>
          <w:sz w:val="28"/>
          <w:szCs w:val="28"/>
        </w:rPr>
        <w:t>ш вищім при визначенні індексу АпоВ/А</w:t>
      </w:r>
      <w:r w:rsidRPr="007F5722">
        <w:rPr>
          <w:rFonts w:ascii="Times New Roman" w:hAnsi="Times New Roman" w:cs="Times New Roman"/>
          <w:sz w:val="28"/>
          <w:szCs w:val="28"/>
        </w:rPr>
        <w:t>поА1 порівнянні з рівнями ЗХС (16,2%), ХС</w:t>
      </w:r>
      <w:r w:rsidR="00C47359" w:rsidRPr="007F5722">
        <w:rPr>
          <w:rFonts w:ascii="Times New Roman" w:hAnsi="Times New Roman" w:cs="Times New Roman"/>
          <w:sz w:val="28"/>
          <w:szCs w:val="28"/>
        </w:rPr>
        <w:t xml:space="preserve"> </w:t>
      </w:r>
      <w:r w:rsidRPr="007F5722">
        <w:rPr>
          <w:rFonts w:ascii="Times New Roman" w:hAnsi="Times New Roman" w:cs="Times New Roman"/>
          <w:sz w:val="28"/>
          <w:szCs w:val="28"/>
        </w:rPr>
        <w:t xml:space="preserve">ЛПВЩ (29,5%), </w:t>
      </w:r>
      <w:r w:rsidR="00C47359" w:rsidRPr="007F5722">
        <w:rPr>
          <w:rFonts w:ascii="Times New Roman" w:hAnsi="Times New Roman" w:cs="Times New Roman"/>
          <w:sz w:val="28"/>
          <w:szCs w:val="28"/>
        </w:rPr>
        <w:t>А</w:t>
      </w:r>
      <w:r w:rsidRPr="007F5722">
        <w:rPr>
          <w:rFonts w:ascii="Times New Roman" w:hAnsi="Times New Roman" w:cs="Times New Roman"/>
          <w:sz w:val="28"/>
          <w:szCs w:val="28"/>
        </w:rPr>
        <w:t>по</w:t>
      </w:r>
      <w:r w:rsidR="00C47359" w:rsidRPr="007F5722">
        <w:rPr>
          <w:rFonts w:ascii="Times New Roman" w:hAnsi="Times New Roman" w:cs="Times New Roman"/>
          <w:sz w:val="28"/>
          <w:szCs w:val="28"/>
        </w:rPr>
        <w:t xml:space="preserve"> </w:t>
      </w:r>
      <w:r w:rsidRPr="007F5722">
        <w:rPr>
          <w:rFonts w:ascii="Times New Roman" w:hAnsi="Times New Roman" w:cs="Times New Roman"/>
          <w:sz w:val="28"/>
          <w:szCs w:val="28"/>
        </w:rPr>
        <w:t>В (29,</w:t>
      </w:r>
      <w:r w:rsidR="00C47359" w:rsidRPr="007F5722">
        <w:rPr>
          <w:rFonts w:ascii="Times New Roman" w:hAnsi="Times New Roman" w:cs="Times New Roman"/>
          <w:sz w:val="28"/>
          <w:szCs w:val="28"/>
        </w:rPr>
        <w:t>7%), А</w:t>
      </w:r>
      <w:r w:rsidRPr="007F5722">
        <w:rPr>
          <w:rFonts w:ascii="Times New Roman" w:hAnsi="Times New Roman" w:cs="Times New Roman"/>
          <w:sz w:val="28"/>
          <w:szCs w:val="28"/>
        </w:rPr>
        <w:t>по</w:t>
      </w:r>
      <w:r w:rsidR="00C47359" w:rsidRPr="007F5722">
        <w:rPr>
          <w:rFonts w:ascii="Times New Roman" w:hAnsi="Times New Roman" w:cs="Times New Roman"/>
          <w:sz w:val="28"/>
          <w:szCs w:val="28"/>
        </w:rPr>
        <w:t xml:space="preserve"> </w:t>
      </w:r>
      <w:r w:rsidRPr="007F5722">
        <w:rPr>
          <w:rFonts w:ascii="Times New Roman" w:hAnsi="Times New Roman" w:cs="Times New Roman"/>
          <w:sz w:val="28"/>
          <w:szCs w:val="28"/>
        </w:rPr>
        <w:t xml:space="preserve">А1 </w:t>
      </w:r>
      <w:r w:rsidRPr="007F5722">
        <w:rPr>
          <w:rFonts w:ascii="Times New Roman" w:hAnsi="Times New Roman" w:cs="Times New Roman"/>
          <w:sz w:val="28"/>
          <w:szCs w:val="28"/>
        </w:rPr>
        <w:lastRenderedPageBreak/>
        <w:t>(53,3%). При цьому дослідниками, встановлено,що збільшення на кожне</w:t>
      </w:r>
      <w:r w:rsidR="00C47359" w:rsidRPr="007F5722">
        <w:rPr>
          <w:rFonts w:ascii="Times New Roman" w:hAnsi="Times New Roman" w:cs="Times New Roman"/>
          <w:sz w:val="28"/>
          <w:szCs w:val="28"/>
        </w:rPr>
        <w:t xml:space="preserve"> стандартне відхилення індекса АпоВ/А</w:t>
      </w:r>
      <w:r w:rsidRPr="007F5722">
        <w:rPr>
          <w:rFonts w:ascii="Times New Roman" w:hAnsi="Times New Roman" w:cs="Times New Roman"/>
          <w:sz w:val="28"/>
          <w:szCs w:val="28"/>
        </w:rPr>
        <w:t xml:space="preserve">поА1 супроводжувалося більшим ризиком </w:t>
      </w:r>
      <w:r w:rsidR="00C47359" w:rsidRPr="007F5722">
        <w:rPr>
          <w:rFonts w:ascii="Times New Roman" w:hAnsi="Times New Roman" w:cs="Times New Roman"/>
          <w:sz w:val="28"/>
          <w:szCs w:val="28"/>
        </w:rPr>
        <w:t>інфаркту міокарду</w:t>
      </w:r>
      <w:r w:rsidRPr="007F5722">
        <w:rPr>
          <w:rFonts w:ascii="Times New Roman" w:hAnsi="Times New Roman" w:cs="Times New Roman"/>
          <w:sz w:val="28"/>
          <w:szCs w:val="28"/>
        </w:rPr>
        <w:t xml:space="preserve"> (відношення шансів 1,59) у порівнянні з показниками відношень ЗХ</w:t>
      </w:r>
      <w:r w:rsidR="00C47359" w:rsidRPr="007F5722">
        <w:rPr>
          <w:rFonts w:ascii="Times New Roman" w:hAnsi="Times New Roman" w:cs="Times New Roman"/>
          <w:sz w:val="28"/>
          <w:szCs w:val="28"/>
        </w:rPr>
        <w:t>С</w:t>
      </w:r>
      <w:r w:rsidRPr="007F5722">
        <w:rPr>
          <w:rFonts w:ascii="Times New Roman" w:hAnsi="Times New Roman" w:cs="Times New Roman"/>
          <w:sz w:val="28"/>
          <w:szCs w:val="28"/>
        </w:rPr>
        <w:t>/ХС</w:t>
      </w:r>
      <w:r w:rsidR="00C47359" w:rsidRPr="007F5722">
        <w:rPr>
          <w:rFonts w:ascii="Times New Roman" w:hAnsi="Times New Roman" w:cs="Times New Roman"/>
          <w:sz w:val="28"/>
          <w:szCs w:val="28"/>
        </w:rPr>
        <w:t xml:space="preserve"> </w:t>
      </w:r>
      <w:r w:rsidRPr="007F5722">
        <w:rPr>
          <w:rFonts w:ascii="Times New Roman" w:hAnsi="Times New Roman" w:cs="Times New Roman"/>
          <w:sz w:val="28"/>
          <w:szCs w:val="28"/>
        </w:rPr>
        <w:t>ЛПВЩ (відношення шансів 1,17) ЗХС (відношення шансів 1,16), ХС</w:t>
      </w:r>
      <w:r w:rsidR="00C47359" w:rsidRPr="007F5722">
        <w:rPr>
          <w:rFonts w:ascii="Times New Roman" w:hAnsi="Times New Roman" w:cs="Times New Roman"/>
          <w:sz w:val="28"/>
          <w:szCs w:val="28"/>
        </w:rPr>
        <w:t xml:space="preserve"> ЛПВЩ (відношення шансів 0,85), А</w:t>
      </w:r>
      <w:r w:rsidRPr="007F5722">
        <w:rPr>
          <w:rFonts w:ascii="Times New Roman" w:hAnsi="Times New Roman" w:cs="Times New Roman"/>
          <w:sz w:val="28"/>
          <w:szCs w:val="28"/>
        </w:rPr>
        <w:t>по</w:t>
      </w:r>
      <w:r w:rsidR="00C47359" w:rsidRPr="007F5722">
        <w:rPr>
          <w:rFonts w:ascii="Times New Roman" w:hAnsi="Times New Roman" w:cs="Times New Roman"/>
          <w:sz w:val="28"/>
          <w:szCs w:val="28"/>
        </w:rPr>
        <w:t xml:space="preserve"> А1 (відношення шансів 0,67) та А</w:t>
      </w:r>
      <w:r w:rsidRPr="007F5722">
        <w:rPr>
          <w:rFonts w:ascii="Times New Roman" w:hAnsi="Times New Roman" w:cs="Times New Roman"/>
          <w:sz w:val="28"/>
          <w:szCs w:val="28"/>
        </w:rPr>
        <w:t>по</w:t>
      </w:r>
      <w:r w:rsidR="00C47359" w:rsidRPr="007F5722">
        <w:rPr>
          <w:rFonts w:ascii="Times New Roman" w:hAnsi="Times New Roman" w:cs="Times New Roman"/>
          <w:sz w:val="28"/>
          <w:szCs w:val="28"/>
        </w:rPr>
        <w:t xml:space="preserve"> </w:t>
      </w:r>
      <w:r w:rsidRPr="007F5722">
        <w:rPr>
          <w:rFonts w:ascii="Times New Roman" w:hAnsi="Times New Roman" w:cs="Times New Roman"/>
          <w:sz w:val="28"/>
          <w:szCs w:val="28"/>
        </w:rPr>
        <w:t>В (відношення шансів 1,32).</w:t>
      </w:r>
    </w:p>
    <w:p w:rsidR="007D687A" w:rsidRPr="007F5722" w:rsidRDefault="00F11F27" w:rsidP="007D687A">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Таким чином, за</w:t>
      </w:r>
      <w:r w:rsidR="007D687A" w:rsidRPr="007F5722">
        <w:rPr>
          <w:rFonts w:ascii="Times New Roman" w:hAnsi="Times New Roman" w:cs="Times New Roman"/>
          <w:sz w:val="28"/>
          <w:szCs w:val="28"/>
        </w:rPr>
        <w:t xml:space="preserve"> даним</w:t>
      </w:r>
      <w:r w:rsidRPr="007F5722">
        <w:rPr>
          <w:rFonts w:ascii="Times New Roman" w:hAnsi="Times New Roman" w:cs="Times New Roman"/>
          <w:sz w:val="28"/>
          <w:szCs w:val="28"/>
        </w:rPr>
        <w:t>и</w:t>
      </w:r>
      <w:r w:rsidR="007D687A" w:rsidRPr="007F5722">
        <w:rPr>
          <w:rFonts w:ascii="Times New Roman" w:hAnsi="Times New Roman" w:cs="Times New Roman"/>
          <w:sz w:val="28"/>
          <w:szCs w:val="28"/>
        </w:rPr>
        <w:t xml:space="preserve"> дослідж</w:t>
      </w:r>
      <w:r w:rsidR="00C47359" w:rsidRPr="007F5722">
        <w:rPr>
          <w:rFonts w:ascii="Times New Roman" w:hAnsi="Times New Roman" w:cs="Times New Roman"/>
          <w:sz w:val="28"/>
          <w:szCs w:val="28"/>
        </w:rPr>
        <w:t>ення INTERHEART співвідношення АпоВ/А</w:t>
      </w:r>
      <w:r w:rsidR="007D687A" w:rsidRPr="007F5722">
        <w:rPr>
          <w:rFonts w:ascii="Times New Roman" w:hAnsi="Times New Roman" w:cs="Times New Roman"/>
          <w:sz w:val="28"/>
          <w:szCs w:val="28"/>
        </w:rPr>
        <w:t xml:space="preserve">поА1 було значно ефективнішим в оцінці ризику розвитку </w:t>
      </w:r>
      <w:r w:rsidR="00C47359" w:rsidRPr="007F5722">
        <w:rPr>
          <w:rFonts w:ascii="Times New Roman" w:hAnsi="Times New Roman" w:cs="Times New Roman"/>
          <w:sz w:val="28"/>
          <w:szCs w:val="28"/>
        </w:rPr>
        <w:t>інфаркту міокарду</w:t>
      </w:r>
      <w:r w:rsidR="007D687A" w:rsidRPr="007F5722">
        <w:rPr>
          <w:rFonts w:ascii="Times New Roman" w:hAnsi="Times New Roman" w:cs="Times New Roman"/>
          <w:sz w:val="28"/>
          <w:szCs w:val="28"/>
        </w:rPr>
        <w:t xml:space="preserve"> у порівнянні з традиційними показниками </w:t>
      </w:r>
      <w:r w:rsidR="00C47359" w:rsidRPr="007F5722">
        <w:rPr>
          <w:rFonts w:ascii="Times New Roman" w:hAnsi="Times New Roman" w:cs="Times New Roman"/>
          <w:sz w:val="28"/>
          <w:szCs w:val="28"/>
        </w:rPr>
        <w:t>З</w:t>
      </w:r>
      <w:r w:rsidR="007D687A" w:rsidRPr="007F5722">
        <w:rPr>
          <w:rFonts w:ascii="Times New Roman" w:hAnsi="Times New Roman" w:cs="Times New Roman"/>
          <w:sz w:val="28"/>
          <w:szCs w:val="28"/>
        </w:rPr>
        <w:t xml:space="preserve">ХС та індексів, що розраховані на визначенні </w:t>
      </w:r>
      <w:r w:rsidRPr="007F5722">
        <w:rPr>
          <w:rFonts w:ascii="Times New Roman" w:hAnsi="Times New Roman" w:cs="Times New Roman"/>
          <w:sz w:val="28"/>
          <w:szCs w:val="28"/>
        </w:rPr>
        <w:t>ліпопротеїдів</w:t>
      </w:r>
      <w:r w:rsidR="00B346A0" w:rsidRPr="007F5722">
        <w:rPr>
          <w:rFonts w:ascii="Times New Roman" w:hAnsi="Times New Roman" w:cs="Times New Roman"/>
          <w:sz w:val="28"/>
          <w:szCs w:val="28"/>
        </w:rPr>
        <w:t xml:space="preserve"> [</w:t>
      </w:r>
      <w:r w:rsidR="001D1755" w:rsidRPr="007F5722">
        <w:rPr>
          <w:rFonts w:ascii="Times New Roman" w:hAnsi="Times New Roman" w:cs="Times New Roman"/>
          <w:sz w:val="28"/>
          <w:szCs w:val="28"/>
        </w:rPr>
        <w:t>110</w:t>
      </w:r>
      <w:r w:rsidR="00B346A0" w:rsidRPr="007F5722">
        <w:rPr>
          <w:rFonts w:ascii="Times New Roman" w:hAnsi="Times New Roman" w:cs="Times New Roman"/>
          <w:sz w:val="28"/>
          <w:szCs w:val="28"/>
        </w:rPr>
        <w:t>]</w:t>
      </w:r>
      <w:r w:rsidR="007D687A" w:rsidRPr="007F5722">
        <w:rPr>
          <w:rFonts w:ascii="Times New Roman" w:hAnsi="Times New Roman" w:cs="Times New Roman"/>
          <w:sz w:val="28"/>
          <w:szCs w:val="28"/>
        </w:rPr>
        <w:t>.</w:t>
      </w:r>
    </w:p>
    <w:p w:rsidR="007D687A" w:rsidRPr="007F5722" w:rsidRDefault="007D687A" w:rsidP="007D687A">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В дослідженні доктора Allan D. Sniderman (Клініка Royal Victoria Hospital, Монреаль) наведені дані, що у хворих з триглі</w:t>
      </w:r>
      <w:r w:rsidR="00F11F27" w:rsidRPr="007F5722">
        <w:rPr>
          <w:rFonts w:ascii="Times New Roman" w:hAnsi="Times New Roman" w:cs="Times New Roman"/>
          <w:sz w:val="28"/>
          <w:szCs w:val="28"/>
        </w:rPr>
        <w:t>цери</w:t>
      </w:r>
      <w:r w:rsidR="00B346A0" w:rsidRPr="007F5722">
        <w:rPr>
          <w:rFonts w:ascii="Times New Roman" w:hAnsi="Times New Roman" w:cs="Times New Roman"/>
          <w:sz w:val="28"/>
          <w:szCs w:val="28"/>
        </w:rPr>
        <w:t>демією і високим рівнем А</w:t>
      </w:r>
      <w:r w:rsidRPr="007F5722">
        <w:rPr>
          <w:rFonts w:ascii="Times New Roman" w:hAnsi="Times New Roman" w:cs="Times New Roman"/>
          <w:sz w:val="28"/>
          <w:szCs w:val="28"/>
        </w:rPr>
        <w:t>по</w:t>
      </w:r>
      <w:r w:rsidR="00B346A0" w:rsidRPr="007F5722">
        <w:rPr>
          <w:rFonts w:ascii="Times New Roman" w:hAnsi="Times New Roman" w:cs="Times New Roman"/>
          <w:sz w:val="28"/>
          <w:szCs w:val="28"/>
        </w:rPr>
        <w:t xml:space="preserve"> </w:t>
      </w:r>
      <w:r w:rsidRPr="007F5722">
        <w:rPr>
          <w:rFonts w:ascii="Times New Roman" w:hAnsi="Times New Roman" w:cs="Times New Roman"/>
          <w:sz w:val="28"/>
          <w:szCs w:val="28"/>
        </w:rPr>
        <w:t>В спостерігаються гіперглікемія, ІР, підвищення активності прозапальних та протромбогенних маркерів</w:t>
      </w:r>
      <w:r w:rsidR="00B346A0" w:rsidRPr="007F5722">
        <w:rPr>
          <w:rFonts w:ascii="Times New Roman" w:hAnsi="Times New Roman" w:cs="Times New Roman"/>
          <w:sz w:val="28"/>
          <w:szCs w:val="28"/>
        </w:rPr>
        <w:t xml:space="preserve"> [</w:t>
      </w:r>
      <w:r w:rsidR="001D1755" w:rsidRPr="007F5722">
        <w:rPr>
          <w:rFonts w:ascii="Times New Roman" w:hAnsi="Times New Roman" w:cs="Times New Roman"/>
          <w:sz w:val="28"/>
          <w:szCs w:val="28"/>
        </w:rPr>
        <w:t>111,112</w:t>
      </w:r>
      <w:r w:rsidR="00B346A0" w:rsidRPr="007F5722">
        <w:rPr>
          <w:rFonts w:ascii="Times New Roman" w:hAnsi="Times New Roman" w:cs="Times New Roman"/>
          <w:sz w:val="28"/>
          <w:szCs w:val="28"/>
        </w:rPr>
        <w:t>].</w:t>
      </w:r>
      <w:r w:rsidRPr="007F5722">
        <w:rPr>
          <w:rFonts w:ascii="Times New Roman" w:hAnsi="Times New Roman" w:cs="Times New Roman"/>
          <w:sz w:val="28"/>
          <w:szCs w:val="28"/>
        </w:rPr>
        <w:t xml:space="preserve"> </w:t>
      </w:r>
    </w:p>
    <w:p w:rsidR="00B346A0" w:rsidRPr="007F5722" w:rsidRDefault="007D687A" w:rsidP="007D687A">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На підставі даних дослідження IRAS ((Insulin Re</w:t>
      </w:r>
      <w:r w:rsidR="00F11F27" w:rsidRPr="007F5722">
        <w:rPr>
          <w:rFonts w:ascii="Times New Roman" w:hAnsi="Times New Roman" w:cs="Times New Roman"/>
          <w:sz w:val="28"/>
          <w:szCs w:val="28"/>
        </w:rPr>
        <w:t>sistance Atherosclerosis Study)</w:t>
      </w:r>
      <w:r w:rsidRPr="007F5722">
        <w:rPr>
          <w:rFonts w:ascii="Times New Roman" w:hAnsi="Times New Roman" w:cs="Times New Roman"/>
          <w:sz w:val="28"/>
          <w:szCs w:val="28"/>
        </w:rPr>
        <w:t xml:space="preserve"> 1522 пацієнтів віком 49-69 років) визначе</w:t>
      </w:r>
      <w:r w:rsidR="00B346A0" w:rsidRPr="007F5722">
        <w:rPr>
          <w:rFonts w:ascii="Times New Roman" w:hAnsi="Times New Roman" w:cs="Times New Roman"/>
          <w:sz w:val="28"/>
          <w:szCs w:val="28"/>
        </w:rPr>
        <w:t>но, що визначення концентрації А</w:t>
      </w:r>
      <w:r w:rsidRPr="007F5722">
        <w:rPr>
          <w:rFonts w:ascii="Times New Roman" w:hAnsi="Times New Roman" w:cs="Times New Roman"/>
          <w:sz w:val="28"/>
          <w:szCs w:val="28"/>
        </w:rPr>
        <w:t>по</w:t>
      </w:r>
      <w:r w:rsidR="00B346A0" w:rsidRPr="007F5722">
        <w:rPr>
          <w:rFonts w:ascii="Times New Roman" w:hAnsi="Times New Roman" w:cs="Times New Roman"/>
          <w:sz w:val="28"/>
          <w:szCs w:val="28"/>
        </w:rPr>
        <w:t xml:space="preserve"> </w:t>
      </w:r>
      <w:r w:rsidRPr="007F5722">
        <w:rPr>
          <w:rFonts w:ascii="Times New Roman" w:hAnsi="Times New Roman" w:cs="Times New Roman"/>
          <w:sz w:val="28"/>
          <w:szCs w:val="28"/>
        </w:rPr>
        <w:t>В дозволить більш точніше визначити серцево-судинний ризик та необхідно застосовувати дл</w:t>
      </w:r>
      <w:r w:rsidR="00F11F27" w:rsidRPr="007F5722">
        <w:rPr>
          <w:rFonts w:ascii="Times New Roman" w:hAnsi="Times New Roman" w:cs="Times New Roman"/>
          <w:sz w:val="28"/>
          <w:szCs w:val="28"/>
        </w:rPr>
        <w:t>я оцінки ефектів ліпідкоригуючої</w:t>
      </w:r>
      <w:r w:rsidRPr="007F5722">
        <w:rPr>
          <w:rFonts w:ascii="Times New Roman" w:hAnsi="Times New Roman" w:cs="Times New Roman"/>
          <w:sz w:val="28"/>
          <w:szCs w:val="28"/>
        </w:rPr>
        <w:t xml:space="preserve"> терапії ста</w:t>
      </w:r>
      <w:r w:rsidR="00F11F27" w:rsidRPr="007F5722">
        <w:rPr>
          <w:rFonts w:ascii="Times New Roman" w:hAnsi="Times New Roman" w:cs="Times New Roman"/>
          <w:sz w:val="28"/>
          <w:szCs w:val="28"/>
        </w:rPr>
        <w:t>нтинами у пацієнтів з тригліцери</w:t>
      </w:r>
      <w:r w:rsidRPr="007F5722">
        <w:rPr>
          <w:rFonts w:ascii="Times New Roman" w:hAnsi="Times New Roman" w:cs="Times New Roman"/>
          <w:sz w:val="28"/>
          <w:szCs w:val="28"/>
        </w:rPr>
        <w:t>демією та низьким рівнем ХС</w:t>
      </w:r>
      <w:r w:rsidR="00B346A0" w:rsidRPr="007F5722">
        <w:rPr>
          <w:rFonts w:ascii="Times New Roman" w:hAnsi="Times New Roman" w:cs="Times New Roman"/>
          <w:sz w:val="28"/>
          <w:szCs w:val="28"/>
        </w:rPr>
        <w:t xml:space="preserve"> </w:t>
      </w:r>
      <w:r w:rsidRPr="007F5722">
        <w:rPr>
          <w:rFonts w:ascii="Times New Roman" w:hAnsi="Times New Roman" w:cs="Times New Roman"/>
          <w:sz w:val="28"/>
          <w:szCs w:val="28"/>
        </w:rPr>
        <w:t>ЛПВЩ.</w:t>
      </w:r>
    </w:p>
    <w:p w:rsidR="007D687A" w:rsidRPr="007F5722" w:rsidRDefault="007D687A" w:rsidP="007D687A">
      <w:pPr>
        <w:spacing w:after="0" w:line="360" w:lineRule="auto"/>
        <w:ind w:firstLine="708"/>
        <w:jc w:val="both"/>
        <w:rPr>
          <w:rFonts w:ascii="Times New Roman" w:hAnsi="Times New Roman" w:cs="Times New Roman"/>
          <w:sz w:val="28"/>
          <w:szCs w:val="28"/>
        </w:rPr>
      </w:pPr>
      <w:r w:rsidRPr="007F5722">
        <w:rPr>
          <w:rStyle w:val="newsshorttext2"/>
          <w:rFonts w:ascii="Times New Roman" w:hAnsi="Times New Roman" w:cs="Times New Roman"/>
          <w:sz w:val="28"/>
          <w:szCs w:val="28"/>
        </w:rPr>
        <w:t xml:space="preserve">Згідно результатів дослідження Health </w:t>
      </w:r>
      <w:r w:rsidR="00B346A0" w:rsidRPr="007F5722">
        <w:rPr>
          <w:rStyle w:val="newsshorttext2"/>
          <w:rFonts w:ascii="Times New Roman" w:hAnsi="Times New Roman" w:cs="Times New Roman"/>
          <w:sz w:val="28"/>
          <w:szCs w:val="28"/>
        </w:rPr>
        <w:t>Professionals Follow-up Study, А</w:t>
      </w:r>
      <w:r w:rsidRPr="007F5722">
        <w:rPr>
          <w:rStyle w:val="newsshorttext2"/>
          <w:rFonts w:ascii="Times New Roman" w:hAnsi="Times New Roman" w:cs="Times New Roman"/>
          <w:sz w:val="28"/>
          <w:szCs w:val="28"/>
        </w:rPr>
        <w:t>по</w:t>
      </w:r>
      <w:r w:rsidR="00B346A0" w:rsidRPr="007F5722">
        <w:rPr>
          <w:rStyle w:val="newsshorttext2"/>
          <w:rFonts w:ascii="Times New Roman" w:hAnsi="Times New Roman" w:cs="Times New Roman"/>
          <w:sz w:val="28"/>
          <w:szCs w:val="28"/>
        </w:rPr>
        <w:t xml:space="preserve"> </w:t>
      </w:r>
      <w:r w:rsidRPr="007F5722">
        <w:rPr>
          <w:rStyle w:val="newsshorttext2"/>
          <w:rFonts w:ascii="Times New Roman" w:hAnsi="Times New Roman" w:cs="Times New Roman"/>
          <w:sz w:val="28"/>
          <w:szCs w:val="28"/>
        </w:rPr>
        <w:t>В є більш надійним предиктором ризику ІХС, ніж ХС</w:t>
      </w:r>
      <w:r w:rsidR="00B346A0" w:rsidRPr="007F5722">
        <w:rPr>
          <w:rStyle w:val="newsshorttext2"/>
          <w:rFonts w:ascii="Times New Roman" w:hAnsi="Times New Roman" w:cs="Times New Roman"/>
          <w:sz w:val="28"/>
          <w:szCs w:val="28"/>
        </w:rPr>
        <w:t xml:space="preserve"> </w:t>
      </w:r>
      <w:r w:rsidRPr="007F5722">
        <w:rPr>
          <w:rStyle w:val="newsshorttext2"/>
          <w:rFonts w:ascii="Times New Roman" w:hAnsi="Times New Roman" w:cs="Times New Roman"/>
          <w:sz w:val="28"/>
          <w:szCs w:val="28"/>
        </w:rPr>
        <w:t>ЛП</w:t>
      </w:r>
      <w:r w:rsidR="00B346A0" w:rsidRPr="007F5722">
        <w:rPr>
          <w:rStyle w:val="newsshorttext2"/>
          <w:rFonts w:ascii="Times New Roman" w:hAnsi="Times New Roman" w:cs="Times New Roman"/>
          <w:sz w:val="28"/>
          <w:szCs w:val="28"/>
        </w:rPr>
        <w:t>ВЩ</w:t>
      </w:r>
      <w:r w:rsidRPr="007F5722">
        <w:rPr>
          <w:rStyle w:val="newsshorttext2"/>
          <w:rFonts w:ascii="Times New Roman" w:hAnsi="Times New Roman" w:cs="Times New Roman"/>
          <w:sz w:val="28"/>
          <w:szCs w:val="28"/>
        </w:rPr>
        <w:t xml:space="preserve"> невисокої щільності</w:t>
      </w:r>
      <w:r w:rsidR="00B346A0" w:rsidRPr="007F5722">
        <w:rPr>
          <w:rStyle w:val="newsshorttext2"/>
          <w:rFonts w:ascii="Times New Roman" w:hAnsi="Times New Roman" w:cs="Times New Roman"/>
          <w:sz w:val="28"/>
          <w:szCs w:val="28"/>
        </w:rPr>
        <w:t xml:space="preserve"> (ХС не-ЛПВЩ)</w:t>
      </w:r>
      <w:r w:rsidRPr="007F5722">
        <w:rPr>
          <w:rStyle w:val="newsshorttext2"/>
          <w:rFonts w:ascii="Times New Roman" w:hAnsi="Times New Roman" w:cs="Times New Roman"/>
          <w:sz w:val="28"/>
          <w:szCs w:val="28"/>
        </w:rPr>
        <w:t>.</w:t>
      </w:r>
      <w:r w:rsidRPr="007F5722">
        <w:rPr>
          <w:rFonts w:ascii="Times New Roman" w:hAnsi="Times New Roman" w:cs="Times New Roman"/>
          <w:sz w:val="28"/>
          <w:szCs w:val="28"/>
        </w:rPr>
        <w:t xml:space="preserve"> </w:t>
      </w:r>
    </w:p>
    <w:p w:rsidR="007D687A" w:rsidRPr="007F5722" w:rsidRDefault="007D687A" w:rsidP="007D687A">
      <w:pPr>
        <w:pStyle w:val="ac"/>
        <w:spacing w:before="0" w:beforeAutospacing="0" w:after="0" w:afterAutospacing="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Доктор Tobias Pischon и его коллеги (Гарвардска Школа Суспільного здоров’я, Бостон, Массачусетс) порівнювал</w:t>
      </w:r>
      <w:r w:rsidR="00F11F27" w:rsidRPr="007F5722">
        <w:rPr>
          <w:rFonts w:ascii="Times New Roman" w:hAnsi="Times New Roman" w:cs="Times New Roman"/>
          <w:sz w:val="28"/>
          <w:szCs w:val="28"/>
        </w:rPr>
        <w:t>и прогностичну цінність рівней А</w:t>
      </w:r>
      <w:r w:rsidRPr="007F5722">
        <w:rPr>
          <w:rFonts w:ascii="Times New Roman" w:hAnsi="Times New Roman" w:cs="Times New Roman"/>
          <w:sz w:val="28"/>
          <w:szCs w:val="28"/>
        </w:rPr>
        <w:t>по</w:t>
      </w:r>
      <w:r w:rsidR="00F11F27" w:rsidRPr="007F5722">
        <w:rPr>
          <w:rFonts w:ascii="Times New Roman" w:hAnsi="Times New Roman" w:cs="Times New Roman"/>
          <w:sz w:val="28"/>
          <w:szCs w:val="28"/>
        </w:rPr>
        <w:t xml:space="preserve"> </w:t>
      </w:r>
      <w:r w:rsidRPr="007F5722">
        <w:rPr>
          <w:rFonts w:ascii="Times New Roman" w:hAnsi="Times New Roman" w:cs="Times New Roman"/>
          <w:sz w:val="28"/>
          <w:szCs w:val="28"/>
        </w:rPr>
        <w:t xml:space="preserve">В та </w:t>
      </w:r>
      <w:r w:rsidR="00B346A0" w:rsidRPr="007F5722">
        <w:rPr>
          <w:rFonts w:ascii="Times New Roman" w:hAnsi="Times New Roman" w:cs="Times New Roman"/>
          <w:sz w:val="28"/>
          <w:szCs w:val="28"/>
        </w:rPr>
        <w:t>ХС не-ЛПВЩ, ХС ЛПНЩ</w:t>
      </w:r>
      <w:r w:rsidRPr="007F5722">
        <w:rPr>
          <w:rFonts w:ascii="Times New Roman" w:hAnsi="Times New Roman" w:cs="Times New Roman"/>
          <w:sz w:val="28"/>
          <w:szCs w:val="28"/>
        </w:rPr>
        <w:t xml:space="preserve"> та інших показників ліпідного обміну по відношенню до ризика ІХС шляхом вик</w:t>
      </w:r>
      <w:r w:rsidR="00B346A0" w:rsidRPr="007F5722">
        <w:rPr>
          <w:rFonts w:ascii="Times New Roman" w:hAnsi="Times New Roman" w:cs="Times New Roman"/>
          <w:sz w:val="28"/>
          <w:szCs w:val="28"/>
        </w:rPr>
        <w:t>онання дослідження</w:t>
      </w:r>
      <w:r w:rsidRPr="007F5722">
        <w:rPr>
          <w:rFonts w:ascii="Times New Roman" w:hAnsi="Times New Roman" w:cs="Times New Roman"/>
          <w:sz w:val="28"/>
          <w:szCs w:val="28"/>
        </w:rPr>
        <w:t xml:space="preserve"> "випадок-</w:t>
      </w:r>
      <w:r w:rsidR="00F11F27" w:rsidRPr="007F5722">
        <w:rPr>
          <w:rFonts w:ascii="Times New Roman" w:hAnsi="Times New Roman" w:cs="Times New Roman"/>
          <w:sz w:val="28"/>
          <w:szCs w:val="28"/>
        </w:rPr>
        <w:t xml:space="preserve">контроль" серед 18225 </w:t>
      </w:r>
      <w:r w:rsidRPr="007F5722">
        <w:rPr>
          <w:rFonts w:ascii="Times New Roman" w:hAnsi="Times New Roman" w:cs="Times New Roman"/>
          <w:sz w:val="28"/>
          <w:szCs w:val="28"/>
        </w:rPr>
        <w:t>учасників проекту Health Professionals Follow-up Study, що не мали серцево-судинної патології на початок дослідження. За 6 років спостереження у 266 учасників зареєс</w:t>
      </w:r>
      <w:r w:rsidR="00B346A0" w:rsidRPr="007F5722">
        <w:rPr>
          <w:rFonts w:ascii="Times New Roman" w:hAnsi="Times New Roman" w:cs="Times New Roman"/>
          <w:sz w:val="28"/>
          <w:szCs w:val="28"/>
        </w:rPr>
        <w:t>тровано розвиток нефатального інфаркту міокарду</w:t>
      </w:r>
      <w:r w:rsidRPr="007F5722">
        <w:rPr>
          <w:rFonts w:ascii="Times New Roman" w:hAnsi="Times New Roman" w:cs="Times New Roman"/>
          <w:sz w:val="28"/>
          <w:szCs w:val="28"/>
        </w:rPr>
        <w:t xml:space="preserve"> чи фатальна ІХС. Відносних ризик ІХС був вірогідно </w:t>
      </w:r>
      <w:r w:rsidRPr="007F5722">
        <w:rPr>
          <w:rFonts w:ascii="Times New Roman" w:hAnsi="Times New Roman" w:cs="Times New Roman"/>
          <w:sz w:val="28"/>
          <w:szCs w:val="28"/>
        </w:rPr>
        <w:lastRenderedPageBreak/>
        <w:t>вищим у осіб з максимальними рівнями ХС не-ЛПВЩ (205 и 114 мг/дл в пятій и першій квінтилі відповідно): відношення ризику 3.01. При по</w:t>
      </w:r>
      <w:r w:rsidR="00B346A0" w:rsidRPr="007F5722">
        <w:rPr>
          <w:rFonts w:ascii="Times New Roman" w:hAnsi="Times New Roman" w:cs="Times New Roman"/>
          <w:sz w:val="28"/>
          <w:szCs w:val="28"/>
        </w:rPr>
        <w:t>квінтильному порівнянні рівней А</w:t>
      </w:r>
      <w:r w:rsidRPr="007F5722">
        <w:rPr>
          <w:rFonts w:ascii="Times New Roman" w:hAnsi="Times New Roman" w:cs="Times New Roman"/>
          <w:sz w:val="28"/>
          <w:szCs w:val="28"/>
        </w:rPr>
        <w:t>по</w:t>
      </w:r>
      <w:r w:rsidR="00B346A0" w:rsidRPr="007F5722">
        <w:rPr>
          <w:rFonts w:ascii="Times New Roman" w:hAnsi="Times New Roman" w:cs="Times New Roman"/>
          <w:sz w:val="28"/>
          <w:szCs w:val="28"/>
        </w:rPr>
        <w:t xml:space="preserve"> </w:t>
      </w:r>
      <w:r w:rsidRPr="007F5722">
        <w:rPr>
          <w:rFonts w:ascii="Times New Roman" w:hAnsi="Times New Roman" w:cs="Times New Roman"/>
          <w:sz w:val="28"/>
          <w:szCs w:val="28"/>
        </w:rPr>
        <w:t>В (121 проти 66 мг/дл), ХС ЛПНЩ (168 проти 86 мг/дл), ХС ЛПВЩ (62 проти 32 мг/дл) були отримані відношення ризиків 1.81, 0.31 и 2.41, відповідно. При аналізі попр</w:t>
      </w:r>
      <w:r w:rsidR="00B346A0" w:rsidRPr="007F5722">
        <w:rPr>
          <w:rFonts w:ascii="Times New Roman" w:hAnsi="Times New Roman" w:cs="Times New Roman"/>
          <w:sz w:val="28"/>
          <w:szCs w:val="28"/>
        </w:rPr>
        <w:t>авок концентрацій ХС не-ЛПВЩ і А</w:t>
      </w:r>
      <w:r w:rsidRPr="007F5722">
        <w:rPr>
          <w:rFonts w:ascii="Times New Roman" w:hAnsi="Times New Roman" w:cs="Times New Roman"/>
          <w:sz w:val="28"/>
          <w:szCs w:val="28"/>
        </w:rPr>
        <w:t>по</w:t>
      </w:r>
      <w:r w:rsidR="00B346A0" w:rsidRPr="007F5722">
        <w:rPr>
          <w:rFonts w:ascii="Times New Roman" w:hAnsi="Times New Roman" w:cs="Times New Roman"/>
          <w:sz w:val="28"/>
          <w:szCs w:val="28"/>
        </w:rPr>
        <w:t xml:space="preserve"> В тільки рівень А</w:t>
      </w:r>
      <w:r w:rsidRPr="007F5722">
        <w:rPr>
          <w:rFonts w:ascii="Times New Roman" w:hAnsi="Times New Roman" w:cs="Times New Roman"/>
          <w:sz w:val="28"/>
          <w:szCs w:val="28"/>
        </w:rPr>
        <w:t>по</w:t>
      </w:r>
      <w:r w:rsidR="00B346A0" w:rsidRPr="007F5722">
        <w:rPr>
          <w:rFonts w:ascii="Times New Roman" w:hAnsi="Times New Roman" w:cs="Times New Roman"/>
          <w:sz w:val="28"/>
          <w:szCs w:val="28"/>
        </w:rPr>
        <w:t xml:space="preserve"> </w:t>
      </w:r>
      <w:r w:rsidRPr="007F5722">
        <w:rPr>
          <w:rFonts w:ascii="Times New Roman" w:hAnsi="Times New Roman" w:cs="Times New Roman"/>
          <w:sz w:val="28"/>
          <w:szCs w:val="28"/>
        </w:rPr>
        <w:t>В вірогідно значимо прогнозував ризик ІХС - відносний ризик</w:t>
      </w:r>
      <w:r w:rsidR="00B346A0" w:rsidRPr="007F5722">
        <w:rPr>
          <w:rFonts w:ascii="Times New Roman" w:hAnsi="Times New Roman" w:cs="Times New Roman"/>
          <w:sz w:val="28"/>
          <w:szCs w:val="28"/>
        </w:rPr>
        <w:t xml:space="preserve"> [</w:t>
      </w:r>
      <w:r w:rsidR="001D1755" w:rsidRPr="007F5722">
        <w:rPr>
          <w:rFonts w:ascii="Times New Roman" w:hAnsi="Times New Roman" w:cs="Times New Roman"/>
          <w:sz w:val="28"/>
          <w:szCs w:val="28"/>
        </w:rPr>
        <w:t>113</w:t>
      </w:r>
      <w:r w:rsidR="00B346A0" w:rsidRPr="007F5722">
        <w:rPr>
          <w:rFonts w:ascii="Times New Roman" w:hAnsi="Times New Roman" w:cs="Times New Roman"/>
          <w:sz w:val="28"/>
          <w:szCs w:val="28"/>
        </w:rPr>
        <w:t>].</w:t>
      </w:r>
      <w:r w:rsidRPr="007F5722">
        <w:rPr>
          <w:rFonts w:ascii="Times New Roman" w:hAnsi="Times New Roman" w:cs="Times New Roman"/>
          <w:sz w:val="28"/>
          <w:szCs w:val="28"/>
        </w:rPr>
        <w:t xml:space="preserve"> </w:t>
      </w:r>
    </w:p>
    <w:p w:rsidR="007D687A" w:rsidRPr="007F5722" w:rsidRDefault="007D687A" w:rsidP="007D687A">
      <w:pPr>
        <w:pStyle w:val="ac"/>
        <w:spacing w:before="0" w:beforeAutospacing="0" w:after="0" w:afterAutospacing="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Ряд публікацій демонструють, що встановлено вз</w:t>
      </w:r>
      <w:r w:rsidR="00B346A0" w:rsidRPr="007F5722">
        <w:rPr>
          <w:rFonts w:ascii="Times New Roman" w:hAnsi="Times New Roman" w:cs="Times New Roman"/>
          <w:sz w:val="28"/>
          <w:szCs w:val="28"/>
        </w:rPr>
        <w:t>аємозв’язок підвищення індексу А</w:t>
      </w:r>
      <w:r w:rsidRPr="007F5722">
        <w:rPr>
          <w:rFonts w:ascii="Times New Roman" w:hAnsi="Times New Roman" w:cs="Times New Roman"/>
          <w:sz w:val="28"/>
          <w:szCs w:val="28"/>
        </w:rPr>
        <w:t>поВ/</w:t>
      </w:r>
      <w:r w:rsidR="00B346A0" w:rsidRPr="007F5722">
        <w:rPr>
          <w:rFonts w:ascii="Times New Roman" w:hAnsi="Times New Roman" w:cs="Times New Roman"/>
          <w:sz w:val="28"/>
          <w:szCs w:val="28"/>
        </w:rPr>
        <w:t xml:space="preserve">АпоА1 </w:t>
      </w:r>
      <w:r w:rsidRPr="007F5722">
        <w:rPr>
          <w:rFonts w:ascii="Times New Roman" w:hAnsi="Times New Roman" w:cs="Times New Roman"/>
          <w:sz w:val="28"/>
          <w:szCs w:val="28"/>
        </w:rPr>
        <w:t xml:space="preserve">з іншими компонентами МС (АГ, дисліпідемія, гіперглікемія, ожиріння). Група дослідників на чолі з доктором Rachel Fisher (Karolinska Institute, Стокгольм, Швеція) проаналізували ліпідні профілі і метаболізм інсуліна у 2955 пацієнтів (дослідження  NHANES ). Встановлено, </w:t>
      </w:r>
      <w:r w:rsidR="00B346A0" w:rsidRPr="007F5722">
        <w:rPr>
          <w:rFonts w:ascii="Times New Roman" w:hAnsi="Times New Roman" w:cs="Times New Roman"/>
          <w:sz w:val="28"/>
          <w:szCs w:val="28"/>
        </w:rPr>
        <w:t>що у пацієнтів з ІР відношення АпоВ/А</w:t>
      </w:r>
      <w:r w:rsidRPr="007F5722">
        <w:rPr>
          <w:rFonts w:ascii="Times New Roman" w:hAnsi="Times New Roman" w:cs="Times New Roman"/>
          <w:sz w:val="28"/>
          <w:szCs w:val="28"/>
        </w:rPr>
        <w:t>поА1 було достовірно вищим у порівнянні з особами, які мали нормальні показники метаболізму інсу</w:t>
      </w:r>
      <w:r w:rsidR="00B346A0" w:rsidRPr="007F5722">
        <w:rPr>
          <w:rFonts w:ascii="Times New Roman" w:hAnsi="Times New Roman" w:cs="Times New Roman"/>
          <w:sz w:val="28"/>
          <w:szCs w:val="28"/>
        </w:rPr>
        <w:t>ліна (0,85 и 0,69 відповідно). Ш</w:t>
      </w:r>
      <w:r w:rsidRPr="007F5722">
        <w:rPr>
          <w:rFonts w:ascii="Times New Roman" w:hAnsi="Times New Roman" w:cs="Times New Roman"/>
          <w:sz w:val="28"/>
          <w:szCs w:val="28"/>
        </w:rPr>
        <w:t>ведсь</w:t>
      </w:r>
      <w:r w:rsidR="00B346A0" w:rsidRPr="007F5722">
        <w:rPr>
          <w:rFonts w:ascii="Times New Roman" w:hAnsi="Times New Roman" w:cs="Times New Roman"/>
          <w:sz w:val="28"/>
          <w:szCs w:val="28"/>
        </w:rPr>
        <w:t>кі вчені довели, що відношення АпоВ/А</w:t>
      </w:r>
      <w:r w:rsidRPr="007F5722">
        <w:rPr>
          <w:rFonts w:ascii="Times New Roman" w:hAnsi="Times New Roman" w:cs="Times New Roman"/>
          <w:sz w:val="28"/>
          <w:szCs w:val="28"/>
        </w:rPr>
        <w:t>поА1 є вірогідним та незалежним пре диктором розвитку ІР у осіб без цукрового діабету</w:t>
      </w:r>
      <w:r w:rsidR="00B346A0" w:rsidRPr="007F5722">
        <w:rPr>
          <w:rFonts w:ascii="Times New Roman" w:hAnsi="Times New Roman" w:cs="Times New Roman"/>
          <w:sz w:val="28"/>
          <w:szCs w:val="28"/>
        </w:rPr>
        <w:t xml:space="preserve"> [</w:t>
      </w:r>
      <w:r w:rsidR="001D1755" w:rsidRPr="007F5722">
        <w:rPr>
          <w:rFonts w:ascii="Times New Roman" w:hAnsi="Times New Roman" w:cs="Times New Roman"/>
          <w:sz w:val="28"/>
          <w:szCs w:val="28"/>
        </w:rPr>
        <w:t>114</w:t>
      </w:r>
      <w:r w:rsidR="001D1755" w:rsidRPr="007F5722">
        <w:rPr>
          <w:rFonts w:ascii="Times New Roman" w:hAnsi="Times New Roman" w:cs="Times New Roman"/>
          <w:sz w:val="28"/>
          <w:szCs w:val="28"/>
          <w:lang w:val="ru-RU"/>
        </w:rPr>
        <w:t>, 115</w:t>
      </w:r>
      <w:r w:rsidR="00B346A0" w:rsidRPr="007F5722">
        <w:rPr>
          <w:rFonts w:ascii="Times New Roman" w:hAnsi="Times New Roman" w:cs="Times New Roman"/>
          <w:sz w:val="28"/>
          <w:szCs w:val="28"/>
        </w:rPr>
        <w:t>]</w:t>
      </w:r>
      <w:r w:rsidRPr="007F5722">
        <w:rPr>
          <w:rFonts w:ascii="Times New Roman" w:hAnsi="Times New Roman" w:cs="Times New Roman"/>
          <w:sz w:val="28"/>
          <w:szCs w:val="28"/>
        </w:rPr>
        <w:t>.</w:t>
      </w:r>
      <w:r w:rsidR="009B58CF" w:rsidRPr="007F5722">
        <w:rPr>
          <w:rFonts w:ascii="Times New Roman" w:hAnsi="Times New Roman" w:cs="Times New Roman"/>
          <w:sz w:val="28"/>
          <w:szCs w:val="28"/>
        </w:rPr>
        <w:t xml:space="preserve"> Однак </w:t>
      </w:r>
      <w:r w:rsidR="00215FF9" w:rsidRPr="007F5722">
        <w:rPr>
          <w:rFonts w:ascii="Times New Roman" w:hAnsi="Times New Roman" w:cs="Times New Roman"/>
          <w:sz w:val="28"/>
          <w:szCs w:val="28"/>
        </w:rPr>
        <w:t xml:space="preserve">прогностичне значення і доцільність визначення рівнів аполіпопротеїнів в </w:t>
      </w:r>
      <w:r w:rsidR="00796EC3">
        <w:rPr>
          <w:rFonts w:ascii="Times New Roman" w:hAnsi="Times New Roman" w:cs="Times New Roman"/>
          <w:sz w:val="28"/>
          <w:szCs w:val="28"/>
        </w:rPr>
        <w:t>плазмі</w:t>
      </w:r>
      <w:r w:rsidR="00215FF9" w:rsidRPr="007F5722">
        <w:rPr>
          <w:rFonts w:ascii="Times New Roman" w:hAnsi="Times New Roman" w:cs="Times New Roman"/>
          <w:sz w:val="28"/>
          <w:szCs w:val="28"/>
        </w:rPr>
        <w:t xml:space="preserve"> крові в рутинній практиці, а також проведення дослідження ліпідного профілю крові після жирового навантаження, потребує подальшого обґрунтування більшими клінічними дослідженнями.</w:t>
      </w:r>
    </w:p>
    <w:p w:rsidR="00215FF9" w:rsidRPr="007F5722" w:rsidRDefault="00215FF9" w:rsidP="00B346A0">
      <w:pPr>
        <w:shd w:val="clear" w:color="auto" w:fill="FFFFFF"/>
        <w:spacing w:after="0" w:line="360" w:lineRule="auto"/>
        <w:jc w:val="both"/>
        <w:rPr>
          <w:rFonts w:ascii="Times New Roman" w:eastAsia="Times New Roman" w:hAnsi="Times New Roman" w:cs="Times New Roman"/>
          <w:color w:val="000000"/>
          <w:sz w:val="28"/>
          <w:szCs w:val="28"/>
        </w:rPr>
        <w:sectPr w:rsidR="00215FF9" w:rsidRPr="007F5722" w:rsidSect="007C0B93">
          <w:pgSz w:w="11906" w:h="16838"/>
          <w:pgMar w:top="1134" w:right="850" w:bottom="1134" w:left="1701" w:header="708" w:footer="708" w:gutter="0"/>
          <w:cols w:space="708"/>
          <w:docGrid w:linePitch="360"/>
        </w:sectPr>
      </w:pPr>
    </w:p>
    <w:p w:rsidR="00E9787A" w:rsidRPr="002C2A82" w:rsidRDefault="00E9787A" w:rsidP="002C2A82">
      <w:pPr>
        <w:jc w:val="center"/>
        <w:rPr>
          <w:rFonts w:ascii="Times New Roman" w:hAnsi="Times New Roman" w:cs="Times New Roman"/>
          <w:b/>
          <w:bCs/>
          <w:sz w:val="28"/>
          <w:szCs w:val="28"/>
        </w:rPr>
      </w:pPr>
      <w:r w:rsidRPr="007F5722">
        <w:rPr>
          <w:rFonts w:ascii="Times New Roman" w:hAnsi="Times New Roman" w:cs="Times New Roman"/>
          <w:b/>
          <w:bCs/>
          <w:sz w:val="28"/>
          <w:szCs w:val="28"/>
        </w:rPr>
        <w:lastRenderedPageBreak/>
        <w:t>1.3 Роль цитокінів у структурно-функціональній перебудові серця та судин при гіпертонічній хвор</w:t>
      </w:r>
      <w:r w:rsidR="002C2A82">
        <w:rPr>
          <w:rFonts w:ascii="Times New Roman" w:hAnsi="Times New Roman" w:cs="Times New Roman"/>
          <w:b/>
          <w:bCs/>
          <w:sz w:val="28"/>
          <w:szCs w:val="28"/>
        </w:rPr>
        <w:t>обі, що асоційована з ожирінням</w:t>
      </w:r>
    </w:p>
    <w:p w:rsidR="00E9787A" w:rsidRPr="007F5722" w:rsidRDefault="00E9787A" w:rsidP="00E9787A">
      <w:pPr>
        <w:spacing w:after="0" w:line="360" w:lineRule="auto"/>
        <w:jc w:val="both"/>
        <w:rPr>
          <w:rFonts w:ascii="Times New Roman" w:hAnsi="Times New Roman" w:cs="Times New Roman"/>
          <w:sz w:val="28"/>
          <w:szCs w:val="28"/>
        </w:rPr>
      </w:pPr>
      <w:r w:rsidRPr="007F5722">
        <w:rPr>
          <w:rFonts w:ascii="Times New Roman" w:hAnsi="Times New Roman" w:cs="Times New Roman"/>
          <w:sz w:val="28"/>
          <w:szCs w:val="28"/>
        </w:rPr>
        <w:tab/>
        <w:t>Гіпертонічна хвороба пов’язана чи може бути причиною гіпертрофії міокарду лівого шлуночка (ГМЛШ) або лівошлуночкової систолічної та діастолічної дисфункції та їх клінічними маніфестаціями, такими як кардіальні аритмії та серцева недостатність [116,117]. Класична точка зору на ці процеси полягає в тому, що в умовах перевантаження тиском, що притаманно системній гіпертензії, лівий шлуночок підлягає інтенсивному росту, що призводить до формування ГМЛШ і це вважається спробою підтримати серцевий викид, незважаючи на постійно зростаюче після навантаження, яке викликане системною гіпертензією [118].</w:t>
      </w:r>
    </w:p>
    <w:p w:rsidR="00E9787A" w:rsidRPr="007F5722" w:rsidRDefault="00E9787A" w:rsidP="00E9787A">
      <w:pPr>
        <w:spacing w:after="0" w:line="360" w:lineRule="auto"/>
        <w:jc w:val="both"/>
        <w:rPr>
          <w:rFonts w:ascii="Times New Roman" w:hAnsi="Times New Roman" w:cs="Times New Roman"/>
          <w:sz w:val="28"/>
          <w:szCs w:val="28"/>
        </w:rPr>
      </w:pPr>
      <w:r w:rsidRPr="007F5722">
        <w:rPr>
          <w:rFonts w:ascii="Times New Roman" w:hAnsi="Times New Roman" w:cs="Times New Roman"/>
          <w:sz w:val="28"/>
          <w:szCs w:val="28"/>
        </w:rPr>
        <w:tab/>
        <w:t>Однак, дані клінічних та епідеміологічних спостережень свідчать про те, що не у всіх пацієнтів на ГХ в наявності є клінічно визначена ГМЛШ, що слугувало причиною виникнення припущення стосовно того, що тривалий гемодинамічний стрес у комбінації з впливом іншими факторами, які включать такі коморбідності, як ожиріння, цукровий діабет, хронічні захворювання нирок, стать, вік, фактори зовнішнього середовища та генетичні фактори сумісно призводять до гіпертрофії та дисфункції міокарду ЛШ і як логічний фінал – до формування серцевої недостатності .</w:t>
      </w:r>
    </w:p>
    <w:p w:rsidR="00E9787A" w:rsidRPr="007F5722" w:rsidRDefault="00E9787A" w:rsidP="00E9787A">
      <w:pPr>
        <w:spacing w:after="0" w:line="360" w:lineRule="auto"/>
        <w:jc w:val="both"/>
        <w:rPr>
          <w:rFonts w:ascii="Times New Roman" w:hAnsi="Times New Roman" w:cs="Times New Roman"/>
          <w:sz w:val="28"/>
          <w:szCs w:val="28"/>
        </w:rPr>
      </w:pPr>
      <w:r w:rsidRPr="007F5722">
        <w:rPr>
          <w:rFonts w:ascii="Times New Roman" w:hAnsi="Times New Roman" w:cs="Times New Roman"/>
          <w:sz w:val="28"/>
          <w:szCs w:val="28"/>
        </w:rPr>
        <w:tab/>
        <w:t>Результатом несприятливих змін структури і функції міокарду є формування його ремоделювання. Ремоделювання міокарду – це комплексний процес рухомий відповіддю кардіоміоцитів, інших резидентних клітин міокарду (фібробласти, ендотеліальні клітини, імунні клітини), клітин з кровотоку на різноманітні динамічні стимули, що включають механічні та не механічні стимули, що присутні при кардіальному ушкодженні [119,120]. Як наслідок, розвиваються взаємопов’язані зміни об’єму, складу та біофізіології кардіоміоцитів, інтерстиціального простору, коронарних мікросудин, що вносять згубний внесок як в кардіальну функцію, так і в клінічний результат захворювання [120, 121]</w:t>
      </w:r>
      <w:r w:rsidR="004A0572" w:rsidRPr="007F5722">
        <w:rPr>
          <w:rFonts w:ascii="Times New Roman" w:hAnsi="Times New Roman" w:cs="Times New Roman"/>
          <w:sz w:val="28"/>
          <w:szCs w:val="28"/>
        </w:rPr>
        <w:t>.</w:t>
      </w:r>
    </w:p>
    <w:p w:rsidR="00E9787A" w:rsidRPr="007F5722" w:rsidRDefault="00E9787A" w:rsidP="00E9787A">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lastRenderedPageBreak/>
        <w:t>Патофізіологічний континуум ремоделювання гіпертензивного серця за фактор ініціації має стійке підвищення рівня артеріального тиску, що розпочинає субклінічну фазу. Серед сприяючих факторів виділяють генетичні, вікові та коморбідності. Прогресивний процес міокардіального ремоделювання, а саме: гіпертрофія кардіоміоцитів, фіброз кардіоміоцитів, інтерстиціальний фіброз, інтерстиціальне запалення, потовщення стінок артеріол і зниження капіляризації, маніфестується вже як клінічне захворювання у гіпертензивних пацієнтів. Основні клінічні маніфестації це: гіпертрофія та дисфункція міокарду лівого шлуночка, серцева недостатність, аритмії та знижений резерв коронарного кровотоку, які розглядаються як клінічна фаза підвищують ризик госпіталізацій, серцево-судинної смерті та раптової смерті у пацієнтів хворих на ГХ [122]</w:t>
      </w:r>
      <w:r w:rsidR="004A0572" w:rsidRPr="007F5722">
        <w:rPr>
          <w:rFonts w:ascii="Times New Roman" w:hAnsi="Times New Roman" w:cs="Times New Roman"/>
          <w:sz w:val="28"/>
          <w:szCs w:val="28"/>
        </w:rPr>
        <w:t>.</w:t>
      </w:r>
    </w:p>
    <w:p w:rsidR="00E9787A" w:rsidRPr="007F5722" w:rsidRDefault="00E9787A" w:rsidP="00E9787A">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 xml:space="preserve">Гіпертрофія кардіоміоцитів є первинною відповіддю, завдяки якій серце знижує стрес на стінку ЛШ, який спричинений перевантаженням тиском. Стимуляція інтрацелюлярних сигнальних каскадів активує експресію генів й впливає на синтез протеїнів, стабільність протеїнів або на обидва процеси, що в подальшому призводить до збільшення вмісту та розмірів протеїнів та організації саркомерів, що в свою чергу є причиною збільшення розмірів кардіоміоцитів. Слід зазначити, що у більшості випадків, але не у всіх, магнитуда росту кардіоміоцитів буде визначати зростання маси ЛШ і відповідно розвиток його гіпертрофії. Більш того, існують ще зміни в саркомерних протеїнах, що регулюють пасивну жорсткість кардіоміоцитів [123-125]. Серед локальних гуморальних механізмів, активація яких відбувається в умовах перевантаження тиском, виділяють такі нейрогормони як катехоламін та ангіотензин </w:t>
      </w:r>
      <w:r w:rsidRPr="007F5722">
        <w:rPr>
          <w:rFonts w:ascii="Times New Roman" w:hAnsi="Times New Roman" w:cs="Times New Roman"/>
          <w:sz w:val="28"/>
          <w:szCs w:val="28"/>
          <w:lang w:val="en-US"/>
        </w:rPr>
        <w:t>II</w:t>
      </w:r>
      <w:r w:rsidRPr="007F5722">
        <w:rPr>
          <w:rFonts w:ascii="Times New Roman" w:hAnsi="Times New Roman" w:cs="Times New Roman"/>
          <w:sz w:val="28"/>
          <w:szCs w:val="28"/>
        </w:rPr>
        <w:t xml:space="preserve">, а також фактори росту та цитокіни, які продукуються фібробластами, судинними клітинами та клітинами крові та які також відіграють визначальну роль в активації експресії генів та промотують гіпертрофію кардіоміоцитів через специфічні мембранні рецептори [126]. </w:t>
      </w:r>
    </w:p>
    <w:p w:rsidR="00E9787A" w:rsidRPr="007F5722" w:rsidRDefault="00E9787A" w:rsidP="00E9787A">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 xml:space="preserve">Гіпертрофічна відповідь кардіоміоцитів на стійке та тривале перевантаження тиском може бути пов’язана з їх смертю, тобто з апоптозом. </w:t>
      </w:r>
      <w:r w:rsidRPr="007F5722">
        <w:rPr>
          <w:rFonts w:ascii="Times New Roman" w:hAnsi="Times New Roman" w:cs="Times New Roman"/>
          <w:sz w:val="28"/>
          <w:szCs w:val="28"/>
        </w:rPr>
        <w:lastRenderedPageBreak/>
        <w:t xml:space="preserve">Дизрегуляція синтезу/обробки протеїнів під час гіпертрофічного процесу у ендоплазматичному ретикулюмі в результаті комплексних взаємодій індукує запуск апоптотичного каскаду. Апоптоз кардіоміоцитів здатен спричинювати розвиток дисфункції міокарду ЛШ чи серцевої недостатності у гіпертензивному міокарді трьома різними шляхами як припускають деякі дослідники на підставі результатів проведених досліджень. </w:t>
      </w:r>
    </w:p>
    <w:p w:rsidR="00E9787A" w:rsidRPr="007F5722" w:rsidRDefault="00E9787A" w:rsidP="00E9787A">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 xml:space="preserve">Перший шлях: втрата кардіоміоцитів в результаті апоптозу паралельно погіршує систолічну функцію у експериментальних моделях гіпертензивних щурів </w:t>
      </w:r>
      <w:r w:rsidRPr="007F5722">
        <w:rPr>
          <w:rFonts w:ascii="Times New Roman" w:hAnsi="Times New Roman" w:cs="Times New Roman"/>
          <w:sz w:val="28"/>
          <w:szCs w:val="28"/>
          <w:lang w:val="ru-RU"/>
        </w:rPr>
        <w:t>[127].</w:t>
      </w:r>
      <w:r w:rsidRPr="007F5722">
        <w:rPr>
          <w:rFonts w:ascii="Times New Roman" w:hAnsi="Times New Roman" w:cs="Times New Roman"/>
          <w:sz w:val="28"/>
          <w:szCs w:val="28"/>
        </w:rPr>
        <w:t xml:space="preserve"> Дослідники розцінили ці дані, як підтвердження того, що апоптоз може бути одним з механізмів, що залучено до втрати контрактильних елементів та погіршення функції міок</w:t>
      </w:r>
      <w:r w:rsidR="004A0572" w:rsidRPr="007F5722">
        <w:rPr>
          <w:rFonts w:ascii="Times New Roman" w:hAnsi="Times New Roman" w:cs="Times New Roman"/>
          <w:sz w:val="28"/>
          <w:szCs w:val="28"/>
        </w:rPr>
        <w:t>арду при гіпертонічній хворобі.</w:t>
      </w:r>
    </w:p>
    <w:p w:rsidR="00E9787A" w:rsidRPr="007F5722" w:rsidRDefault="00E9787A" w:rsidP="00E9787A">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Другий шлях полягає к тому, що деякі механізми, що активуються під час апоптотичного процесу можуть також погіршувати функцію життєспроможних кардіоміоцитів ще до настання їх апоптотичної загибелі [128]. До цих механізмів залучено активацію Каспаз-3, викид цитохрому С з мітохондрій, що порушує оксидативну фосфорилізацію, тощо, що в комплексі викликає енергетичні та функціональні порушення.</w:t>
      </w:r>
    </w:p>
    <w:p w:rsidR="00E9787A" w:rsidRPr="007F5722" w:rsidRDefault="00E9787A" w:rsidP="00E9787A">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Третій шлях: в додаток до гістологічного ремоделювання, апоптотична загибель кардіоміоцитів може також призводити до геометричного ремоделювання ЛШ. Фактично у випадку залучення значної кількості кардіоміоцитів до запуску апопточної смерті, відбуваються зміни на клітинному рівні та потоншення стінок й дилатація порожнини ЛШ. І тому, реструктиризація, яка є вторинною по відношенню до значного апоптозу кардіоміоцитів, викликає з часом незворотні зміни в міокарді , прогресивну дилатацію та погіршення ге</w:t>
      </w:r>
      <w:r w:rsidR="004A0572" w:rsidRPr="007F5722">
        <w:rPr>
          <w:rFonts w:ascii="Times New Roman" w:hAnsi="Times New Roman" w:cs="Times New Roman"/>
          <w:sz w:val="28"/>
          <w:szCs w:val="28"/>
        </w:rPr>
        <w:t>модинаміки та перформанса ЛШ.</w:t>
      </w:r>
    </w:p>
    <w:p w:rsidR="00E9787A" w:rsidRPr="007F5722" w:rsidRDefault="00E9787A" w:rsidP="00E9787A">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 xml:space="preserve">Дослідження останніх років свідчать про те, що не тільки наявність гіпертензії є пусковим механізмом структурно-функціональних змін міокарду. Драматичне зростання розповсюдженості ожиріння та його потужна асоціація з ССЗ є причиною безпрецедентною інтересу до розуміння ефектів ожиріння на ССС, в тому числі це стосується механізмів, що пов’язують ожиріння та </w:t>
      </w:r>
      <w:r w:rsidRPr="007F5722">
        <w:rPr>
          <w:rFonts w:ascii="Times New Roman" w:hAnsi="Times New Roman" w:cs="Times New Roman"/>
          <w:sz w:val="28"/>
          <w:szCs w:val="28"/>
        </w:rPr>
        <w:lastRenderedPageBreak/>
        <w:t>різноманітні аспекти ремоделювання міокарду Чисельні докази свідчать про те, що ожиріння асоціюється зі структурно-функціональними змінами міокарду як людини, так і в моделях тварин. Вважається що більшість цих змін, таких як ГМЛШ, збільшення лівого передсердя, субклінічне ураження діастолічної та систолічної функції ЛШ, є прекурсорами переходу кардіальної дисфункцї до серцевої недостатності. [129]</w:t>
      </w:r>
      <w:r w:rsidR="004A0572" w:rsidRPr="007F5722">
        <w:rPr>
          <w:rFonts w:ascii="Times New Roman" w:hAnsi="Times New Roman" w:cs="Times New Roman"/>
          <w:sz w:val="28"/>
          <w:szCs w:val="28"/>
        </w:rPr>
        <w:t>.</w:t>
      </w:r>
    </w:p>
    <w:p w:rsidR="00E9787A" w:rsidRPr="007F5722" w:rsidRDefault="00E9787A" w:rsidP="00E9787A">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Багаточисельні експериментальні дослідження моделей тварин було присвячено визначенню механізмів, завдяки яким ожиріння може спричинювати кардіальне ушкодження та дисфункцію. Але необхідно зазначити, що неможливим є механічний перенос результатів, що отримано в експерименті на тваринах, на пояснення впливу наявності ожиріння на формування кардіальних змін у людини. Складно порівнювати подібні ситуації у експериментальних тварин та у людини ще й тому, що ожиріння часто асоціюється з порушенням толерантності до глюкози, цукровим діабетом та гіпертензією [130, 131].</w:t>
      </w:r>
    </w:p>
    <w:p w:rsidR="00E9787A" w:rsidRPr="007F5722" w:rsidRDefault="00E9787A" w:rsidP="00E9787A">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Слід зазначити, що більшість досліджень було виконано на гризунах: це щури з генералізованим ожирінням чи трансгенні миші з таргетною мутацією кардіоміоцитів. Експериментальні моделі тварин з генералізованим ожирінням були двох типів: генетичні мутації як результат ожиріння та ожиріння, яке було спричинено дієтою з високим вмістом жирів. Інтерпретація внеску маніпуляцій дієтою на структуру та функцію серця у моделях тварин здійснюва</w:t>
      </w:r>
      <w:r w:rsidR="006F5888" w:rsidRPr="007F5722">
        <w:rPr>
          <w:rFonts w:ascii="Times New Roman" w:hAnsi="Times New Roman" w:cs="Times New Roman"/>
          <w:sz w:val="28"/>
          <w:szCs w:val="28"/>
        </w:rPr>
        <w:t>лася за рахунок</w:t>
      </w:r>
      <w:r w:rsidRPr="007F5722">
        <w:rPr>
          <w:rFonts w:ascii="Times New Roman" w:hAnsi="Times New Roman" w:cs="Times New Roman"/>
          <w:sz w:val="28"/>
          <w:szCs w:val="28"/>
        </w:rPr>
        <w:t xml:space="preserve"> різниці складу ліпідів в дієті, таких як сатуровані проти несатурованих жирів та незалежно від того, дієти з високим вмістом жирів є ізокалорійними або сприяють ожирінню. Так наприклад, отримано результати, що ізокалорійна дієта дієти з високим вмістом жирів, яка асоціювалася зі зниження рівню інсуліну та лептину зменшувала гіпертрофію ЛШ та мінімізувала ремоделювання ЛШ у щурів з інфарктом [132-134]. В протилежність цьому, годування щурів дієтою з високим вмістом жирів призводило до розвитку інсулінорезистентності та ожиріння та асоціювалося </w:t>
      </w:r>
      <w:r w:rsidRPr="007F5722">
        <w:rPr>
          <w:rFonts w:ascii="Times New Roman" w:hAnsi="Times New Roman" w:cs="Times New Roman"/>
          <w:sz w:val="28"/>
          <w:szCs w:val="28"/>
        </w:rPr>
        <w:lastRenderedPageBreak/>
        <w:t xml:space="preserve">з формуванням дисфункції ЛШ у більшості [135-137], але не у всіх дослідженнях [138]. </w:t>
      </w:r>
    </w:p>
    <w:p w:rsidR="00E9787A" w:rsidRPr="007F5722" w:rsidRDefault="00E9787A" w:rsidP="00E9787A">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За висновками багатьох досліджень ожиріння є незалежною причиною гіпертрофії міокарду у людини [139</w:t>
      </w:r>
      <w:r w:rsidRPr="007F5722">
        <w:rPr>
          <w:rFonts w:ascii="Times New Roman" w:hAnsi="Times New Roman" w:cs="Times New Roman"/>
          <w:sz w:val="28"/>
          <w:szCs w:val="28"/>
          <w:lang w:val="ru-RU"/>
        </w:rPr>
        <w:t>-</w:t>
      </w:r>
      <w:r w:rsidRPr="007F5722">
        <w:rPr>
          <w:rFonts w:ascii="Times New Roman" w:hAnsi="Times New Roman" w:cs="Times New Roman"/>
          <w:sz w:val="28"/>
          <w:szCs w:val="28"/>
        </w:rPr>
        <w:t>14</w:t>
      </w:r>
      <w:r w:rsidRPr="007F5722">
        <w:rPr>
          <w:rFonts w:ascii="Times New Roman" w:hAnsi="Times New Roman" w:cs="Times New Roman"/>
          <w:sz w:val="28"/>
          <w:szCs w:val="28"/>
          <w:lang w:val="ru-RU"/>
        </w:rPr>
        <w:t>2</w:t>
      </w:r>
      <w:r w:rsidRPr="007F5722">
        <w:rPr>
          <w:rFonts w:ascii="Times New Roman" w:hAnsi="Times New Roman" w:cs="Times New Roman"/>
          <w:sz w:val="28"/>
          <w:szCs w:val="28"/>
        </w:rPr>
        <w:t xml:space="preserve">]. У декількох дослідженнях показано що маса ЛШ може збільшуватися при ожирінні відповідно до розміру тіла у випадку якщо ожиріння не обтяжено коморбідною патологією, такою, як гіпертензія, цукровий діабет, ішемічна хвороба серця, тощо [143,144]. </w:t>
      </w:r>
    </w:p>
    <w:p w:rsidR="00E9787A" w:rsidRPr="007F5722" w:rsidRDefault="00E9787A" w:rsidP="00E9787A">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Існують дещо суперечливі дані щодо ступеня гіпертрофії та особливо геометричних ознак ЛШ. більш ранні дослідження на відносно невеликій кількості пацієнтів показали у осіб з ожирінням переважно дилатацію камер серця [145,146]. Пізніше було припущено, що цей дилатаційний фенотип скоріш за все є результатом коморбідних станів, а не прямим результатом ожиріння [14</w:t>
      </w:r>
      <w:r w:rsidRPr="007F5722">
        <w:rPr>
          <w:rFonts w:ascii="Times New Roman" w:hAnsi="Times New Roman" w:cs="Times New Roman"/>
          <w:sz w:val="28"/>
          <w:szCs w:val="28"/>
          <w:lang w:val="ru-RU"/>
        </w:rPr>
        <w:t>3</w:t>
      </w:r>
      <w:r w:rsidRPr="007F5722">
        <w:rPr>
          <w:rFonts w:ascii="Times New Roman" w:hAnsi="Times New Roman" w:cs="Times New Roman"/>
          <w:sz w:val="28"/>
          <w:szCs w:val="28"/>
        </w:rPr>
        <w:t>,1</w:t>
      </w:r>
      <w:r w:rsidRPr="007F5722">
        <w:rPr>
          <w:rFonts w:ascii="Times New Roman" w:hAnsi="Times New Roman" w:cs="Times New Roman"/>
          <w:sz w:val="28"/>
          <w:szCs w:val="28"/>
          <w:lang w:val="ru-RU"/>
        </w:rPr>
        <w:t>44</w:t>
      </w:r>
      <w:r w:rsidRPr="007F5722">
        <w:rPr>
          <w:rFonts w:ascii="Times New Roman" w:hAnsi="Times New Roman" w:cs="Times New Roman"/>
          <w:sz w:val="28"/>
          <w:szCs w:val="28"/>
        </w:rPr>
        <w:t>]. В подальшому у низці проспективних досліджень більшої когорти пацієнти від молодого до похилого віку з ожирінням не мали ознак органічних захворювань ССС [1</w:t>
      </w:r>
      <w:r w:rsidRPr="007F5722">
        <w:rPr>
          <w:rFonts w:ascii="Times New Roman" w:hAnsi="Times New Roman" w:cs="Times New Roman"/>
          <w:sz w:val="28"/>
          <w:szCs w:val="28"/>
          <w:lang w:val="ru-RU"/>
        </w:rPr>
        <w:t>3</w:t>
      </w:r>
      <w:r w:rsidRPr="007F5722">
        <w:rPr>
          <w:rFonts w:ascii="Times New Roman" w:hAnsi="Times New Roman" w:cs="Times New Roman"/>
          <w:sz w:val="28"/>
          <w:szCs w:val="28"/>
        </w:rPr>
        <w:t>9, 1</w:t>
      </w:r>
      <w:r w:rsidRPr="007F5722">
        <w:rPr>
          <w:rFonts w:ascii="Times New Roman" w:hAnsi="Times New Roman" w:cs="Times New Roman"/>
          <w:sz w:val="28"/>
          <w:szCs w:val="28"/>
          <w:lang w:val="ru-RU"/>
        </w:rPr>
        <w:t>43</w:t>
      </w:r>
      <w:r w:rsidRPr="007F5722">
        <w:rPr>
          <w:rFonts w:ascii="Times New Roman" w:hAnsi="Times New Roman" w:cs="Times New Roman"/>
          <w:sz w:val="28"/>
          <w:szCs w:val="28"/>
        </w:rPr>
        <w:t>,</w:t>
      </w:r>
      <w:r w:rsidRPr="007F5722">
        <w:rPr>
          <w:rFonts w:ascii="Times New Roman" w:hAnsi="Times New Roman" w:cs="Times New Roman"/>
          <w:sz w:val="28"/>
          <w:szCs w:val="28"/>
          <w:lang w:val="ru-RU"/>
        </w:rPr>
        <w:t xml:space="preserve"> </w:t>
      </w:r>
      <w:r w:rsidRPr="007F5722">
        <w:rPr>
          <w:rFonts w:ascii="Times New Roman" w:hAnsi="Times New Roman" w:cs="Times New Roman"/>
          <w:sz w:val="28"/>
          <w:szCs w:val="28"/>
        </w:rPr>
        <w:t>1</w:t>
      </w:r>
      <w:r w:rsidRPr="007F5722">
        <w:rPr>
          <w:rFonts w:ascii="Times New Roman" w:hAnsi="Times New Roman" w:cs="Times New Roman"/>
          <w:sz w:val="28"/>
          <w:szCs w:val="28"/>
          <w:lang w:val="ru-RU"/>
        </w:rPr>
        <w:t>44</w:t>
      </w:r>
      <w:r w:rsidRPr="007F5722">
        <w:rPr>
          <w:rFonts w:ascii="Times New Roman" w:hAnsi="Times New Roman" w:cs="Times New Roman"/>
          <w:sz w:val="28"/>
          <w:szCs w:val="28"/>
        </w:rPr>
        <w:t>, 1</w:t>
      </w:r>
      <w:r w:rsidRPr="007F5722">
        <w:rPr>
          <w:rFonts w:ascii="Times New Roman" w:hAnsi="Times New Roman" w:cs="Times New Roman"/>
          <w:sz w:val="28"/>
          <w:szCs w:val="28"/>
          <w:lang w:val="ru-RU"/>
        </w:rPr>
        <w:t>47</w:t>
      </w:r>
      <w:r w:rsidRPr="007F5722">
        <w:rPr>
          <w:rFonts w:ascii="Times New Roman" w:hAnsi="Times New Roman" w:cs="Times New Roman"/>
          <w:sz w:val="28"/>
          <w:szCs w:val="28"/>
        </w:rPr>
        <w:t xml:space="preserve">]. У всіх цих дослідженнях було використано неінвазивні методи візуалізації такі, як ультразвукове дослідження, радіонуклідні дослідження чи МРТ для оцінки кардіальних розмірів, геометрії та функції. </w:t>
      </w:r>
    </w:p>
    <w:p w:rsidR="00E9787A" w:rsidRPr="007F5722" w:rsidRDefault="006F1A4C" w:rsidP="00E9787A">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Останні дані підтвердил</w:t>
      </w:r>
      <w:r w:rsidR="00E9787A" w:rsidRPr="007F5722">
        <w:rPr>
          <w:rFonts w:ascii="Times New Roman" w:hAnsi="Times New Roman" w:cs="Times New Roman"/>
          <w:sz w:val="28"/>
          <w:szCs w:val="28"/>
        </w:rPr>
        <w:t>и наявність гіпертрофії ЛШ у переважної кількості пацієнтів з ожирінням. В додаток до цього ці результати свідчили про те, що як розмір порожнини ЛШ, так і товщина стінки є більшими у пацієнтів з ожирінням порівняно з особами відповідного віку з нормальною масою тіла [139, 140, 142-144, 147,148]</w:t>
      </w:r>
      <w:r w:rsidR="004A0572" w:rsidRPr="007F5722">
        <w:rPr>
          <w:rFonts w:ascii="Times New Roman" w:hAnsi="Times New Roman" w:cs="Times New Roman"/>
          <w:sz w:val="28"/>
          <w:szCs w:val="28"/>
        </w:rPr>
        <w:t>.</w:t>
      </w:r>
    </w:p>
    <w:p w:rsidR="00E9787A" w:rsidRPr="007F5722" w:rsidRDefault="00E9787A" w:rsidP="00E9787A">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Нещодавні дослідження досить чітко показали, що системне запалення та імунітет є центральними драйверами в ушкодженні органів-мішеней, що індуковані гіпертензією [149-151]. Наразі існують експериментальні докази, що підтверджують суттєве залучення запального компоненту у моделях тв</w:t>
      </w:r>
      <w:r w:rsidR="006F1A4C" w:rsidRPr="007F5722">
        <w:rPr>
          <w:rFonts w:ascii="Times New Roman" w:hAnsi="Times New Roman" w:cs="Times New Roman"/>
          <w:sz w:val="28"/>
          <w:szCs w:val="28"/>
        </w:rPr>
        <w:t>арин з гіпертензивним ураженням</w:t>
      </w:r>
      <w:r w:rsidRPr="007F5722">
        <w:rPr>
          <w:rFonts w:ascii="Times New Roman" w:hAnsi="Times New Roman" w:cs="Times New Roman"/>
          <w:sz w:val="28"/>
          <w:szCs w:val="28"/>
        </w:rPr>
        <w:t xml:space="preserve"> серця, особливо у відповідь на адміністрацію екзогенного ангіотензину </w:t>
      </w:r>
      <w:r w:rsidRPr="007F5722">
        <w:rPr>
          <w:rFonts w:ascii="Times New Roman" w:hAnsi="Times New Roman" w:cs="Times New Roman"/>
          <w:sz w:val="28"/>
          <w:szCs w:val="28"/>
          <w:lang w:val="en-US"/>
        </w:rPr>
        <w:t>II</w:t>
      </w:r>
      <w:r w:rsidRPr="007F5722">
        <w:rPr>
          <w:rFonts w:ascii="Times New Roman" w:hAnsi="Times New Roman" w:cs="Times New Roman"/>
          <w:sz w:val="28"/>
          <w:szCs w:val="28"/>
        </w:rPr>
        <w:t xml:space="preserve"> [152], альдостерону [</w:t>
      </w:r>
      <w:r w:rsidR="006F1A4C" w:rsidRPr="007F5722">
        <w:rPr>
          <w:rFonts w:ascii="Times New Roman" w:hAnsi="Times New Roman" w:cs="Times New Roman"/>
          <w:sz w:val="28"/>
          <w:szCs w:val="28"/>
        </w:rPr>
        <w:t>152</w:t>
      </w:r>
      <w:r w:rsidRPr="007F5722">
        <w:rPr>
          <w:rFonts w:ascii="Times New Roman" w:hAnsi="Times New Roman" w:cs="Times New Roman"/>
          <w:sz w:val="28"/>
          <w:szCs w:val="28"/>
        </w:rPr>
        <w:t>] та інших металокортикоїдів [</w:t>
      </w:r>
      <w:r w:rsidR="006F1A4C" w:rsidRPr="007F5722">
        <w:rPr>
          <w:rFonts w:ascii="Times New Roman" w:hAnsi="Times New Roman" w:cs="Times New Roman"/>
          <w:sz w:val="28"/>
          <w:szCs w:val="28"/>
        </w:rPr>
        <w:t>153</w:t>
      </w:r>
      <w:r w:rsidRPr="007F5722">
        <w:rPr>
          <w:rFonts w:ascii="Times New Roman" w:hAnsi="Times New Roman" w:cs="Times New Roman"/>
          <w:sz w:val="28"/>
          <w:szCs w:val="28"/>
        </w:rPr>
        <w:t>], стимуляції симпатичної нервової системи [</w:t>
      </w:r>
      <w:r w:rsidR="006F1A4C" w:rsidRPr="007F5722">
        <w:rPr>
          <w:rFonts w:ascii="Times New Roman" w:hAnsi="Times New Roman" w:cs="Times New Roman"/>
          <w:sz w:val="28"/>
          <w:szCs w:val="28"/>
        </w:rPr>
        <w:t>154</w:t>
      </w:r>
      <w:r w:rsidRPr="007F5722">
        <w:rPr>
          <w:rFonts w:ascii="Times New Roman" w:hAnsi="Times New Roman" w:cs="Times New Roman"/>
          <w:sz w:val="28"/>
          <w:szCs w:val="28"/>
        </w:rPr>
        <w:t xml:space="preserve">] та </w:t>
      </w:r>
      <w:r w:rsidRPr="007F5722">
        <w:rPr>
          <w:rFonts w:ascii="Times New Roman" w:hAnsi="Times New Roman" w:cs="Times New Roman"/>
          <w:sz w:val="28"/>
          <w:szCs w:val="28"/>
        </w:rPr>
        <w:lastRenderedPageBreak/>
        <w:t>індукцію перевантаження тиском [</w:t>
      </w:r>
      <w:r w:rsidR="006F1A4C" w:rsidRPr="007F5722">
        <w:rPr>
          <w:rFonts w:ascii="Times New Roman" w:hAnsi="Times New Roman" w:cs="Times New Roman"/>
          <w:sz w:val="28"/>
          <w:szCs w:val="28"/>
        </w:rPr>
        <w:t>155</w:t>
      </w:r>
      <w:r w:rsidRPr="007F5722">
        <w:rPr>
          <w:rFonts w:ascii="Times New Roman" w:hAnsi="Times New Roman" w:cs="Times New Roman"/>
          <w:sz w:val="28"/>
          <w:szCs w:val="28"/>
        </w:rPr>
        <w:t xml:space="preserve">]. У цих експериментальних тварин мала місце підвищена проникність капілярних стінок різного ступеня, індукція цитокінів та хемокінів, а також рекрутмент запальних клітин, що будуть інфільтровані в міокард. </w:t>
      </w:r>
    </w:p>
    <w:p w:rsidR="00E9787A" w:rsidRPr="007F5722" w:rsidRDefault="00E9787A" w:rsidP="00E9787A">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 xml:space="preserve">В подальших дослідженнях кардіоміоцити були визначені у якості додаткових гравців у оркестрі запальної відповіді у гіпертензивному серці </w:t>
      </w:r>
      <w:r w:rsidRPr="007F5722">
        <w:rPr>
          <w:rFonts w:ascii="Times New Roman" w:hAnsi="Times New Roman" w:cs="Times New Roman"/>
          <w:sz w:val="28"/>
          <w:szCs w:val="28"/>
          <w:lang w:val="ru-RU"/>
        </w:rPr>
        <w:t>[</w:t>
      </w:r>
      <w:r w:rsidR="006F1A4C" w:rsidRPr="007F5722">
        <w:rPr>
          <w:rFonts w:ascii="Times New Roman" w:hAnsi="Times New Roman" w:cs="Times New Roman"/>
          <w:sz w:val="28"/>
          <w:szCs w:val="28"/>
          <w:lang w:val="ru-RU"/>
        </w:rPr>
        <w:t>156</w:t>
      </w:r>
      <w:r w:rsidRPr="007F5722">
        <w:rPr>
          <w:rFonts w:ascii="Times New Roman" w:hAnsi="Times New Roman" w:cs="Times New Roman"/>
          <w:sz w:val="28"/>
          <w:szCs w:val="28"/>
          <w:lang w:val="ru-RU"/>
        </w:rPr>
        <w:t xml:space="preserve">]. </w:t>
      </w:r>
      <w:r w:rsidRPr="007F5722">
        <w:rPr>
          <w:rFonts w:ascii="Times New Roman" w:hAnsi="Times New Roman" w:cs="Times New Roman"/>
          <w:sz w:val="28"/>
          <w:szCs w:val="28"/>
        </w:rPr>
        <w:t>Ушкоджені кардіоміоцити викидають фрагменти ДНК, різноманітні протеїни шоку, матріклітинні протеїни, інструктуючи оточуючи здорові кардіоміоцити продукувати запальна медіатори, такі як інтерлейкін-1β, інтерлейкін-6, макрофаг хемоаттрактантний протеїн-1, фактор некрозу пухлин-α, тощо, які в свою чергу активують сигнальні шляхи у кардіоміоцитах, що вижили та є тригерами активації та рекрутмента лейкоцитів.</w:t>
      </w:r>
    </w:p>
    <w:p w:rsidR="00E9787A" w:rsidRPr="007F5722" w:rsidRDefault="00E9787A" w:rsidP="00E9787A">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Зростає науковий інтерес щодо взаємозв’язків між ожирінням та системним запаленням [</w:t>
      </w:r>
      <w:r w:rsidR="006F1A4C" w:rsidRPr="007F5722">
        <w:rPr>
          <w:rFonts w:ascii="Times New Roman" w:hAnsi="Times New Roman" w:cs="Times New Roman"/>
          <w:sz w:val="28"/>
          <w:szCs w:val="28"/>
        </w:rPr>
        <w:t>157</w:t>
      </w:r>
      <w:r w:rsidRPr="007F5722">
        <w:rPr>
          <w:rFonts w:ascii="Times New Roman" w:hAnsi="Times New Roman" w:cs="Times New Roman"/>
          <w:sz w:val="28"/>
          <w:szCs w:val="28"/>
        </w:rPr>
        <w:t xml:space="preserve">-160]. Показано, що імунозапальна реакція є одночасно як причиною інфаркту міокарду, так і одним з первинних компонентів реакції на інфаркт міокарду [161, 162]. У низці досліджень встановлено чітку кореляцію між маркерами запалення та смертністю у пацієнтів із серцевою недостатністю [163, 164]. Виявляється, що диспропорція в системі запальних цитокінів виникає у людей з ожирінням з серцевою недостатністю, тоді як прозапальні цитокіни, такі як ІЛ-6, ІЛ-1β, передсердний натрійуретичний пептид (ANP) та фактор некрозу пухлин-α збільшуються, немає відповідного збільшення протизапальних цитокінів, таких як ІЛ-10 та TGF-β [165, 166]. Ступінь і характер запалення можуть впливати на подальше прогресування хвороби як через прямі міокардіальні ефекти, так і на інші компоненти серцево-судинної системи. Зараз існує чимало повідомлень, які вказують на те, що різні прозапальні цитокіни можуть грати роль у процесі ремоделювання міокарда, безпосередньо впливаючи на такі аспекти, як гіпертрофія, апоптоз, фіброз та в кінцевому рахунку скоротливість [167, 168]. </w:t>
      </w:r>
    </w:p>
    <w:p w:rsidR="00E9787A" w:rsidRPr="007F5722" w:rsidRDefault="00E9787A" w:rsidP="00E9787A">
      <w:pPr>
        <w:spacing w:after="0" w:line="360" w:lineRule="auto"/>
        <w:ind w:firstLine="708"/>
        <w:jc w:val="both"/>
        <w:rPr>
          <w:rFonts w:ascii="Times New Roman" w:hAnsi="Times New Roman" w:cs="Times New Roman"/>
          <w:sz w:val="28"/>
          <w:szCs w:val="28"/>
          <w:lang w:val="ru-RU"/>
        </w:rPr>
      </w:pPr>
      <w:r w:rsidRPr="007F5722">
        <w:rPr>
          <w:rFonts w:ascii="Times New Roman" w:hAnsi="Times New Roman" w:cs="Times New Roman"/>
          <w:sz w:val="28"/>
          <w:szCs w:val="28"/>
        </w:rPr>
        <w:lastRenderedPageBreak/>
        <w:t>Накопичено достатньо експериментальних доказів з тваринних моделей, які свідчать про те, що патогенез метаболічної дисфункції, пов’язаної з ожирінням, передбачає розвиток системного, субфебрильного запального стану [</w:t>
      </w:r>
      <w:r w:rsidRPr="007F5722">
        <w:rPr>
          <w:rFonts w:ascii="Times New Roman" w:hAnsi="Times New Roman" w:cs="Times New Roman"/>
          <w:sz w:val="28"/>
          <w:szCs w:val="28"/>
          <w:lang w:val="ru-RU"/>
        </w:rPr>
        <w:t>169,170</w:t>
      </w:r>
      <w:r w:rsidRPr="007F5722">
        <w:rPr>
          <w:rFonts w:ascii="Times New Roman" w:hAnsi="Times New Roman" w:cs="Times New Roman"/>
          <w:sz w:val="28"/>
          <w:szCs w:val="28"/>
        </w:rPr>
        <w:t xml:space="preserve">]. Епідеміологічні дослідження також продемонстрували зв’язок між ожирінням та запаленням низького ступеня. Наприклад, збільшення жирової маси у жінок, що страждають ожирінням, пов'язане з підвищенням рівня </w:t>
      </w:r>
      <w:r w:rsidR="00796EC3">
        <w:rPr>
          <w:rFonts w:ascii="Times New Roman" w:hAnsi="Times New Roman" w:cs="Times New Roman"/>
          <w:sz w:val="28"/>
          <w:szCs w:val="28"/>
        </w:rPr>
        <w:t>плазматичного</w:t>
      </w:r>
      <w:r w:rsidRPr="007F5722">
        <w:rPr>
          <w:rFonts w:ascii="Times New Roman" w:hAnsi="Times New Roman" w:cs="Times New Roman"/>
          <w:sz w:val="28"/>
          <w:szCs w:val="28"/>
        </w:rPr>
        <w:t xml:space="preserve"> вмісту прозапального маркера С-реактивного білка (СРБ). Крім того, вважається, що високий рівень СРБ та ІЛ-6 є предикторами  розвитоку діабету 2 типу. На відміну від цього, в інших дослідженнях отримано дані про те, що втрата маси тіла призводить до зниження рівня СРБ та ІЛ-6. Ці висновки підтверджують, що ожиріння досить щільно пов’язане з хронічним системним запаленням через зміни в експресії цитокінів жировою тканиною [</w:t>
      </w:r>
      <w:r w:rsidRPr="007F5722">
        <w:rPr>
          <w:rFonts w:ascii="Times New Roman" w:hAnsi="Times New Roman" w:cs="Times New Roman"/>
          <w:sz w:val="28"/>
          <w:szCs w:val="28"/>
          <w:lang w:val="ru-RU"/>
        </w:rPr>
        <w:t>171</w:t>
      </w:r>
      <w:r w:rsidRPr="007F5722">
        <w:rPr>
          <w:rFonts w:ascii="Times New Roman" w:hAnsi="Times New Roman" w:cs="Times New Roman"/>
          <w:sz w:val="28"/>
          <w:szCs w:val="28"/>
        </w:rPr>
        <w:t>]</w:t>
      </w:r>
      <w:r w:rsidR="004A0572" w:rsidRPr="007F5722">
        <w:rPr>
          <w:rFonts w:ascii="Times New Roman" w:hAnsi="Times New Roman" w:cs="Times New Roman"/>
          <w:sz w:val="28"/>
          <w:szCs w:val="28"/>
        </w:rPr>
        <w:t>.</w:t>
      </w:r>
    </w:p>
    <w:p w:rsidR="00E9787A" w:rsidRPr="007F5722" w:rsidRDefault="00E9787A" w:rsidP="00E9787A">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 xml:space="preserve">В результаті проведених експериментальних та клінічних досліджень за останні два десятиліття стало очевидним, що жирова тканина є джерелом імуномодулюючих білків – адипокінів, які діють як модулятори метаболічних та серцево-судинних процесів. Жирова тканина в основному знаходиться у вісцеральних та підшкірних депо, але вона також широко присутня по всьому організму й особливо актуальними у контексті впливу на серцево-судинні захворювання є такі депо, як епікардіальна, периваскулярна та легенева жирова тканина. Цікавими є дані про те, що хоча депо жирової тканини відрізняється один від одного залежно від відносного рівня вироблення адипокінів, ожиріння, як правило, сприятиме виробленню прозапальних адипокінів незалежно від місця розташування депо [172, 173]. </w:t>
      </w:r>
    </w:p>
    <w:p w:rsidR="00E9787A" w:rsidRPr="007F5722" w:rsidRDefault="00E9787A" w:rsidP="00E9787A">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Перелік ідентифікованих цитокінів постійно зростає та слід зазначити, що більшість з них є прозапального спрямування та їх рівень зростає за наявності ожиріння. В умовах ожиріння ці адипокіни функціонують як промотори метаболічних та серцево-судинних захворювань. Найбільш вивченими прозапальними цитокінами є ФНП-α, лептин, ІЛ-6, резистин, RBP4, ліпокалін 2, ІЛ-18, ANGPTL2 та інші. [</w:t>
      </w:r>
      <w:r w:rsidRPr="007F5722">
        <w:rPr>
          <w:rFonts w:ascii="Times New Roman" w:hAnsi="Times New Roman" w:cs="Times New Roman"/>
          <w:sz w:val="28"/>
          <w:szCs w:val="28"/>
          <w:lang w:val="ru-RU"/>
        </w:rPr>
        <w:t>174</w:t>
      </w:r>
      <w:r w:rsidRPr="007F5722">
        <w:rPr>
          <w:rFonts w:ascii="Times New Roman" w:hAnsi="Times New Roman" w:cs="Times New Roman"/>
          <w:sz w:val="28"/>
          <w:szCs w:val="28"/>
        </w:rPr>
        <w:t xml:space="preserve">]. Крім численних </w:t>
      </w:r>
      <w:r w:rsidRPr="007F5722">
        <w:rPr>
          <w:rFonts w:ascii="Times New Roman" w:hAnsi="Times New Roman" w:cs="Times New Roman"/>
          <w:sz w:val="28"/>
          <w:szCs w:val="28"/>
        </w:rPr>
        <w:lastRenderedPageBreak/>
        <w:t>прозапальних адипокінів, жирова тканина також виділяє меншу кількість протизапальних факторів. До таких факторів відносяться адипонектин, який був предметом інтенсивного дослідження [</w:t>
      </w:r>
      <w:r w:rsidRPr="007F5722">
        <w:rPr>
          <w:rFonts w:ascii="Times New Roman" w:hAnsi="Times New Roman" w:cs="Times New Roman"/>
          <w:sz w:val="28"/>
          <w:szCs w:val="28"/>
          <w:lang w:val="ru-RU"/>
        </w:rPr>
        <w:t>175</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ru-RU"/>
        </w:rPr>
        <w:t>176</w:t>
      </w:r>
      <w:r w:rsidRPr="007F5722">
        <w:rPr>
          <w:rFonts w:ascii="Times New Roman" w:hAnsi="Times New Roman" w:cs="Times New Roman"/>
          <w:sz w:val="28"/>
          <w:szCs w:val="28"/>
        </w:rPr>
        <w:t>], і SFRP5, який нещодавно був визначений як адипокін із протизапальною діяльністю [</w:t>
      </w:r>
      <w:r w:rsidRPr="007F5722">
        <w:rPr>
          <w:rFonts w:ascii="Times New Roman" w:hAnsi="Times New Roman" w:cs="Times New Roman"/>
          <w:sz w:val="28"/>
          <w:szCs w:val="28"/>
          <w:lang w:val="ru-RU"/>
        </w:rPr>
        <w:t>177</w:t>
      </w:r>
      <w:r w:rsidRPr="007F5722">
        <w:rPr>
          <w:rFonts w:ascii="Times New Roman" w:hAnsi="Times New Roman" w:cs="Times New Roman"/>
          <w:sz w:val="28"/>
          <w:szCs w:val="28"/>
        </w:rPr>
        <w:t>].</w:t>
      </w:r>
    </w:p>
    <w:p w:rsidR="00E9787A" w:rsidRPr="007F5722" w:rsidRDefault="00E9787A" w:rsidP="00E9787A">
      <w:pPr>
        <w:spacing w:after="0" w:line="360" w:lineRule="auto"/>
        <w:ind w:firstLine="709"/>
        <w:jc w:val="both"/>
        <w:rPr>
          <w:rFonts w:ascii="Times New Roman" w:hAnsi="Times New Roman" w:cs="Times New Roman"/>
          <w:sz w:val="28"/>
          <w:szCs w:val="28"/>
        </w:rPr>
      </w:pPr>
      <w:r w:rsidRPr="007F5722">
        <w:rPr>
          <w:rFonts w:ascii="Times New Roman" w:hAnsi="Times New Roman" w:cs="Times New Roman"/>
          <w:sz w:val="28"/>
          <w:szCs w:val="28"/>
        </w:rPr>
        <w:t xml:space="preserve">Одним з типових ранніх уражень органів-мішеней у хворих на ГХ є артеріальне ремоделювання. Останнім часом все більшу увагу приділяють проблемі ремоделювання серця і судин при ГХ. Це обумовлено тим, що структурно-функціональні зміни, що виникають при підвищенні артеріального тиску є не тільки компенсаторною відповіддю, а й самостійним фактором подальшого прогресування захворювання. Ремоделювання судин визначають як зміни структури резистентних судин, що призводить до зростання системної судинної резистентності при гіпертензії [178]. </w:t>
      </w:r>
    </w:p>
    <w:p w:rsidR="00E9787A" w:rsidRPr="007F5722" w:rsidRDefault="00E9787A" w:rsidP="00E9787A">
      <w:pPr>
        <w:spacing w:after="0" w:line="360" w:lineRule="auto"/>
        <w:ind w:firstLine="709"/>
        <w:jc w:val="both"/>
        <w:rPr>
          <w:rFonts w:ascii="Times New Roman" w:hAnsi="Times New Roman" w:cs="Times New Roman"/>
          <w:sz w:val="28"/>
          <w:szCs w:val="28"/>
        </w:rPr>
      </w:pPr>
      <w:r w:rsidRPr="007F5722">
        <w:rPr>
          <w:rFonts w:ascii="Times New Roman" w:hAnsi="Times New Roman" w:cs="Times New Roman"/>
          <w:sz w:val="28"/>
          <w:szCs w:val="28"/>
        </w:rPr>
        <w:t xml:space="preserve">Першим, хто звернув увагу на те, що атеросклеротичне звуження просвіту судин є не просто результатом атеросклеротичних бляшок, був </w:t>
      </w:r>
      <w:r w:rsidRPr="007F5722">
        <w:rPr>
          <w:rFonts w:ascii="Times New Roman" w:hAnsi="Times New Roman" w:cs="Times New Roman"/>
          <w:sz w:val="28"/>
          <w:szCs w:val="28"/>
          <w:lang w:val="en-US"/>
        </w:rPr>
        <w:t>Glagov</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et</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al</w:t>
      </w:r>
      <w:r w:rsidRPr="007F5722">
        <w:rPr>
          <w:rFonts w:ascii="Times New Roman" w:hAnsi="Times New Roman" w:cs="Times New Roman"/>
          <w:sz w:val="28"/>
          <w:szCs w:val="28"/>
        </w:rPr>
        <w:t xml:space="preserve">. у 1987 році </w:t>
      </w:r>
      <w:r w:rsidRPr="007F5722">
        <w:rPr>
          <w:rFonts w:ascii="Times New Roman" w:hAnsi="Times New Roman" w:cs="Times New Roman"/>
          <w:sz w:val="28"/>
          <w:szCs w:val="28"/>
          <w:lang w:val="ru-RU"/>
        </w:rPr>
        <w:t>[179]</w:t>
      </w:r>
      <w:r w:rsidRPr="007F5722">
        <w:rPr>
          <w:rFonts w:ascii="Times New Roman" w:hAnsi="Times New Roman" w:cs="Times New Roman"/>
          <w:sz w:val="28"/>
          <w:szCs w:val="28"/>
        </w:rPr>
        <w:t>. Дослідники звернули увагу на те, що артерії, замість ремоделювання звуженого простору, підлягають також багатьом змінам, таким як наприклад, збільшення зовнішнього діаметру з метою збереження кровотоку. Ця адаптивність артерій є важливою захисною реакцією при їх захворюваннях. Так, ішемічна хвороба серця атеросклеротичного генезу, захворювання периферичних судин та гіпертензія можуть вважатися станами судинної недостатності, при яких артеріальна стінка нездатна зберігати достатній розмір для підтримка нор</w:t>
      </w:r>
      <w:r w:rsidR="004A0572" w:rsidRPr="007F5722">
        <w:rPr>
          <w:rFonts w:ascii="Times New Roman" w:hAnsi="Times New Roman" w:cs="Times New Roman"/>
          <w:sz w:val="28"/>
          <w:szCs w:val="28"/>
        </w:rPr>
        <w:t>мального кровотоку.</w:t>
      </w:r>
    </w:p>
    <w:p w:rsidR="00E9787A" w:rsidRPr="007F5722" w:rsidRDefault="00E9787A" w:rsidP="00E9787A">
      <w:pPr>
        <w:spacing w:after="0" w:line="360" w:lineRule="auto"/>
        <w:ind w:firstLine="709"/>
        <w:jc w:val="both"/>
        <w:rPr>
          <w:rFonts w:ascii="Times New Roman" w:hAnsi="Times New Roman" w:cs="Times New Roman"/>
          <w:sz w:val="28"/>
          <w:szCs w:val="28"/>
          <w:lang w:val="ru-RU"/>
        </w:rPr>
      </w:pPr>
      <w:r w:rsidRPr="007F5722">
        <w:rPr>
          <w:rFonts w:ascii="Times New Roman" w:hAnsi="Times New Roman" w:cs="Times New Roman"/>
          <w:sz w:val="28"/>
          <w:szCs w:val="28"/>
        </w:rPr>
        <w:t>Нещодавно було припущено, що така неспроможність судин ремоделюватися є шляхом до «судинної недостатності», подібної, що спостерігається при серцевій недостатності [178].</w:t>
      </w:r>
    </w:p>
    <w:p w:rsidR="00E9787A" w:rsidRPr="007F5722" w:rsidRDefault="00E9787A" w:rsidP="00E9787A">
      <w:pPr>
        <w:spacing w:after="0" w:line="360" w:lineRule="auto"/>
        <w:ind w:firstLine="709"/>
        <w:jc w:val="both"/>
        <w:rPr>
          <w:rFonts w:ascii="Times New Roman" w:hAnsi="Times New Roman" w:cs="Times New Roman"/>
          <w:sz w:val="28"/>
          <w:szCs w:val="28"/>
        </w:rPr>
      </w:pPr>
      <w:r w:rsidRPr="007F5722">
        <w:rPr>
          <w:rFonts w:ascii="Times New Roman" w:hAnsi="Times New Roman" w:cs="Times New Roman"/>
          <w:sz w:val="28"/>
          <w:szCs w:val="28"/>
        </w:rPr>
        <w:t xml:space="preserve">Спроби класифікувати морфологічні зміни судин здійснювалися впродовж багатьох років. Так, </w:t>
      </w:r>
      <w:r w:rsidRPr="007F5722">
        <w:rPr>
          <w:rFonts w:ascii="Times New Roman" w:hAnsi="Times New Roman" w:cs="Times New Roman"/>
          <w:sz w:val="28"/>
          <w:szCs w:val="28"/>
          <w:lang w:val="en-US"/>
        </w:rPr>
        <w:t>Feihl</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et</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al</w:t>
      </w:r>
      <w:r w:rsidRPr="007F5722">
        <w:rPr>
          <w:rFonts w:ascii="Times New Roman" w:hAnsi="Times New Roman" w:cs="Times New Roman"/>
          <w:sz w:val="28"/>
          <w:szCs w:val="28"/>
        </w:rPr>
        <w:t xml:space="preserve">.  запропонували класифікацію, що базується на відповіді судинної стінки на тривале та стійке підвищення рівня артеріального тиску. Це зміни переважно співвідношення медіа-просвіт, </w:t>
      </w:r>
      <w:r w:rsidRPr="007F5722">
        <w:rPr>
          <w:rFonts w:ascii="Times New Roman" w:hAnsi="Times New Roman" w:cs="Times New Roman"/>
          <w:sz w:val="28"/>
          <w:szCs w:val="28"/>
        </w:rPr>
        <w:lastRenderedPageBreak/>
        <w:t>товщини стінки судини за рахунок зростання м’язової маси або реорганізації клітинних та неклітинних елементів [180]</w:t>
      </w:r>
      <w:r w:rsidR="004A0572" w:rsidRPr="007F5722">
        <w:rPr>
          <w:rFonts w:ascii="Times New Roman" w:hAnsi="Times New Roman" w:cs="Times New Roman"/>
          <w:sz w:val="28"/>
          <w:szCs w:val="28"/>
        </w:rPr>
        <w:t>.</w:t>
      </w:r>
    </w:p>
    <w:p w:rsidR="00E9787A" w:rsidRPr="007F5722" w:rsidRDefault="00E9787A" w:rsidP="00E9787A">
      <w:pPr>
        <w:spacing w:after="0" w:line="360" w:lineRule="auto"/>
        <w:ind w:firstLine="709"/>
        <w:jc w:val="both"/>
        <w:rPr>
          <w:rFonts w:ascii="Times New Roman" w:hAnsi="Times New Roman" w:cs="Times New Roman"/>
          <w:sz w:val="28"/>
          <w:szCs w:val="28"/>
          <w:lang w:val="ru-RU"/>
        </w:rPr>
      </w:pPr>
      <w:r w:rsidRPr="007F5722">
        <w:rPr>
          <w:rFonts w:ascii="Times New Roman" w:hAnsi="Times New Roman" w:cs="Times New Roman"/>
          <w:sz w:val="28"/>
          <w:szCs w:val="28"/>
        </w:rPr>
        <w:t>Об’єднуючим механізмом патологічних станів, що асоційовані з ГХ є імунне запалення, медіаторами якого є прозапальні цитокіни, і яке залучено як до ожиріння, дисліпідемії, так і до порушень архітектоніки судин [181, 182]. Цитокіни це розчинні протеїни, що формують комплексну сигнальну сітку, критичну в регуляції адаптивної запальної відповіді. Цитокіни модулюють запальну відповідь через вплив на ріст, розвиток та активацію лейкоцитів та інших запальних клітин. Наприклад, досить докладно вивчений цитокін – фактор некрозу пухлин-α (ФНП-α) є ключовим медіатором системного запалення зі значною роллю у стимуляції продукції інших цитокінів, міграції та активації клітин, промоції прокоагулянтного стану, активації металопротеїназ, інду</w:t>
      </w:r>
      <w:r w:rsidR="004A0572" w:rsidRPr="007F5722">
        <w:rPr>
          <w:rFonts w:ascii="Times New Roman" w:hAnsi="Times New Roman" w:cs="Times New Roman"/>
          <w:sz w:val="28"/>
          <w:szCs w:val="28"/>
        </w:rPr>
        <w:t>кції гіпертрофії кардіоміоцитів</w:t>
      </w:r>
      <w:r w:rsidRPr="007F5722">
        <w:rPr>
          <w:rFonts w:ascii="Times New Roman" w:hAnsi="Times New Roman" w:cs="Times New Roman"/>
          <w:sz w:val="28"/>
          <w:szCs w:val="28"/>
        </w:rPr>
        <w:t xml:space="preserve"> [183]. ФНП-α визначається у ендотеліальних клітинах та гладко-м’язових клітинах на всіх стадіях формування атеросклеротичної бляшки </w:t>
      </w:r>
      <w:r w:rsidRPr="007F5722">
        <w:rPr>
          <w:rFonts w:ascii="Times New Roman" w:hAnsi="Times New Roman" w:cs="Times New Roman"/>
          <w:sz w:val="28"/>
          <w:szCs w:val="28"/>
          <w:lang w:val="ru-RU"/>
        </w:rPr>
        <w:t>[184].</w:t>
      </w:r>
    </w:p>
    <w:p w:rsidR="00E9787A" w:rsidRPr="007F5722" w:rsidRDefault="00E9787A" w:rsidP="00E9787A">
      <w:pPr>
        <w:spacing w:after="0" w:line="360" w:lineRule="auto"/>
        <w:ind w:firstLine="709"/>
        <w:jc w:val="both"/>
        <w:rPr>
          <w:rFonts w:ascii="Times New Roman" w:hAnsi="Times New Roman" w:cs="Times New Roman"/>
          <w:sz w:val="28"/>
          <w:szCs w:val="28"/>
        </w:rPr>
      </w:pPr>
      <w:r w:rsidRPr="007F5722">
        <w:rPr>
          <w:rFonts w:ascii="Times New Roman" w:hAnsi="Times New Roman" w:cs="Times New Roman"/>
          <w:sz w:val="28"/>
          <w:szCs w:val="28"/>
        </w:rPr>
        <w:t>Останніми роками активно досліджується роль інтерлейкінів у цьому контексті.</w:t>
      </w:r>
      <w:r w:rsidRPr="007F5722">
        <w:rPr>
          <w:rFonts w:ascii="Times New Roman" w:hAnsi="Times New Roman" w:cs="Times New Roman"/>
          <w:sz w:val="28"/>
          <w:szCs w:val="28"/>
          <w:lang w:val="ru-RU"/>
        </w:rPr>
        <w:t xml:space="preserve"> </w:t>
      </w:r>
      <w:r w:rsidRPr="007F5722">
        <w:rPr>
          <w:rFonts w:ascii="Times New Roman" w:hAnsi="Times New Roman" w:cs="Times New Roman"/>
          <w:sz w:val="28"/>
          <w:szCs w:val="28"/>
        </w:rPr>
        <w:t>Існує більш за 30 відомих членів сімейства інтерлейкінів. Вони підрозділяються згідно подібної структури або гомології рецепторів. Трансформація судинного гомеостазу до запального стану обумовлена дисбалансом про- та протизапальних активностей інтерлейкінів як свідчать дослідження. Наприклад показано, що роль ІЛ-1 полягає в стимуляції молекул адгезії, хемокінів, факторів росту, тканьов</w:t>
      </w:r>
      <w:r w:rsidR="004A0572" w:rsidRPr="007F5722">
        <w:rPr>
          <w:rFonts w:ascii="Times New Roman" w:hAnsi="Times New Roman" w:cs="Times New Roman"/>
          <w:sz w:val="28"/>
          <w:szCs w:val="28"/>
        </w:rPr>
        <w:t>их факторів та інших цитокінів.</w:t>
      </w:r>
      <w:r w:rsidRPr="007F5722">
        <w:rPr>
          <w:rFonts w:ascii="Times New Roman" w:hAnsi="Times New Roman" w:cs="Times New Roman"/>
          <w:sz w:val="28"/>
          <w:szCs w:val="28"/>
        </w:rPr>
        <w:t xml:space="preserve"> Встановлено, що експресія рівня антагоніста рецепторів ІЛ-Ра значно зростає при нестабільній стенокардії порівняно зі стабільною стенокардією. А знижений його рівень після коронарного стентування може бути пов’язаним з низьким ризиком рекурентної ішемії </w:t>
      </w:r>
      <w:r w:rsidRPr="007F5722">
        <w:rPr>
          <w:rFonts w:ascii="Times New Roman" w:hAnsi="Times New Roman" w:cs="Times New Roman"/>
          <w:sz w:val="28"/>
          <w:szCs w:val="28"/>
          <w:lang w:val="ru-RU"/>
        </w:rPr>
        <w:t xml:space="preserve">[185]. </w:t>
      </w:r>
      <w:r w:rsidRPr="007F5722">
        <w:rPr>
          <w:rFonts w:ascii="Times New Roman" w:hAnsi="Times New Roman" w:cs="Times New Roman"/>
          <w:sz w:val="28"/>
          <w:szCs w:val="28"/>
        </w:rPr>
        <w:t xml:space="preserve">Багаточисельні дослідження показали центральну роль у запаленні ІЛ-6 – мультифункціонального цитокіну, зростання рівня котрого підвищує ризик інфаркту міокарду та смертність у пацієнтів на ішемічну хворобу серця </w:t>
      </w:r>
      <w:r w:rsidRPr="007F5722">
        <w:rPr>
          <w:rFonts w:ascii="Times New Roman" w:hAnsi="Times New Roman" w:cs="Times New Roman"/>
          <w:sz w:val="28"/>
          <w:szCs w:val="28"/>
          <w:lang w:val="ru-RU"/>
        </w:rPr>
        <w:t>[186].</w:t>
      </w:r>
      <w:r w:rsidRPr="007F5722">
        <w:rPr>
          <w:rFonts w:ascii="Times New Roman" w:hAnsi="Times New Roman" w:cs="Times New Roman"/>
          <w:sz w:val="28"/>
          <w:szCs w:val="28"/>
        </w:rPr>
        <w:t xml:space="preserve"> </w:t>
      </w:r>
    </w:p>
    <w:p w:rsidR="00E9787A" w:rsidRPr="007F5722" w:rsidRDefault="00E9787A" w:rsidP="00E9787A">
      <w:pPr>
        <w:spacing w:after="0" w:line="360" w:lineRule="auto"/>
        <w:ind w:firstLine="709"/>
        <w:jc w:val="both"/>
        <w:rPr>
          <w:rFonts w:ascii="Times New Roman" w:hAnsi="Times New Roman" w:cs="Times New Roman"/>
          <w:sz w:val="28"/>
          <w:szCs w:val="28"/>
        </w:rPr>
      </w:pPr>
      <w:r w:rsidRPr="007F5722">
        <w:rPr>
          <w:rFonts w:ascii="Times New Roman" w:hAnsi="Times New Roman" w:cs="Times New Roman"/>
          <w:sz w:val="28"/>
          <w:szCs w:val="28"/>
        </w:rPr>
        <w:lastRenderedPageBreak/>
        <w:t xml:space="preserve">ІЛ-10 має плейотропні властивості та впливає на різноманітні популяції клітин. Відзначено, що його найбільш важлива роль при запальних процесах при ушкодженні судин пов’язана з </w:t>
      </w:r>
      <w:r w:rsidRPr="007F5722">
        <w:rPr>
          <w:rFonts w:ascii="Times New Roman" w:hAnsi="Times New Roman" w:cs="Times New Roman"/>
          <w:sz w:val="28"/>
          <w:szCs w:val="28"/>
          <w:lang w:val="en-US"/>
        </w:rPr>
        <w:t>Th</w:t>
      </w:r>
      <w:r w:rsidRPr="007F5722">
        <w:rPr>
          <w:rFonts w:ascii="Times New Roman" w:hAnsi="Times New Roman" w:cs="Times New Roman"/>
          <w:sz w:val="28"/>
          <w:szCs w:val="28"/>
        </w:rPr>
        <w:t xml:space="preserve">2 відповіддю. Експресія ІЛ-10 зменшую експресію прозапальних цитокінів, та </w:t>
      </w:r>
      <w:r w:rsidRPr="007F5722">
        <w:rPr>
          <w:rFonts w:ascii="Times New Roman" w:hAnsi="Times New Roman" w:cs="Times New Roman"/>
          <w:sz w:val="28"/>
          <w:szCs w:val="28"/>
          <w:lang w:val="en-US"/>
        </w:rPr>
        <w:t>Th</w:t>
      </w:r>
      <w:r w:rsidRPr="007F5722">
        <w:rPr>
          <w:rFonts w:ascii="Times New Roman" w:hAnsi="Times New Roman" w:cs="Times New Roman"/>
          <w:sz w:val="28"/>
          <w:szCs w:val="28"/>
        </w:rPr>
        <w:t xml:space="preserve">1 фенотип. Цей протизапальний цитокін також зменшує </w:t>
      </w:r>
      <w:r w:rsidRPr="007F5722">
        <w:rPr>
          <w:rFonts w:ascii="Times New Roman" w:hAnsi="Times New Roman" w:cs="Times New Roman"/>
          <w:sz w:val="28"/>
          <w:szCs w:val="28"/>
          <w:lang w:val="en-US"/>
        </w:rPr>
        <w:t>NF</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kB</w:t>
      </w:r>
      <w:r w:rsidRPr="007F5722">
        <w:rPr>
          <w:rFonts w:ascii="Times New Roman" w:hAnsi="Times New Roman" w:cs="Times New Roman"/>
          <w:sz w:val="28"/>
          <w:szCs w:val="28"/>
        </w:rPr>
        <w:t xml:space="preserve"> сигнальні шляхи, що в свою чергу зменшує синтез прозапальних цитокінів, молекул адгезії, хемоаттрактанітів та факторів росту. Показана роль ІЛ-10 у пацієнтів на артеріальну гіпертензію з супутнім предіабетом та цукровим діабетом 2 типу [187,188].</w:t>
      </w:r>
    </w:p>
    <w:p w:rsidR="00E9787A" w:rsidRPr="007F5722" w:rsidRDefault="00E9787A" w:rsidP="00E9787A">
      <w:pPr>
        <w:spacing w:after="0" w:line="360" w:lineRule="auto"/>
        <w:ind w:firstLine="709"/>
        <w:jc w:val="both"/>
        <w:rPr>
          <w:rFonts w:ascii="Times New Roman" w:hAnsi="Times New Roman" w:cs="Times New Roman"/>
          <w:sz w:val="28"/>
          <w:szCs w:val="28"/>
        </w:rPr>
      </w:pPr>
      <w:r w:rsidRPr="007F5722">
        <w:rPr>
          <w:rFonts w:ascii="Times New Roman" w:hAnsi="Times New Roman" w:cs="Times New Roman"/>
          <w:sz w:val="28"/>
          <w:szCs w:val="28"/>
        </w:rPr>
        <w:t xml:space="preserve">Перелік відомих інтерлейкінів постійно поповнюється. Наприклад, вивчаються біологічні ефекти інтерлейкіну-22 (ІЛ-22) – члена сімейства ІЛ-10 з прозапальними властивостями. Ці ефекти ІЛ-22 різноманітні і включають в себе участь у багатьох фізіологічних і патофізіологічних процесах, а саме запалення, регенерація тканин та ін. [37-39]. Однак значення його в патогенезі кардіоваскулярної патології залишається недостатньо вивченим, тому доцільним є визначити і проаналізувати вплив ІЛ-22 на ремоделювання артерій еластичного типу на прикладі загальних сонних артерій (ЗСА) у пацієнтів хворих на ГХ та ожиріння. Потенційна важливість імунозапальної відповіді у судинній стінці та у міокарді як мішені терапевтичного втручання залишається не до кінця вивченою. Для цього необхідно розуміння патогенетичних механізмів залучення запальних медіаторів, таких як ІЛ-22 до ремоделювання серця та судин у пацієнтів на ГХ, що мають надмірну масу тіла та ожиріння. </w:t>
      </w:r>
    </w:p>
    <w:p w:rsidR="004F5CDF" w:rsidRPr="007F5722" w:rsidRDefault="004F5CDF" w:rsidP="00B346A0">
      <w:pPr>
        <w:shd w:val="clear" w:color="auto" w:fill="FFFFFF"/>
        <w:spacing w:after="0" w:line="360" w:lineRule="auto"/>
        <w:jc w:val="both"/>
        <w:rPr>
          <w:rFonts w:ascii="Times New Roman" w:eastAsia="Times New Roman" w:hAnsi="Times New Roman" w:cs="Times New Roman"/>
          <w:color w:val="000000"/>
          <w:sz w:val="28"/>
          <w:szCs w:val="28"/>
        </w:rPr>
        <w:sectPr w:rsidR="004F5CDF" w:rsidRPr="007F5722" w:rsidSect="007C0B93">
          <w:pgSz w:w="11906" w:h="16838"/>
          <w:pgMar w:top="1134" w:right="850" w:bottom="1134" w:left="1701" w:header="708" w:footer="708" w:gutter="0"/>
          <w:cols w:space="708"/>
          <w:docGrid w:linePitch="360"/>
        </w:sectPr>
      </w:pPr>
    </w:p>
    <w:p w:rsidR="004F5CDF" w:rsidRPr="007F5722" w:rsidRDefault="004F5CDF" w:rsidP="004F5CDF">
      <w:pPr>
        <w:shd w:val="clear" w:color="auto" w:fill="FFFFFF"/>
        <w:spacing w:after="0" w:line="360" w:lineRule="auto"/>
        <w:jc w:val="center"/>
        <w:rPr>
          <w:rFonts w:ascii="Times New Roman" w:eastAsia="Times New Roman" w:hAnsi="Times New Roman" w:cs="Times New Roman"/>
          <w:b/>
          <w:bCs/>
          <w:color w:val="000000"/>
          <w:sz w:val="28"/>
          <w:szCs w:val="28"/>
        </w:rPr>
      </w:pPr>
      <w:r w:rsidRPr="007F5722">
        <w:rPr>
          <w:rFonts w:ascii="Times New Roman" w:eastAsia="Times New Roman" w:hAnsi="Times New Roman" w:cs="Times New Roman"/>
          <w:b/>
          <w:bCs/>
          <w:color w:val="000000"/>
          <w:sz w:val="28"/>
          <w:szCs w:val="28"/>
        </w:rPr>
        <w:lastRenderedPageBreak/>
        <w:t>РОЗДІЛ 2</w:t>
      </w:r>
    </w:p>
    <w:p w:rsidR="004F5CDF" w:rsidRPr="007F5722" w:rsidRDefault="004F5CDF" w:rsidP="004F5CDF">
      <w:pPr>
        <w:shd w:val="clear" w:color="auto" w:fill="FFFFFF"/>
        <w:spacing w:after="0" w:line="360" w:lineRule="auto"/>
        <w:jc w:val="center"/>
        <w:rPr>
          <w:rFonts w:ascii="Times New Roman" w:eastAsia="Times New Roman" w:hAnsi="Times New Roman" w:cs="Times New Roman"/>
          <w:b/>
          <w:bCs/>
          <w:color w:val="000000"/>
          <w:sz w:val="28"/>
          <w:szCs w:val="28"/>
        </w:rPr>
      </w:pPr>
      <w:r w:rsidRPr="007F5722">
        <w:rPr>
          <w:rFonts w:ascii="Times New Roman" w:eastAsia="Times New Roman" w:hAnsi="Times New Roman" w:cs="Times New Roman"/>
          <w:b/>
          <w:bCs/>
          <w:color w:val="000000"/>
          <w:sz w:val="28"/>
          <w:szCs w:val="28"/>
        </w:rPr>
        <w:t>МАТЕРІАЛИ І МЕТОДИ ДОСЛІДЖЕННЯ</w:t>
      </w:r>
    </w:p>
    <w:p w:rsidR="004F5CDF" w:rsidRPr="007F5722" w:rsidRDefault="00B107E2" w:rsidP="004F5CDF">
      <w:pPr>
        <w:shd w:val="clear" w:color="auto" w:fill="FFFFFF"/>
        <w:spacing w:after="0" w:line="360" w:lineRule="auto"/>
        <w:jc w:val="center"/>
        <w:rPr>
          <w:rFonts w:ascii="Times New Roman" w:eastAsia="Times New Roman" w:hAnsi="Times New Roman" w:cs="Times New Roman"/>
          <w:b/>
          <w:bCs/>
          <w:color w:val="000000"/>
          <w:sz w:val="28"/>
          <w:szCs w:val="28"/>
          <w:lang w:val="ru-RU"/>
        </w:rPr>
      </w:pPr>
      <w:r w:rsidRPr="007F5722">
        <w:rPr>
          <w:rFonts w:ascii="Times New Roman" w:eastAsia="Times New Roman" w:hAnsi="Times New Roman" w:cs="Times New Roman"/>
          <w:b/>
          <w:bCs/>
          <w:color w:val="000000"/>
          <w:sz w:val="28"/>
          <w:szCs w:val="28"/>
        </w:rPr>
        <w:t>2.1. Клінічна характеристика</w:t>
      </w:r>
      <w:r w:rsidR="004F5CDF" w:rsidRPr="007F5722">
        <w:rPr>
          <w:rFonts w:ascii="Times New Roman" w:eastAsia="Times New Roman" w:hAnsi="Times New Roman" w:cs="Times New Roman"/>
          <w:b/>
          <w:bCs/>
          <w:color w:val="000000"/>
          <w:sz w:val="28"/>
          <w:szCs w:val="28"/>
        </w:rPr>
        <w:t xml:space="preserve"> обстежених хворих</w:t>
      </w:r>
    </w:p>
    <w:p w:rsidR="004F5CDF" w:rsidRPr="007F5722" w:rsidRDefault="004F5CDF" w:rsidP="00163828">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bCs/>
          <w:color w:val="000000"/>
          <w:sz w:val="28"/>
          <w:szCs w:val="28"/>
        </w:rPr>
        <w:t xml:space="preserve">Відповідно до поставленої мети та задач дослідження було проведено комплексне обстеження 121 хворого на ГХ, які проходили лікування у </w:t>
      </w:r>
      <w:r w:rsidRPr="007F5722">
        <w:rPr>
          <w:rFonts w:ascii="Times New Roman" w:eastAsia="Times New Roman" w:hAnsi="Times New Roman" w:cs="Times New Roman"/>
          <w:color w:val="000000"/>
          <w:sz w:val="28"/>
          <w:szCs w:val="28"/>
        </w:rPr>
        <w:t>терапевтичному відділенні КЗОЗ «Харкі</w:t>
      </w:r>
      <w:r w:rsidR="006713D0" w:rsidRPr="007F5722">
        <w:rPr>
          <w:rFonts w:ascii="Times New Roman" w:eastAsia="Times New Roman" w:hAnsi="Times New Roman" w:cs="Times New Roman"/>
          <w:color w:val="000000"/>
          <w:sz w:val="28"/>
          <w:szCs w:val="28"/>
        </w:rPr>
        <w:t>вська міська клінічна лікарня</w:t>
      </w:r>
      <w:r w:rsidRPr="007F5722">
        <w:rPr>
          <w:rFonts w:ascii="Times New Roman" w:eastAsia="Times New Roman" w:hAnsi="Times New Roman" w:cs="Times New Roman"/>
          <w:color w:val="000000"/>
          <w:sz w:val="28"/>
          <w:szCs w:val="28"/>
        </w:rPr>
        <w:t xml:space="preserve"> № 11».</w:t>
      </w:r>
    </w:p>
    <w:p w:rsidR="00163828" w:rsidRPr="007F5722" w:rsidRDefault="00163828" w:rsidP="003C7A45">
      <w:pPr>
        <w:spacing w:after="0" w:line="360" w:lineRule="auto"/>
        <w:ind w:firstLine="709"/>
        <w:jc w:val="both"/>
        <w:rPr>
          <w:rFonts w:ascii="Times New Roman" w:hAnsi="Times New Roman"/>
          <w:sz w:val="28"/>
          <w:szCs w:val="28"/>
        </w:rPr>
      </w:pPr>
      <w:r w:rsidRPr="007F5722">
        <w:rPr>
          <w:rFonts w:ascii="Times New Roman" w:hAnsi="Times New Roman"/>
          <w:sz w:val="28"/>
          <w:szCs w:val="28"/>
        </w:rPr>
        <w:t xml:space="preserve">Верифікацію діагнозу ГХ проводили на підставі перегляду рекомендацій Європейського товариства гіпертензії (ESH) по веденню артеріальної гіпертензії (2013). Наявність надмірної маси тіла або ожиріння встановлювалась за допомогою розрахунку </w:t>
      </w:r>
      <w:r w:rsidR="00967A61" w:rsidRPr="007F5722">
        <w:rPr>
          <w:rFonts w:ascii="Times New Roman" w:hAnsi="Times New Roman"/>
          <w:sz w:val="28"/>
          <w:szCs w:val="28"/>
        </w:rPr>
        <w:t>ІМТ</w:t>
      </w:r>
      <w:r w:rsidR="00885B85" w:rsidRPr="007F5722">
        <w:rPr>
          <w:rFonts w:ascii="Times New Roman" w:hAnsi="Times New Roman"/>
          <w:sz w:val="28"/>
          <w:szCs w:val="28"/>
        </w:rPr>
        <w:t xml:space="preserve"> згідно класифікації ВООЗ, 2006 р</w:t>
      </w:r>
      <w:r w:rsidRPr="007F5722">
        <w:rPr>
          <w:rFonts w:ascii="Times New Roman" w:hAnsi="Times New Roman"/>
          <w:sz w:val="28"/>
          <w:szCs w:val="28"/>
        </w:rPr>
        <w:t xml:space="preserve">. Наявність АО </w:t>
      </w:r>
      <w:r w:rsidR="00885B85" w:rsidRPr="007F5722">
        <w:rPr>
          <w:rFonts w:ascii="Times New Roman" w:hAnsi="Times New Roman"/>
          <w:sz w:val="28"/>
          <w:szCs w:val="28"/>
        </w:rPr>
        <w:t>діагностували при ОТ</w:t>
      </w:r>
      <w:r w:rsidRPr="007F5722">
        <w:rPr>
          <w:rFonts w:ascii="Times New Roman" w:hAnsi="Times New Roman"/>
          <w:sz w:val="28"/>
          <w:szCs w:val="28"/>
        </w:rPr>
        <w:t xml:space="preserve"> для чоловіків більше 102 см, а для жінок більше 88 см, за даними Асоціації кардіологів України за 2012р [</w:t>
      </w:r>
      <w:r w:rsidR="00A73675" w:rsidRPr="007F5722">
        <w:rPr>
          <w:rFonts w:ascii="Times New Roman" w:hAnsi="Times New Roman"/>
          <w:sz w:val="28"/>
          <w:szCs w:val="28"/>
        </w:rPr>
        <w:t>189, 190</w:t>
      </w:r>
      <w:r w:rsidRPr="007F5722">
        <w:rPr>
          <w:rFonts w:ascii="Times New Roman" w:hAnsi="Times New Roman"/>
          <w:sz w:val="28"/>
          <w:szCs w:val="28"/>
        </w:rPr>
        <w:t>].</w:t>
      </w:r>
    </w:p>
    <w:p w:rsidR="007D687A" w:rsidRPr="007F5722" w:rsidRDefault="004F5CDF" w:rsidP="003C7A45">
      <w:pPr>
        <w:shd w:val="clear" w:color="auto" w:fill="FFFFFF"/>
        <w:spacing w:after="0" w:line="360" w:lineRule="auto"/>
        <w:ind w:firstLine="709"/>
        <w:jc w:val="both"/>
        <w:rPr>
          <w:rFonts w:ascii="Times New Roman" w:eastAsia="Times New Roman" w:hAnsi="Times New Roman" w:cs="Times New Roman"/>
          <w:color w:val="000000"/>
          <w:sz w:val="28"/>
          <w:szCs w:val="28"/>
          <w:lang w:val="ru-RU"/>
        </w:rPr>
      </w:pPr>
      <w:r w:rsidRPr="007F5722">
        <w:rPr>
          <w:rFonts w:ascii="Times New Roman" w:eastAsia="Times New Roman" w:hAnsi="Times New Roman" w:cs="Times New Roman"/>
          <w:color w:val="000000"/>
          <w:sz w:val="28"/>
          <w:szCs w:val="28"/>
        </w:rPr>
        <w:t xml:space="preserve">Усіх хворих на ессенціальну ГХ під час виконання роботи було розподілено на 2 групи відповідно до поставленої мети залежно від коморбідного стану: першу </w:t>
      </w:r>
      <w:r w:rsidR="00400F95" w:rsidRPr="007F5722">
        <w:rPr>
          <w:rFonts w:ascii="Times New Roman" w:eastAsia="Times New Roman" w:hAnsi="Times New Roman" w:cs="Times New Roman"/>
          <w:color w:val="000000"/>
          <w:sz w:val="28"/>
          <w:szCs w:val="28"/>
        </w:rPr>
        <w:t xml:space="preserve">(основну </w:t>
      </w:r>
      <w:r w:rsidRPr="007F5722">
        <w:rPr>
          <w:rFonts w:ascii="Times New Roman" w:eastAsia="Times New Roman" w:hAnsi="Times New Roman" w:cs="Times New Roman"/>
          <w:color w:val="000000"/>
          <w:sz w:val="28"/>
          <w:szCs w:val="28"/>
        </w:rPr>
        <w:t>групу</w:t>
      </w:r>
      <w:r w:rsidR="00400F95" w:rsidRPr="007F5722">
        <w:rPr>
          <w:rFonts w:ascii="Times New Roman" w:eastAsia="Times New Roman" w:hAnsi="Times New Roman" w:cs="Times New Roman"/>
          <w:color w:val="000000"/>
          <w:sz w:val="28"/>
          <w:szCs w:val="28"/>
        </w:rPr>
        <w:t>)</w:t>
      </w:r>
      <w:r w:rsidRPr="007F5722">
        <w:rPr>
          <w:rFonts w:ascii="Times New Roman" w:eastAsia="Times New Roman" w:hAnsi="Times New Roman" w:cs="Times New Roman"/>
          <w:color w:val="000000"/>
          <w:sz w:val="28"/>
          <w:szCs w:val="28"/>
        </w:rPr>
        <w:t xml:space="preserve"> склали 96 х</w:t>
      </w:r>
      <w:r w:rsidR="00D55DB5" w:rsidRPr="007F5722">
        <w:rPr>
          <w:rFonts w:ascii="Times New Roman" w:eastAsia="Times New Roman" w:hAnsi="Times New Roman" w:cs="Times New Roman"/>
          <w:color w:val="000000"/>
          <w:sz w:val="28"/>
          <w:szCs w:val="28"/>
        </w:rPr>
        <w:t>ворих на ГХ в поєднанні з надмірною масою тіла та ожирінням</w:t>
      </w:r>
      <w:r w:rsidRPr="007F5722">
        <w:rPr>
          <w:rFonts w:ascii="Times New Roman" w:eastAsia="Times New Roman" w:hAnsi="Times New Roman" w:cs="Times New Roman"/>
          <w:color w:val="000000"/>
          <w:sz w:val="28"/>
          <w:szCs w:val="28"/>
        </w:rPr>
        <w:t xml:space="preserve"> (середній вік </w:t>
      </w:r>
      <w:r w:rsidR="00D55DB5" w:rsidRPr="007F5722">
        <w:rPr>
          <w:rFonts w:ascii="Times New Roman" w:eastAsia="Times New Roman" w:hAnsi="Times New Roman" w:cs="Times New Roman"/>
          <w:color w:val="000000"/>
          <w:sz w:val="28"/>
          <w:szCs w:val="28"/>
        </w:rPr>
        <w:t>63,0 (54</w:t>
      </w:r>
      <w:r w:rsidRPr="007F5722">
        <w:rPr>
          <w:rFonts w:ascii="Times New Roman" w:eastAsia="Times New Roman" w:hAnsi="Times New Roman" w:cs="Times New Roman"/>
          <w:color w:val="000000"/>
          <w:sz w:val="28"/>
          <w:szCs w:val="28"/>
        </w:rPr>
        <w:t>,0</w:t>
      </w:r>
      <w:r w:rsidR="00FA55A2" w:rsidRPr="007F5722">
        <w:rPr>
          <w:rFonts w:ascii="Times New Roman" w:eastAsia="Times New Roman" w:hAnsi="Times New Roman" w:cs="Times New Roman"/>
          <w:color w:val="000000"/>
          <w:sz w:val="28"/>
          <w:szCs w:val="28"/>
        </w:rPr>
        <w:t xml:space="preserve">; </w:t>
      </w:r>
      <w:r w:rsidR="00D55DB5" w:rsidRPr="007F5722">
        <w:rPr>
          <w:rFonts w:ascii="Times New Roman" w:eastAsia="Times New Roman" w:hAnsi="Times New Roman" w:cs="Times New Roman"/>
          <w:color w:val="000000"/>
          <w:sz w:val="28"/>
          <w:szCs w:val="28"/>
        </w:rPr>
        <w:t>68</w:t>
      </w:r>
      <w:r w:rsidRPr="007F5722">
        <w:rPr>
          <w:rFonts w:ascii="Times New Roman" w:eastAsia="Times New Roman" w:hAnsi="Times New Roman" w:cs="Times New Roman"/>
          <w:color w:val="000000"/>
          <w:sz w:val="28"/>
          <w:szCs w:val="28"/>
        </w:rPr>
        <w:t>,0) років), другу</w:t>
      </w:r>
      <w:r w:rsidR="00400F95" w:rsidRPr="007F5722">
        <w:rPr>
          <w:rFonts w:ascii="Times New Roman" w:eastAsia="Times New Roman" w:hAnsi="Times New Roman" w:cs="Times New Roman"/>
          <w:color w:val="000000"/>
          <w:sz w:val="28"/>
          <w:szCs w:val="28"/>
        </w:rPr>
        <w:t xml:space="preserve"> (групу порівняння)</w:t>
      </w:r>
      <w:r w:rsidRPr="007F5722">
        <w:rPr>
          <w:rFonts w:ascii="Times New Roman" w:eastAsia="Times New Roman" w:hAnsi="Times New Roman" w:cs="Times New Roman"/>
          <w:color w:val="000000"/>
          <w:sz w:val="28"/>
          <w:szCs w:val="28"/>
        </w:rPr>
        <w:t xml:space="preserve"> – </w:t>
      </w:r>
      <w:r w:rsidR="00FA55A2" w:rsidRPr="007F5722">
        <w:rPr>
          <w:rFonts w:ascii="Times New Roman" w:eastAsia="Times New Roman" w:hAnsi="Times New Roman" w:cs="Times New Roman"/>
          <w:color w:val="000000"/>
          <w:sz w:val="28"/>
          <w:szCs w:val="28"/>
        </w:rPr>
        <w:t>25</w:t>
      </w:r>
      <w:r w:rsidRPr="007F5722">
        <w:rPr>
          <w:rFonts w:ascii="Times New Roman" w:eastAsia="Times New Roman" w:hAnsi="Times New Roman" w:cs="Times New Roman"/>
          <w:color w:val="000000"/>
          <w:sz w:val="28"/>
          <w:szCs w:val="28"/>
        </w:rPr>
        <w:t xml:space="preserve"> хворих на ГХ </w:t>
      </w:r>
      <w:r w:rsidR="00FA55A2" w:rsidRPr="007F5722">
        <w:rPr>
          <w:rFonts w:ascii="Times New Roman" w:eastAsia="Times New Roman" w:hAnsi="Times New Roman" w:cs="Times New Roman"/>
          <w:color w:val="000000"/>
          <w:sz w:val="28"/>
          <w:szCs w:val="28"/>
        </w:rPr>
        <w:t xml:space="preserve">з нормальною масою тіла </w:t>
      </w:r>
      <w:r w:rsidRPr="007F5722">
        <w:rPr>
          <w:rFonts w:ascii="Times New Roman" w:eastAsia="Times New Roman" w:hAnsi="Times New Roman" w:cs="Times New Roman"/>
          <w:color w:val="000000"/>
          <w:sz w:val="28"/>
          <w:szCs w:val="28"/>
        </w:rPr>
        <w:t xml:space="preserve">(середній вік </w:t>
      </w:r>
      <w:r w:rsidR="00FA55A2" w:rsidRPr="007F5722">
        <w:rPr>
          <w:rFonts w:ascii="Times New Roman" w:eastAsia="Times New Roman" w:hAnsi="Times New Roman" w:cs="Times New Roman"/>
          <w:color w:val="000000"/>
          <w:sz w:val="28"/>
          <w:szCs w:val="28"/>
        </w:rPr>
        <w:t>64,0 (52</w:t>
      </w:r>
      <w:r w:rsidRPr="007F5722">
        <w:rPr>
          <w:rFonts w:ascii="Times New Roman" w:eastAsia="Times New Roman" w:hAnsi="Times New Roman" w:cs="Times New Roman"/>
          <w:color w:val="000000"/>
          <w:sz w:val="28"/>
          <w:szCs w:val="28"/>
        </w:rPr>
        <w:t>,0</w:t>
      </w:r>
      <w:r w:rsidR="00FA55A2" w:rsidRPr="007F5722">
        <w:rPr>
          <w:rFonts w:ascii="Times New Roman" w:eastAsia="Times New Roman" w:hAnsi="Times New Roman" w:cs="Times New Roman"/>
          <w:color w:val="000000"/>
          <w:sz w:val="28"/>
          <w:szCs w:val="28"/>
        </w:rPr>
        <w:t>; 69,0</w:t>
      </w:r>
      <w:r w:rsidRPr="007F5722">
        <w:rPr>
          <w:rFonts w:ascii="Times New Roman" w:eastAsia="Times New Roman" w:hAnsi="Times New Roman" w:cs="Times New Roman"/>
          <w:color w:val="000000"/>
          <w:sz w:val="28"/>
          <w:szCs w:val="28"/>
        </w:rPr>
        <w:t>) років). Контрольну групу ск</w:t>
      </w:r>
      <w:r w:rsidR="00047F22" w:rsidRPr="007F5722">
        <w:rPr>
          <w:rFonts w:ascii="Times New Roman" w:eastAsia="Times New Roman" w:hAnsi="Times New Roman" w:cs="Times New Roman"/>
          <w:color w:val="000000"/>
          <w:sz w:val="28"/>
          <w:szCs w:val="28"/>
        </w:rPr>
        <w:t>лали 12 практично здорових осіб.</w:t>
      </w:r>
    </w:p>
    <w:p w:rsidR="00853662" w:rsidRPr="007F5722" w:rsidRDefault="009D2231" w:rsidP="00310757">
      <w:pPr>
        <w:shd w:val="clear" w:color="auto" w:fill="FFFFFF"/>
        <w:spacing w:after="0" w:line="360" w:lineRule="auto"/>
        <w:ind w:firstLine="709"/>
        <w:jc w:val="center"/>
        <w:rPr>
          <w:rFonts w:ascii="Times New Roman" w:eastAsia="Times New Roman" w:hAnsi="Times New Roman" w:cs="Times New Roman"/>
          <w:color w:val="000000"/>
          <w:sz w:val="28"/>
          <w:szCs w:val="28"/>
          <w:lang w:val="ru-RU"/>
        </w:rPr>
      </w:pPr>
      <w:r w:rsidRPr="007F5722">
        <w:rPr>
          <w:noProof/>
          <w:lang w:val="ru-RU" w:eastAsia="ru-RU"/>
        </w:rPr>
        <w:drawing>
          <wp:inline distT="0" distB="0" distL="0" distR="0">
            <wp:extent cx="4091940" cy="2095500"/>
            <wp:effectExtent l="0" t="0" r="381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85B85" w:rsidRPr="007F5722" w:rsidRDefault="00204B75" w:rsidP="00204B75">
      <w:pPr>
        <w:shd w:val="clear" w:color="auto" w:fill="FFFFFF"/>
        <w:spacing w:after="0" w:line="360" w:lineRule="auto"/>
        <w:ind w:firstLine="709"/>
        <w:jc w:val="both"/>
        <w:rPr>
          <w:rFonts w:ascii="Times New Roman" w:eastAsia="Times New Roman" w:hAnsi="Times New Roman" w:cs="Times New Roman"/>
          <w:color w:val="000000"/>
          <w:sz w:val="28"/>
          <w:szCs w:val="28"/>
          <w:lang w:val="ru-RU"/>
        </w:rPr>
      </w:pPr>
      <w:r w:rsidRPr="007F5722">
        <w:rPr>
          <w:rFonts w:ascii="Times New Roman" w:eastAsia="Times New Roman" w:hAnsi="Times New Roman" w:cs="Times New Roman"/>
          <w:color w:val="000000"/>
          <w:sz w:val="28"/>
          <w:szCs w:val="28"/>
          <w:lang w:val="ru-RU"/>
        </w:rPr>
        <w:t xml:space="preserve">Рис.2.1.1. </w:t>
      </w:r>
      <w:r w:rsidRPr="007F5722">
        <w:rPr>
          <w:rFonts w:ascii="Times New Roman" w:eastAsia="Times New Roman" w:hAnsi="Times New Roman" w:cs="Times New Roman"/>
          <w:color w:val="000000"/>
          <w:sz w:val="28"/>
          <w:szCs w:val="28"/>
        </w:rPr>
        <w:t>Розподіл обстежених по основній, порівняльній та контрольній групі</w:t>
      </w:r>
    </w:p>
    <w:p w:rsidR="00047F22" w:rsidRPr="007F5722" w:rsidRDefault="00400F95" w:rsidP="00204B75">
      <w:pPr>
        <w:shd w:val="clear" w:color="auto" w:fill="FFFFFF"/>
        <w:spacing w:after="0" w:line="360" w:lineRule="auto"/>
        <w:ind w:firstLine="709"/>
        <w:jc w:val="both"/>
        <w:rPr>
          <w:rFonts w:ascii="Times New Roman" w:eastAsia="Times New Roman" w:hAnsi="Times New Roman" w:cs="Times New Roman"/>
          <w:color w:val="000000"/>
          <w:sz w:val="28"/>
          <w:szCs w:val="28"/>
          <w:lang w:val="ru-RU"/>
        </w:rPr>
      </w:pPr>
      <w:r w:rsidRPr="007F5722">
        <w:rPr>
          <w:rFonts w:ascii="Times New Roman" w:eastAsia="Times New Roman" w:hAnsi="Times New Roman" w:cs="Times New Roman"/>
          <w:color w:val="000000"/>
          <w:sz w:val="28"/>
          <w:szCs w:val="28"/>
        </w:rPr>
        <w:lastRenderedPageBreak/>
        <w:t xml:space="preserve">У зв’язку з тим, що за даними чисельних клінічних досліджень встановлені </w:t>
      </w:r>
      <w:r w:rsidR="002F6F5E" w:rsidRPr="007F5722">
        <w:rPr>
          <w:rFonts w:ascii="Times New Roman" w:eastAsia="Times New Roman" w:hAnsi="Times New Roman" w:cs="Times New Roman"/>
          <w:color w:val="000000"/>
          <w:sz w:val="28"/>
          <w:szCs w:val="28"/>
        </w:rPr>
        <w:t xml:space="preserve">гендерні </w:t>
      </w:r>
      <w:r w:rsidR="00885B85" w:rsidRPr="007F5722">
        <w:rPr>
          <w:rFonts w:ascii="Times New Roman" w:eastAsia="Times New Roman" w:hAnsi="Times New Roman" w:cs="Times New Roman"/>
          <w:color w:val="000000"/>
          <w:sz w:val="28"/>
          <w:szCs w:val="28"/>
        </w:rPr>
        <w:t xml:space="preserve">особливості перебігу як </w:t>
      </w:r>
      <w:r w:rsidRPr="007F5722">
        <w:rPr>
          <w:rFonts w:ascii="Times New Roman" w:eastAsia="Times New Roman" w:hAnsi="Times New Roman" w:cs="Times New Roman"/>
          <w:color w:val="000000"/>
          <w:sz w:val="28"/>
          <w:szCs w:val="28"/>
        </w:rPr>
        <w:t>ГХ так и розподілу жирової тканини при ожирінні, з метою встановлення гендерних відмінностей перебігу цих коморбідн</w:t>
      </w:r>
      <w:r w:rsidR="00885B85" w:rsidRPr="007F5722">
        <w:rPr>
          <w:rFonts w:ascii="Times New Roman" w:eastAsia="Times New Roman" w:hAnsi="Times New Roman" w:cs="Times New Roman"/>
          <w:color w:val="000000"/>
          <w:sz w:val="28"/>
          <w:szCs w:val="28"/>
        </w:rPr>
        <w:t>их станів, хворих було розподіл</w:t>
      </w:r>
      <w:r w:rsidRPr="007F5722">
        <w:rPr>
          <w:rFonts w:ascii="Times New Roman" w:eastAsia="Times New Roman" w:hAnsi="Times New Roman" w:cs="Times New Roman"/>
          <w:color w:val="000000"/>
          <w:sz w:val="28"/>
          <w:szCs w:val="28"/>
        </w:rPr>
        <w:t>ено за статтю, що представлено на рис. 2.1.2.</w:t>
      </w:r>
    </w:p>
    <w:p w:rsidR="00047F22" w:rsidRPr="007F5722" w:rsidRDefault="003C7A45" w:rsidP="00310757">
      <w:pPr>
        <w:shd w:val="clear" w:color="auto" w:fill="FFFFFF"/>
        <w:spacing w:after="0" w:line="360" w:lineRule="auto"/>
        <w:ind w:firstLine="709"/>
        <w:jc w:val="center"/>
        <w:rPr>
          <w:rFonts w:ascii="Times New Roman" w:eastAsia="Times New Roman" w:hAnsi="Times New Roman" w:cs="Times New Roman"/>
          <w:color w:val="000000"/>
          <w:sz w:val="28"/>
          <w:szCs w:val="28"/>
        </w:rPr>
      </w:pPr>
      <w:r w:rsidRPr="007F5722">
        <w:rPr>
          <w:noProof/>
          <w:lang w:val="ru-RU" w:eastAsia="ru-RU"/>
        </w:rPr>
        <w:drawing>
          <wp:inline distT="0" distB="0" distL="0" distR="0">
            <wp:extent cx="3985260" cy="2186940"/>
            <wp:effectExtent l="0" t="0" r="15240" b="381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85B85" w:rsidRPr="007F5722" w:rsidRDefault="00204B75" w:rsidP="00204B7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Рис.2.1.2. Розподіл обстежених за статтю</w:t>
      </w:r>
    </w:p>
    <w:p w:rsidR="00A61F0E" w:rsidRPr="007F5722" w:rsidRDefault="00A61F0E" w:rsidP="00853662">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400F95" w:rsidRPr="007F5722" w:rsidRDefault="00400F95" w:rsidP="0085366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 xml:space="preserve">При сумаційному підході в основній групі та в групі порівняння кількість чоловіків становила 46 осіб, що становило 38 %, кількість жінок – 75 осіб, що склало 62%. </w:t>
      </w:r>
      <w:r w:rsidR="00FA55A2" w:rsidRPr="007F5722">
        <w:rPr>
          <w:rFonts w:ascii="Times New Roman" w:eastAsia="Times New Roman" w:hAnsi="Times New Roman" w:cs="Times New Roman"/>
          <w:color w:val="000000"/>
          <w:sz w:val="28"/>
          <w:szCs w:val="28"/>
        </w:rPr>
        <w:t xml:space="preserve">Серед обстежених осіб </w:t>
      </w:r>
      <w:r w:rsidRPr="007F5722">
        <w:rPr>
          <w:rFonts w:ascii="Times New Roman" w:eastAsia="Times New Roman" w:hAnsi="Times New Roman" w:cs="Times New Roman"/>
          <w:color w:val="000000"/>
          <w:sz w:val="28"/>
          <w:szCs w:val="28"/>
        </w:rPr>
        <w:t>основної</w:t>
      </w:r>
      <w:r w:rsidR="00FA55A2" w:rsidRPr="007F5722">
        <w:rPr>
          <w:rFonts w:ascii="Times New Roman" w:eastAsia="Times New Roman" w:hAnsi="Times New Roman" w:cs="Times New Roman"/>
          <w:color w:val="000000"/>
          <w:sz w:val="28"/>
          <w:szCs w:val="28"/>
        </w:rPr>
        <w:t xml:space="preserve"> групи кількість чоловіків становила 34 (35,4%), жінок – 62 (64,6%); у 2-й групі: чоловіків – 12 (48 %), жінок – </w:t>
      </w:r>
      <w:r w:rsidR="00590AC5" w:rsidRPr="007F5722">
        <w:rPr>
          <w:rFonts w:ascii="Times New Roman" w:eastAsia="Times New Roman" w:hAnsi="Times New Roman" w:cs="Times New Roman"/>
          <w:color w:val="000000"/>
          <w:sz w:val="28"/>
          <w:szCs w:val="28"/>
        </w:rPr>
        <w:t>13 (52</w:t>
      </w:r>
      <w:r w:rsidR="00FA55A2" w:rsidRPr="007F5722">
        <w:rPr>
          <w:rFonts w:ascii="Times New Roman" w:eastAsia="Times New Roman" w:hAnsi="Times New Roman" w:cs="Times New Roman"/>
          <w:color w:val="000000"/>
          <w:sz w:val="28"/>
          <w:szCs w:val="28"/>
        </w:rPr>
        <w:t xml:space="preserve">%). </w:t>
      </w:r>
      <w:r w:rsidRPr="007F5722">
        <w:rPr>
          <w:rFonts w:ascii="Times New Roman" w:eastAsia="Times New Roman" w:hAnsi="Times New Roman" w:cs="Times New Roman"/>
          <w:color w:val="000000"/>
          <w:sz w:val="28"/>
          <w:szCs w:val="28"/>
        </w:rPr>
        <w:t>Слід зазначити, що в основній групі при коморбідності ГХ та ожиріння превалювали жінки, що відображає загальні тенденції збільшення відсотку надлишкові маси тіла та ожиріння в популяції жінок середнього та похилого віку, що можна пов’язати с постменопаузальним періодом.</w:t>
      </w:r>
    </w:p>
    <w:p w:rsidR="003C742E" w:rsidRPr="00310757" w:rsidRDefault="00FA55A2" w:rsidP="00310757">
      <w:pPr>
        <w:shd w:val="clear" w:color="auto" w:fill="FFFFFF"/>
        <w:spacing w:after="0" w:line="360" w:lineRule="auto"/>
        <w:ind w:firstLine="708"/>
        <w:jc w:val="both"/>
        <w:rPr>
          <w:rFonts w:ascii="Times New Roman" w:hAnsi="Times New Roman" w:cs="Times New Roman"/>
          <w:sz w:val="28"/>
          <w:szCs w:val="28"/>
        </w:rPr>
      </w:pPr>
      <w:r w:rsidRPr="007F5722">
        <w:rPr>
          <w:rFonts w:ascii="Times New Roman" w:eastAsia="Times New Roman" w:hAnsi="Times New Roman" w:cs="Times New Roman"/>
          <w:color w:val="000000"/>
          <w:sz w:val="28"/>
          <w:szCs w:val="28"/>
        </w:rPr>
        <w:t xml:space="preserve">За віком уся отримана </w:t>
      </w:r>
      <w:r w:rsidR="004F4AD1" w:rsidRPr="007F5722">
        <w:rPr>
          <w:rFonts w:ascii="Times New Roman" w:eastAsia="Times New Roman" w:hAnsi="Times New Roman" w:cs="Times New Roman"/>
          <w:color w:val="000000"/>
          <w:sz w:val="28"/>
          <w:szCs w:val="28"/>
        </w:rPr>
        <w:t xml:space="preserve">когорта </w:t>
      </w:r>
      <w:r w:rsidRPr="007F5722">
        <w:rPr>
          <w:rFonts w:ascii="Times New Roman" w:eastAsia="Times New Roman" w:hAnsi="Times New Roman" w:cs="Times New Roman"/>
          <w:color w:val="000000"/>
          <w:sz w:val="28"/>
          <w:szCs w:val="28"/>
        </w:rPr>
        <w:t xml:space="preserve">пацієнтів розглядалась з точки зору таких вікових категорій, як середній та похилий вік. </w:t>
      </w:r>
      <w:r w:rsidR="00163828" w:rsidRPr="007F5722">
        <w:rPr>
          <w:rFonts w:ascii="Times New Roman" w:hAnsi="Times New Roman" w:cs="Times New Roman"/>
          <w:sz w:val="28"/>
          <w:szCs w:val="28"/>
        </w:rPr>
        <w:t>Відповідно до класифікації ВООЗ, люди середнього віку – це особи від 44 до 60 років, люди похилого віку – це особи 60- 74 років, старими називають осіб 75-89 років, а довгожителями – тих, кому за 90. За середніми показниками віку основну групу склали пацієнти похилого віку, середній показник 61,4</w:t>
      </w:r>
      <w:r w:rsidR="00637FE6" w:rsidRPr="007F5722">
        <w:rPr>
          <w:rFonts w:ascii="Times New Roman" w:hAnsi="Times New Roman" w:cs="Times New Roman"/>
          <w:sz w:val="28"/>
          <w:szCs w:val="28"/>
        </w:rPr>
        <w:t xml:space="preserve"> (54,0; 68,0)</w:t>
      </w:r>
      <w:r w:rsidR="00163828" w:rsidRPr="007F5722">
        <w:rPr>
          <w:rFonts w:ascii="Times New Roman" w:hAnsi="Times New Roman" w:cs="Times New Roman"/>
          <w:sz w:val="28"/>
          <w:szCs w:val="28"/>
        </w:rPr>
        <w:t xml:space="preserve"> роки, вікові </w:t>
      </w:r>
      <w:r w:rsidR="00163828" w:rsidRPr="007F5722">
        <w:rPr>
          <w:rFonts w:ascii="Times New Roman" w:hAnsi="Times New Roman" w:cs="Times New Roman"/>
          <w:sz w:val="28"/>
          <w:szCs w:val="28"/>
        </w:rPr>
        <w:lastRenderedPageBreak/>
        <w:t>характеристики в гр</w:t>
      </w:r>
      <w:r w:rsidR="00637FE6" w:rsidRPr="007F5722">
        <w:rPr>
          <w:rFonts w:ascii="Times New Roman" w:hAnsi="Times New Roman" w:cs="Times New Roman"/>
          <w:sz w:val="28"/>
          <w:szCs w:val="28"/>
        </w:rPr>
        <w:t>упі порівняння були в межах 62,2 (52,0; 69,0)</w:t>
      </w:r>
      <w:r w:rsidR="00163828" w:rsidRPr="007F5722">
        <w:rPr>
          <w:rFonts w:ascii="Times New Roman" w:hAnsi="Times New Roman" w:cs="Times New Roman"/>
          <w:sz w:val="28"/>
          <w:szCs w:val="28"/>
        </w:rPr>
        <w:t xml:space="preserve"> роки, а </w:t>
      </w:r>
      <w:r w:rsidR="00637FE6" w:rsidRPr="007F5722">
        <w:rPr>
          <w:rFonts w:ascii="Times New Roman" w:hAnsi="Times New Roman" w:cs="Times New Roman"/>
          <w:sz w:val="28"/>
          <w:szCs w:val="28"/>
        </w:rPr>
        <w:t xml:space="preserve">в </w:t>
      </w:r>
      <w:r w:rsidR="00163828" w:rsidRPr="007F5722">
        <w:rPr>
          <w:rFonts w:ascii="Times New Roman" w:hAnsi="Times New Roman" w:cs="Times New Roman"/>
          <w:sz w:val="28"/>
          <w:szCs w:val="28"/>
        </w:rPr>
        <w:t>контрольній групі вік обстежених у середньому склав 51,4</w:t>
      </w:r>
      <w:r w:rsidR="00637FE6" w:rsidRPr="007F5722">
        <w:rPr>
          <w:rFonts w:ascii="Times New Roman" w:hAnsi="Times New Roman" w:cs="Times New Roman"/>
          <w:sz w:val="28"/>
          <w:szCs w:val="28"/>
        </w:rPr>
        <w:t xml:space="preserve"> (48,5; 55,0)</w:t>
      </w:r>
      <w:r w:rsidR="00163828" w:rsidRPr="007F5722">
        <w:rPr>
          <w:rFonts w:ascii="Times New Roman" w:hAnsi="Times New Roman" w:cs="Times New Roman"/>
          <w:sz w:val="28"/>
          <w:szCs w:val="28"/>
        </w:rPr>
        <w:t xml:space="preserve"> роки</w:t>
      </w:r>
      <w:r w:rsidR="00310757">
        <w:rPr>
          <w:rFonts w:ascii="Times New Roman" w:hAnsi="Times New Roman" w:cs="Times New Roman"/>
          <w:sz w:val="28"/>
          <w:szCs w:val="28"/>
        </w:rPr>
        <w:t>, що представлено на рис.2.1.3.</w:t>
      </w:r>
    </w:p>
    <w:p w:rsidR="00047F22" w:rsidRPr="007F5722" w:rsidRDefault="00D84857" w:rsidP="00310757">
      <w:pPr>
        <w:shd w:val="clear" w:color="auto" w:fill="FFFFFF"/>
        <w:spacing w:after="0" w:line="360" w:lineRule="auto"/>
        <w:ind w:firstLine="709"/>
        <w:jc w:val="center"/>
        <w:rPr>
          <w:rFonts w:ascii="Times New Roman" w:eastAsia="Times New Roman" w:hAnsi="Times New Roman" w:cs="Times New Roman"/>
          <w:color w:val="000000"/>
          <w:sz w:val="28"/>
          <w:szCs w:val="28"/>
        </w:rPr>
      </w:pPr>
      <w:r w:rsidRPr="007F5722">
        <w:rPr>
          <w:noProof/>
          <w:lang w:val="ru-RU" w:eastAsia="ru-RU"/>
        </w:rPr>
        <w:drawing>
          <wp:inline distT="0" distB="0" distL="0" distR="0">
            <wp:extent cx="4152900" cy="2194560"/>
            <wp:effectExtent l="0" t="0" r="0" b="1524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47F22" w:rsidRPr="007F5722" w:rsidRDefault="00204B75" w:rsidP="00204B75">
      <w:pPr>
        <w:shd w:val="clear" w:color="auto" w:fill="FFFFFF"/>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Рис.2.1.3. Середні значення вікових градацій обстежених в основній, порівняльній та контрольній групах</w:t>
      </w:r>
    </w:p>
    <w:p w:rsidR="00A61F0E" w:rsidRPr="007F5722" w:rsidRDefault="00A61F0E" w:rsidP="00163828">
      <w:pPr>
        <w:shd w:val="clear" w:color="auto" w:fill="FFFFFF"/>
        <w:spacing w:after="0" w:line="360" w:lineRule="auto"/>
        <w:ind w:firstLine="708"/>
        <w:jc w:val="both"/>
        <w:rPr>
          <w:rFonts w:ascii="Times New Roman" w:eastAsia="Times New Roman" w:hAnsi="Times New Roman" w:cs="Times New Roman"/>
          <w:color w:val="000000"/>
          <w:sz w:val="28"/>
          <w:szCs w:val="28"/>
        </w:rPr>
      </w:pPr>
    </w:p>
    <w:p w:rsidR="00163828" w:rsidRPr="007F5722" w:rsidRDefault="00163828" w:rsidP="00163828">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Більш детальний аналіз вікових та гендерних особливостей у хворих на ГХ представлено у табл. 2.1.1.</w:t>
      </w:r>
    </w:p>
    <w:p w:rsidR="0009216A" w:rsidRPr="007F5722" w:rsidRDefault="00FB4BA2" w:rsidP="0009216A">
      <w:pPr>
        <w:shd w:val="clear" w:color="auto" w:fill="FFFFFF"/>
        <w:spacing w:after="0" w:line="360" w:lineRule="auto"/>
        <w:ind w:firstLine="709"/>
        <w:jc w:val="right"/>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 xml:space="preserve">Таблиця 2.1.1 </w:t>
      </w:r>
    </w:p>
    <w:p w:rsidR="0009216A" w:rsidRPr="007F5722" w:rsidRDefault="00FB4BA2" w:rsidP="0009216A">
      <w:pPr>
        <w:shd w:val="clear" w:color="auto" w:fill="FFFFFF"/>
        <w:spacing w:after="0" w:line="360" w:lineRule="auto"/>
        <w:ind w:firstLine="709"/>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Розподіл обстежених хворих за віком та статтю</w:t>
      </w:r>
    </w:p>
    <w:tbl>
      <w:tblPr>
        <w:tblStyle w:val="a9"/>
        <w:tblW w:w="0" w:type="auto"/>
        <w:tblLook w:val="04A0" w:firstRow="1" w:lastRow="0" w:firstColumn="1" w:lastColumn="0" w:noHBand="0" w:noVBand="1"/>
      </w:tblPr>
      <w:tblGrid>
        <w:gridCol w:w="1900"/>
        <w:gridCol w:w="1861"/>
        <w:gridCol w:w="1861"/>
        <w:gridCol w:w="1861"/>
        <w:gridCol w:w="1862"/>
      </w:tblGrid>
      <w:tr w:rsidR="00FB4BA2" w:rsidRPr="007F5722" w:rsidTr="003C742E">
        <w:trPr>
          <w:trHeight w:val="643"/>
        </w:trPr>
        <w:tc>
          <w:tcPr>
            <w:tcW w:w="1900" w:type="dxa"/>
            <w:vMerge w:val="restart"/>
          </w:tcPr>
          <w:p w:rsidR="00FB4BA2" w:rsidRPr="007F5722" w:rsidRDefault="00E53088" w:rsidP="00163828">
            <w:pPr>
              <w:spacing w:after="0" w:line="240" w:lineRule="auto"/>
              <w:jc w:val="right"/>
              <w:rPr>
                <w:rFonts w:ascii="Times New Roman" w:eastAsia="Times New Roman" w:hAnsi="Times New Roman" w:cs="Times New Roman"/>
                <w:color w:val="000000"/>
                <w:sz w:val="28"/>
                <w:szCs w:val="28"/>
              </w:rPr>
            </w:pPr>
            <w:r w:rsidRPr="007F5722">
              <w:rPr>
                <w:rFonts w:ascii="Times New Roman" w:eastAsia="Times New Roman" w:hAnsi="Times New Roman" w:cs="Times New Roman"/>
                <w:noProof/>
                <w:color w:val="000000"/>
                <w:sz w:val="28"/>
                <w:szCs w:val="28"/>
                <w:lang w:val="ru-RU" w:eastAsia="ru-RU"/>
              </w:rPr>
              <mc:AlternateContent>
                <mc:Choice Requires="wps">
                  <w:drawing>
                    <wp:anchor distT="0" distB="0" distL="114300" distR="114300" simplePos="0" relativeHeight="251671552" behindDoc="0" locked="0" layoutInCell="1" allowOverlap="1">
                      <wp:simplePos x="0" y="0"/>
                      <wp:positionH relativeFrom="column">
                        <wp:posOffset>-80010</wp:posOffset>
                      </wp:positionH>
                      <wp:positionV relativeFrom="paragraph">
                        <wp:posOffset>-8890</wp:posOffset>
                      </wp:positionV>
                      <wp:extent cx="1190625" cy="1038225"/>
                      <wp:effectExtent l="9525" t="9525" r="9525" b="9525"/>
                      <wp:wrapNone/>
                      <wp:docPr id="2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E7A25E" id="_x0000_t32" coordsize="21600,21600" o:spt="32" o:oned="t" path="m,l21600,21600e" filled="f">
                      <v:path arrowok="t" fillok="f" o:connecttype="none"/>
                      <o:lock v:ext="edit" shapetype="t"/>
                    </v:shapetype>
                    <v:shape id="AutoShape 12" o:spid="_x0000_s1026" type="#_x0000_t32" style="position:absolute;margin-left:-6.3pt;margin-top:-.7pt;width:93.75pt;height:8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"/>
                  </w:pict>
                </mc:Fallback>
              </mc:AlternateContent>
            </w:r>
            <w:r w:rsidR="00FB4BA2" w:rsidRPr="007F5722">
              <w:rPr>
                <w:rFonts w:ascii="Times New Roman" w:eastAsia="Times New Roman" w:hAnsi="Times New Roman" w:cs="Times New Roman"/>
                <w:color w:val="000000"/>
                <w:sz w:val="28"/>
                <w:szCs w:val="28"/>
              </w:rPr>
              <w:t>Показник</w:t>
            </w:r>
          </w:p>
          <w:p w:rsidR="00FB4BA2" w:rsidRPr="007F5722" w:rsidRDefault="00FB4BA2" w:rsidP="00163828">
            <w:pPr>
              <w:spacing w:after="0" w:line="240" w:lineRule="auto"/>
              <w:rPr>
                <w:rFonts w:ascii="Times New Roman" w:eastAsia="Times New Roman" w:hAnsi="Times New Roman" w:cs="Times New Roman"/>
                <w:color w:val="000000"/>
                <w:sz w:val="28"/>
                <w:szCs w:val="28"/>
                <w:lang w:val="en-US"/>
              </w:rPr>
            </w:pPr>
          </w:p>
          <w:p w:rsidR="00853662" w:rsidRPr="007F5722" w:rsidRDefault="00853662" w:rsidP="00163828">
            <w:pPr>
              <w:spacing w:after="0" w:line="240" w:lineRule="auto"/>
              <w:rPr>
                <w:rFonts w:ascii="Times New Roman" w:eastAsia="Times New Roman" w:hAnsi="Times New Roman" w:cs="Times New Roman"/>
                <w:color w:val="000000"/>
                <w:sz w:val="28"/>
                <w:szCs w:val="28"/>
                <w:lang w:val="en-US"/>
              </w:rPr>
            </w:pPr>
          </w:p>
          <w:p w:rsidR="00FB4BA2" w:rsidRPr="007F5722" w:rsidRDefault="00FB4BA2" w:rsidP="00163828">
            <w:pPr>
              <w:spacing w:after="0" w:line="240" w:lineRule="auto"/>
              <w:rPr>
                <w:rFonts w:ascii="Times New Roman" w:eastAsia="Times New Roman" w:hAnsi="Times New Roman" w:cs="Times New Roman"/>
                <w:i/>
                <w:color w:val="000000"/>
                <w:sz w:val="28"/>
                <w:szCs w:val="28"/>
              </w:rPr>
            </w:pPr>
            <w:r w:rsidRPr="007F5722">
              <w:rPr>
                <w:rFonts w:ascii="Times New Roman" w:eastAsia="Times New Roman" w:hAnsi="Times New Roman" w:cs="Times New Roman"/>
                <w:color w:val="000000"/>
                <w:sz w:val="28"/>
                <w:szCs w:val="28"/>
              </w:rPr>
              <w:t>Група</w:t>
            </w:r>
          </w:p>
        </w:tc>
        <w:tc>
          <w:tcPr>
            <w:tcW w:w="3722" w:type="dxa"/>
            <w:gridSpan w:val="2"/>
          </w:tcPr>
          <w:p w:rsidR="00FB4BA2" w:rsidRPr="007F5722" w:rsidRDefault="00853662" w:rsidP="00163828">
            <w:pPr>
              <w:spacing w:after="0" w:line="24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Середній</w:t>
            </w:r>
            <w:r w:rsidR="00FB4BA2" w:rsidRPr="007F5722">
              <w:rPr>
                <w:rFonts w:ascii="Times New Roman" w:eastAsia="Times New Roman" w:hAnsi="Times New Roman" w:cs="Times New Roman"/>
                <w:color w:val="000000"/>
                <w:sz w:val="28"/>
                <w:szCs w:val="28"/>
              </w:rPr>
              <w:t xml:space="preserve"> вік </w:t>
            </w:r>
            <w:r w:rsidR="00FB4BA2" w:rsidRPr="007F5722">
              <w:rPr>
                <w:rFonts w:ascii="Times New Roman" w:hAnsi="Times New Roman" w:cs="Times New Roman"/>
                <w:iCs/>
                <w:sz w:val="28"/>
                <w:szCs w:val="28"/>
              </w:rPr>
              <w:t>(n-абс/%)</w:t>
            </w:r>
          </w:p>
        </w:tc>
        <w:tc>
          <w:tcPr>
            <w:tcW w:w="3723" w:type="dxa"/>
            <w:gridSpan w:val="2"/>
          </w:tcPr>
          <w:p w:rsidR="00FB4BA2" w:rsidRPr="007F5722" w:rsidRDefault="00FB4BA2" w:rsidP="00163828">
            <w:pPr>
              <w:spacing w:after="0" w:line="24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 xml:space="preserve">Похилий вік </w:t>
            </w:r>
            <w:r w:rsidRPr="007F5722">
              <w:rPr>
                <w:rFonts w:ascii="Times New Roman" w:hAnsi="Times New Roman" w:cs="Times New Roman"/>
                <w:iCs/>
                <w:sz w:val="28"/>
                <w:szCs w:val="28"/>
              </w:rPr>
              <w:t>(n-абс/%)</w:t>
            </w:r>
          </w:p>
        </w:tc>
      </w:tr>
      <w:tr w:rsidR="00FB4BA2" w:rsidRPr="007F5722" w:rsidTr="003C742E">
        <w:trPr>
          <w:trHeight w:val="978"/>
        </w:trPr>
        <w:tc>
          <w:tcPr>
            <w:tcW w:w="1900" w:type="dxa"/>
            <w:vMerge/>
          </w:tcPr>
          <w:p w:rsidR="00FB4BA2" w:rsidRPr="007F5722" w:rsidRDefault="00FB4BA2" w:rsidP="00163828">
            <w:pPr>
              <w:spacing w:after="0" w:line="240" w:lineRule="auto"/>
              <w:jc w:val="center"/>
              <w:rPr>
                <w:rFonts w:ascii="Times New Roman" w:eastAsia="Times New Roman" w:hAnsi="Times New Roman" w:cs="Times New Roman"/>
                <w:i/>
                <w:color w:val="000000"/>
                <w:sz w:val="28"/>
                <w:szCs w:val="28"/>
              </w:rPr>
            </w:pPr>
          </w:p>
        </w:tc>
        <w:tc>
          <w:tcPr>
            <w:tcW w:w="1861" w:type="dxa"/>
          </w:tcPr>
          <w:p w:rsidR="00FB4BA2" w:rsidRPr="007F5722" w:rsidRDefault="00FB4BA2" w:rsidP="00163828">
            <w:pPr>
              <w:spacing w:after="0" w:line="24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Ч</w:t>
            </w:r>
          </w:p>
          <w:p w:rsidR="00FB4BA2" w:rsidRPr="007F5722" w:rsidRDefault="0009216A" w:rsidP="00163828">
            <w:pPr>
              <w:spacing w:after="0" w:line="24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(39</w:t>
            </w:r>
            <w:r w:rsidR="00FB4BA2" w:rsidRPr="007F5722">
              <w:rPr>
                <w:rFonts w:ascii="Times New Roman" w:eastAsia="Times New Roman" w:hAnsi="Times New Roman" w:cs="Times New Roman"/>
                <w:color w:val="000000"/>
                <w:sz w:val="28"/>
                <w:szCs w:val="28"/>
              </w:rPr>
              <w:t>-60 років)</w:t>
            </w:r>
          </w:p>
        </w:tc>
        <w:tc>
          <w:tcPr>
            <w:tcW w:w="1861" w:type="dxa"/>
          </w:tcPr>
          <w:p w:rsidR="00FB4BA2" w:rsidRPr="007F5722" w:rsidRDefault="00FB4BA2" w:rsidP="00163828">
            <w:pPr>
              <w:spacing w:after="0" w:line="24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Ж</w:t>
            </w:r>
          </w:p>
          <w:p w:rsidR="0009216A" w:rsidRPr="007F5722" w:rsidRDefault="0009216A" w:rsidP="00163828">
            <w:pPr>
              <w:spacing w:after="0" w:line="24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(44-60 років)</w:t>
            </w:r>
          </w:p>
        </w:tc>
        <w:tc>
          <w:tcPr>
            <w:tcW w:w="1861" w:type="dxa"/>
          </w:tcPr>
          <w:p w:rsidR="00FB4BA2" w:rsidRPr="007F5722" w:rsidRDefault="00FB4BA2" w:rsidP="00163828">
            <w:pPr>
              <w:spacing w:after="0" w:line="24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Ч</w:t>
            </w:r>
          </w:p>
          <w:p w:rsidR="0009216A" w:rsidRPr="007F5722" w:rsidRDefault="0009216A" w:rsidP="00163828">
            <w:pPr>
              <w:spacing w:after="0" w:line="24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(61-78 років)</w:t>
            </w:r>
          </w:p>
        </w:tc>
        <w:tc>
          <w:tcPr>
            <w:tcW w:w="1862" w:type="dxa"/>
          </w:tcPr>
          <w:p w:rsidR="00FB4BA2" w:rsidRPr="007F5722" w:rsidRDefault="00FB4BA2" w:rsidP="00163828">
            <w:pPr>
              <w:spacing w:after="0" w:line="24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Ж</w:t>
            </w:r>
          </w:p>
          <w:p w:rsidR="0009216A" w:rsidRPr="007F5722" w:rsidRDefault="0009216A" w:rsidP="00163828">
            <w:pPr>
              <w:spacing w:after="0" w:line="24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(61-78 років)</w:t>
            </w:r>
          </w:p>
        </w:tc>
      </w:tr>
      <w:tr w:rsidR="00FB4BA2" w:rsidRPr="007F5722" w:rsidTr="003C742E">
        <w:tc>
          <w:tcPr>
            <w:tcW w:w="1900" w:type="dxa"/>
          </w:tcPr>
          <w:p w:rsidR="00FB4BA2" w:rsidRPr="007F5722" w:rsidRDefault="00D84857" w:rsidP="00163828">
            <w:pPr>
              <w:spacing w:after="0" w:line="24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ГХ+ОЖ</w:t>
            </w:r>
          </w:p>
        </w:tc>
        <w:tc>
          <w:tcPr>
            <w:tcW w:w="1861" w:type="dxa"/>
            <w:vAlign w:val="center"/>
          </w:tcPr>
          <w:p w:rsidR="00FB4BA2" w:rsidRPr="007F5722" w:rsidRDefault="0009216A" w:rsidP="00163828">
            <w:pPr>
              <w:spacing w:after="0" w:line="24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16/16,7</w:t>
            </w:r>
          </w:p>
        </w:tc>
        <w:tc>
          <w:tcPr>
            <w:tcW w:w="1861" w:type="dxa"/>
            <w:vAlign w:val="center"/>
          </w:tcPr>
          <w:p w:rsidR="00FB4BA2" w:rsidRPr="007F5722" w:rsidRDefault="00FA5186" w:rsidP="00163828">
            <w:pPr>
              <w:spacing w:after="0" w:line="24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28/29,2</w:t>
            </w:r>
          </w:p>
        </w:tc>
        <w:tc>
          <w:tcPr>
            <w:tcW w:w="1861" w:type="dxa"/>
            <w:vAlign w:val="center"/>
          </w:tcPr>
          <w:p w:rsidR="00FB4BA2" w:rsidRPr="007F5722" w:rsidRDefault="0009216A" w:rsidP="00163828">
            <w:pPr>
              <w:spacing w:after="0" w:line="24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18/18,</w:t>
            </w:r>
            <w:r w:rsidR="00FA5186" w:rsidRPr="007F5722">
              <w:rPr>
                <w:rFonts w:ascii="Times New Roman" w:eastAsia="Times New Roman" w:hAnsi="Times New Roman" w:cs="Times New Roman"/>
                <w:color w:val="000000"/>
                <w:sz w:val="28"/>
                <w:szCs w:val="28"/>
              </w:rPr>
              <w:t>7</w:t>
            </w:r>
          </w:p>
        </w:tc>
        <w:tc>
          <w:tcPr>
            <w:tcW w:w="1862" w:type="dxa"/>
            <w:vAlign w:val="center"/>
          </w:tcPr>
          <w:p w:rsidR="00FB4BA2" w:rsidRPr="007F5722" w:rsidRDefault="00FA5186" w:rsidP="00163828">
            <w:pPr>
              <w:spacing w:after="0" w:line="24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34/35,4</w:t>
            </w:r>
          </w:p>
        </w:tc>
      </w:tr>
      <w:tr w:rsidR="00FB4BA2" w:rsidRPr="007F5722" w:rsidTr="003C742E">
        <w:tc>
          <w:tcPr>
            <w:tcW w:w="1900" w:type="dxa"/>
          </w:tcPr>
          <w:p w:rsidR="00FB4BA2" w:rsidRPr="007F5722" w:rsidRDefault="00D84857" w:rsidP="00163828">
            <w:pPr>
              <w:spacing w:after="0" w:line="24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ГХ</w:t>
            </w:r>
          </w:p>
        </w:tc>
        <w:tc>
          <w:tcPr>
            <w:tcW w:w="1861" w:type="dxa"/>
            <w:vAlign w:val="center"/>
          </w:tcPr>
          <w:p w:rsidR="00FB4BA2" w:rsidRPr="007F5722" w:rsidRDefault="00FA5186" w:rsidP="00163828">
            <w:pPr>
              <w:spacing w:after="0" w:line="24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7/28</w:t>
            </w:r>
          </w:p>
        </w:tc>
        <w:tc>
          <w:tcPr>
            <w:tcW w:w="1861" w:type="dxa"/>
            <w:vAlign w:val="center"/>
          </w:tcPr>
          <w:p w:rsidR="00FB4BA2" w:rsidRPr="007F5722" w:rsidRDefault="00FA5186" w:rsidP="00163828">
            <w:pPr>
              <w:spacing w:after="0" w:line="24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4/16</w:t>
            </w:r>
          </w:p>
        </w:tc>
        <w:tc>
          <w:tcPr>
            <w:tcW w:w="1861" w:type="dxa"/>
            <w:vAlign w:val="center"/>
          </w:tcPr>
          <w:p w:rsidR="00FB4BA2" w:rsidRPr="007F5722" w:rsidRDefault="00FA5186" w:rsidP="00163828">
            <w:pPr>
              <w:spacing w:after="0" w:line="24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5/20</w:t>
            </w:r>
          </w:p>
        </w:tc>
        <w:tc>
          <w:tcPr>
            <w:tcW w:w="1862" w:type="dxa"/>
            <w:vAlign w:val="center"/>
          </w:tcPr>
          <w:p w:rsidR="00FB4BA2" w:rsidRPr="007F5722" w:rsidRDefault="00FA5186" w:rsidP="00163828">
            <w:pPr>
              <w:spacing w:after="0" w:line="24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9/36</w:t>
            </w:r>
          </w:p>
        </w:tc>
      </w:tr>
    </w:tbl>
    <w:p w:rsidR="00D84857" w:rsidRPr="007F5722" w:rsidRDefault="00D84857" w:rsidP="003C742E">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3C742E" w:rsidRPr="007F5722" w:rsidRDefault="003C742E" w:rsidP="003C742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Звертає увагу, що у віковій та гендерній структурі всієї вибірки встановлено достовірно вищий середній вік у жінок 64,0 (54,0; 69,0) років, ніж у чоловіків 60,5 (53,0; 67,0) років (</w:t>
      </w:r>
      <w:r w:rsidRPr="007F5722">
        <w:rPr>
          <w:rFonts w:ascii="Times New Roman" w:eastAsia="Times New Roman" w:hAnsi="Times New Roman" w:cs="Times New Roman"/>
          <w:color w:val="000000"/>
          <w:sz w:val="28"/>
          <w:szCs w:val="28"/>
          <w:lang w:val="en-US"/>
        </w:rPr>
        <w:t>p</w:t>
      </w:r>
      <w:r w:rsidRPr="007F5722">
        <w:rPr>
          <w:rFonts w:ascii="Times New Roman" w:eastAsia="Times New Roman" w:hAnsi="Times New Roman" w:cs="Times New Roman"/>
          <w:color w:val="000000"/>
          <w:sz w:val="28"/>
          <w:szCs w:val="28"/>
        </w:rPr>
        <w:t>&gt;0,05), що можна пояснити довшою тривалістю життя жінок в Україні.</w:t>
      </w:r>
    </w:p>
    <w:p w:rsidR="001D4C94" w:rsidRPr="007F5722" w:rsidRDefault="001E143C" w:rsidP="001D4C94">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Аналіз тривалості ГХ у</w:t>
      </w:r>
      <w:r w:rsidR="001D4C94" w:rsidRPr="007F5722">
        <w:rPr>
          <w:rFonts w:ascii="Times New Roman" w:eastAsia="Times New Roman" w:hAnsi="Times New Roman" w:cs="Times New Roman"/>
          <w:sz w:val="28"/>
          <w:szCs w:val="28"/>
        </w:rPr>
        <w:t xml:space="preserve"> загальній когорті обстежених </w:t>
      </w:r>
      <w:r w:rsidR="009A7439" w:rsidRPr="007F5722">
        <w:rPr>
          <w:rFonts w:ascii="Times New Roman" w:eastAsia="Times New Roman" w:hAnsi="Times New Roman" w:cs="Times New Roman"/>
          <w:sz w:val="28"/>
          <w:szCs w:val="28"/>
        </w:rPr>
        <w:t xml:space="preserve">пацієнтів за анамнестичними даними показав </w:t>
      </w:r>
      <w:r w:rsidR="00C97C6A" w:rsidRPr="007F5722">
        <w:rPr>
          <w:rFonts w:ascii="Times New Roman" w:eastAsia="Times New Roman" w:hAnsi="Times New Roman" w:cs="Times New Roman"/>
          <w:sz w:val="28"/>
          <w:szCs w:val="28"/>
        </w:rPr>
        <w:t>середню давність захворювання 8,69</w:t>
      </w:r>
      <w:r w:rsidR="009A7439" w:rsidRPr="007F5722">
        <w:rPr>
          <w:rFonts w:ascii="Times New Roman" w:eastAsia="Times New Roman" w:hAnsi="Times New Roman" w:cs="Times New Roman"/>
          <w:sz w:val="28"/>
          <w:szCs w:val="28"/>
        </w:rPr>
        <w:t xml:space="preserve"> ± </w:t>
      </w:r>
      <w:r w:rsidR="00C97C6A" w:rsidRPr="007F5722">
        <w:rPr>
          <w:rFonts w:ascii="Times New Roman" w:eastAsia="Times New Roman" w:hAnsi="Times New Roman" w:cs="Times New Roman"/>
          <w:sz w:val="28"/>
          <w:szCs w:val="28"/>
        </w:rPr>
        <w:t>0,82</w:t>
      </w:r>
      <w:r w:rsidR="009A7439" w:rsidRPr="007F5722">
        <w:rPr>
          <w:rFonts w:ascii="Times New Roman" w:eastAsia="Times New Roman" w:hAnsi="Times New Roman" w:cs="Times New Roman"/>
          <w:sz w:val="28"/>
          <w:szCs w:val="28"/>
        </w:rPr>
        <w:t xml:space="preserve"> </w:t>
      </w:r>
      <w:r w:rsidR="009A7439" w:rsidRPr="007F5722">
        <w:rPr>
          <w:rFonts w:ascii="Times New Roman" w:eastAsia="Times New Roman" w:hAnsi="Times New Roman" w:cs="Times New Roman"/>
          <w:sz w:val="28"/>
          <w:szCs w:val="28"/>
        </w:rPr>
        <w:lastRenderedPageBreak/>
        <w:t>років, та коли</w:t>
      </w:r>
      <w:r w:rsidR="00C97C6A" w:rsidRPr="007F5722">
        <w:rPr>
          <w:rFonts w:ascii="Times New Roman" w:eastAsia="Times New Roman" w:hAnsi="Times New Roman" w:cs="Times New Roman"/>
          <w:sz w:val="28"/>
          <w:szCs w:val="28"/>
        </w:rPr>
        <w:t>вався в межах від 6 місяців до 3</w:t>
      </w:r>
      <w:r w:rsidR="009A7439" w:rsidRPr="007F5722">
        <w:rPr>
          <w:rFonts w:ascii="Times New Roman" w:eastAsia="Times New Roman" w:hAnsi="Times New Roman" w:cs="Times New Roman"/>
          <w:sz w:val="28"/>
          <w:szCs w:val="28"/>
        </w:rPr>
        <w:t xml:space="preserve">0 років (табл. 2.1.2). Було встановлено, що </w:t>
      </w:r>
      <w:r w:rsidR="002C3998" w:rsidRPr="007F5722">
        <w:rPr>
          <w:rFonts w:ascii="Times New Roman" w:eastAsia="Times New Roman" w:hAnsi="Times New Roman" w:cs="Times New Roman"/>
          <w:sz w:val="28"/>
          <w:szCs w:val="28"/>
        </w:rPr>
        <w:t>ГХ тривала менше 5 років у 33,8</w:t>
      </w:r>
      <w:r w:rsidR="009A7439" w:rsidRPr="007F5722">
        <w:rPr>
          <w:rFonts w:ascii="Times New Roman" w:eastAsia="Times New Roman" w:hAnsi="Times New Roman" w:cs="Times New Roman"/>
          <w:sz w:val="28"/>
          <w:szCs w:val="28"/>
        </w:rPr>
        <w:t xml:space="preserve"> % хворих, ГХ тривалістю від</w:t>
      </w:r>
      <w:r w:rsidR="002C3998" w:rsidRPr="007F5722">
        <w:rPr>
          <w:rFonts w:ascii="Times New Roman" w:eastAsia="Times New Roman" w:hAnsi="Times New Roman" w:cs="Times New Roman"/>
          <w:sz w:val="28"/>
          <w:szCs w:val="28"/>
        </w:rPr>
        <w:t xml:space="preserve"> 5 до 10 років мала місце у 37,8 </w:t>
      </w:r>
      <w:r w:rsidR="009A7439" w:rsidRPr="007F5722">
        <w:rPr>
          <w:rFonts w:ascii="Times New Roman" w:eastAsia="Times New Roman" w:hAnsi="Times New Roman" w:cs="Times New Roman"/>
          <w:sz w:val="28"/>
          <w:szCs w:val="28"/>
        </w:rPr>
        <w:t>% хворих, а більш тривалий анамнез хвороби (до</w:t>
      </w:r>
      <w:r w:rsidR="002C3998" w:rsidRPr="007F5722">
        <w:rPr>
          <w:rFonts w:ascii="Times New Roman" w:eastAsia="Times New Roman" w:hAnsi="Times New Roman" w:cs="Times New Roman"/>
          <w:sz w:val="28"/>
          <w:szCs w:val="28"/>
        </w:rPr>
        <w:t xml:space="preserve">вше 10 років) встановлено у 28,4 </w:t>
      </w:r>
      <w:r w:rsidR="009A7439" w:rsidRPr="007F5722">
        <w:rPr>
          <w:rFonts w:ascii="Times New Roman" w:eastAsia="Times New Roman" w:hAnsi="Times New Roman" w:cs="Times New Roman"/>
          <w:sz w:val="28"/>
          <w:szCs w:val="28"/>
        </w:rPr>
        <w:t>% пацієнтів.</w:t>
      </w:r>
      <w:r w:rsidR="001D4C94" w:rsidRPr="007F5722">
        <w:rPr>
          <w:rFonts w:ascii="Times New Roman" w:eastAsia="Times New Roman" w:hAnsi="Times New Roman" w:cs="Times New Roman"/>
          <w:sz w:val="28"/>
          <w:szCs w:val="28"/>
        </w:rPr>
        <w:t xml:space="preserve"> При детальному аналізі в основній групі тривалість ГХ ме</w:t>
      </w:r>
      <w:r w:rsidR="00637FE6" w:rsidRPr="007F5722">
        <w:rPr>
          <w:rFonts w:ascii="Times New Roman" w:eastAsia="Times New Roman" w:hAnsi="Times New Roman" w:cs="Times New Roman"/>
          <w:sz w:val="28"/>
          <w:szCs w:val="28"/>
        </w:rPr>
        <w:t xml:space="preserve">нше 5 років була встановлена у </w:t>
      </w:r>
      <w:r w:rsidR="001D4C94" w:rsidRPr="007F5722">
        <w:rPr>
          <w:rFonts w:ascii="Times New Roman" w:eastAsia="Times New Roman" w:hAnsi="Times New Roman" w:cs="Times New Roman"/>
          <w:sz w:val="28"/>
          <w:szCs w:val="28"/>
        </w:rPr>
        <w:t>33,3</w:t>
      </w:r>
      <w:r w:rsidR="00637FE6" w:rsidRPr="007F5722">
        <w:rPr>
          <w:rFonts w:ascii="Times New Roman" w:eastAsia="Times New Roman" w:hAnsi="Times New Roman" w:cs="Times New Roman"/>
          <w:sz w:val="28"/>
          <w:szCs w:val="28"/>
        </w:rPr>
        <w:t> </w:t>
      </w:r>
      <w:r w:rsidR="001D4C94" w:rsidRPr="007F5722">
        <w:rPr>
          <w:rFonts w:ascii="Times New Roman" w:eastAsia="Times New Roman" w:hAnsi="Times New Roman" w:cs="Times New Roman"/>
          <w:sz w:val="28"/>
          <w:szCs w:val="28"/>
        </w:rPr>
        <w:t>% обстежених, від 5 до 10 років –  у 37,5 % пацієнтів, більше</w:t>
      </w:r>
      <w:r w:rsidR="00637FE6" w:rsidRPr="007F5722">
        <w:rPr>
          <w:rFonts w:ascii="Times New Roman" w:eastAsia="Times New Roman" w:hAnsi="Times New Roman" w:cs="Times New Roman"/>
          <w:sz w:val="28"/>
          <w:szCs w:val="28"/>
        </w:rPr>
        <w:t xml:space="preserve"> </w:t>
      </w:r>
      <w:r w:rsidR="001D4C94" w:rsidRPr="007F5722">
        <w:rPr>
          <w:rFonts w:ascii="Times New Roman" w:eastAsia="Times New Roman" w:hAnsi="Times New Roman" w:cs="Times New Roman"/>
          <w:sz w:val="28"/>
          <w:szCs w:val="28"/>
        </w:rPr>
        <w:t>10 років - у 29,2 % пацієнтів. При детальному аналізі в групі порівняння тривалість ГХ ме</w:t>
      </w:r>
      <w:r w:rsidR="00637FE6" w:rsidRPr="007F5722">
        <w:rPr>
          <w:rFonts w:ascii="Times New Roman" w:eastAsia="Times New Roman" w:hAnsi="Times New Roman" w:cs="Times New Roman"/>
          <w:sz w:val="28"/>
          <w:szCs w:val="28"/>
        </w:rPr>
        <w:t xml:space="preserve">нше 5 років була встановлена у </w:t>
      </w:r>
      <w:r w:rsidR="001D4C94" w:rsidRPr="007F5722">
        <w:rPr>
          <w:rFonts w:ascii="Times New Roman" w:eastAsia="Times New Roman" w:hAnsi="Times New Roman" w:cs="Times New Roman"/>
          <w:sz w:val="28"/>
          <w:szCs w:val="28"/>
        </w:rPr>
        <w:t>48 % о</w:t>
      </w:r>
      <w:r w:rsidR="00637FE6" w:rsidRPr="007F5722">
        <w:rPr>
          <w:rFonts w:ascii="Times New Roman" w:eastAsia="Times New Roman" w:hAnsi="Times New Roman" w:cs="Times New Roman"/>
          <w:sz w:val="28"/>
          <w:szCs w:val="28"/>
        </w:rPr>
        <w:t xml:space="preserve">бстежених, від 5 до 10 років – </w:t>
      </w:r>
      <w:r w:rsidR="001D4C94" w:rsidRPr="007F5722">
        <w:rPr>
          <w:rFonts w:ascii="Times New Roman" w:eastAsia="Times New Roman" w:hAnsi="Times New Roman" w:cs="Times New Roman"/>
          <w:sz w:val="28"/>
          <w:szCs w:val="28"/>
        </w:rPr>
        <w:t>у 32</w:t>
      </w:r>
      <w:r w:rsidR="00637FE6" w:rsidRPr="007F5722">
        <w:rPr>
          <w:rFonts w:ascii="Times New Roman" w:eastAsia="Times New Roman" w:hAnsi="Times New Roman" w:cs="Times New Roman"/>
          <w:sz w:val="28"/>
          <w:szCs w:val="28"/>
        </w:rPr>
        <w:t> % пацієнтів, більше 10 років</w:t>
      </w:r>
      <w:r w:rsidR="001D4C94" w:rsidRPr="007F5722">
        <w:rPr>
          <w:rFonts w:ascii="Times New Roman" w:eastAsia="Times New Roman" w:hAnsi="Times New Roman" w:cs="Times New Roman"/>
          <w:sz w:val="28"/>
          <w:szCs w:val="28"/>
        </w:rPr>
        <w:t xml:space="preserve"> - у 20 % пацієнтів. </w:t>
      </w:r>
    </w:p>
    <w:p w:rsidR="002C3998" w:rsidRPr="007F5722" w:rsidRDefault="002C3998" w:rsidP="00637FE6">
      <w:pPr>
        <w:shd w:val="clear" w:color="auto" w:fill="FFFFFF"/>
        <w:spacing w:after="0" w:line="360" w:lineRule="auto"/>
        <w:ind w:firstLine="709"/>
        <w:jc w:val="right"/>
        <w:rPr>
          <w:rFonts w:ascii="Times New Roman" w:hAnsi="Times New Roman"/>
          <w:sz w:val="28"/>
          <w:szCs w:val="28"/>
        </w:rPr>
      </w:pPr>
      <w:r w:rsidRPr="007F5722">
        <w:rPr>
          <w:rFonts w:ascii="Times New Roman" w:hAnsi="Times New Roman"/>
          <w:sz w:val="28"/>
          <w:szCs w:val="28"/>
        </w:rPr>
        <w:t>Таблиця 2.1.2</w:t>
      </w:r>
    </w:p>
    <w:p w:rsidR="002C3998" w:rsidRPr="007F5722" w:rsidRDefault="002C3998" w:rsidP="002C3998">
      <w:pPr>
        <w:spacing w:line="360" w:lineRule="auto"/>
        <w:jc w:val="center"/>
        <w:rPr>
          <w:rFonts w:ascii="Times New Roman" w:hAnsi="Times New Roman"/>
          <w:sz w:val="28"/>
          <w:szCs w:val="28"/>
        </w:rPr>
      </w:pPr>
      <w:r w:rsidRPr="007F5722">
        <w:rPr>
          <w:rFonts w:ascii="Times New Roman" w:hAnsi="Times New Roman"/>
          <w:sz w:val="28"/>
          <w:szCs w:val="28"/>
        </w:rPr>
        <w:t>Анамнестичні дані тривалості ГХ в групах хворих, залежно від наявності надмірної маси тіла та ожиріння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1960"/>
        <w:gridCol w:w="2237"/>
        <w:gridCol w:w="2513"/>
      </w:tblGrid>
      <w:tr w:rsidR="002C3998" w:rsidRPr="007F5722" w:rsidTr="001D4C94">
        <w:tc>
          <w:tcPr>
            <w:tcW w:w="2660" w:type="dxa"/>
            <w:vMerge w:val="restart"/>
            <w:tcBorders>
              <w:tl2br w:val="single" w:sz="4" w:space="0" w:color="auto"/>
            </w:tcBorders>
            <w:vAlign w:val="center"/>
          </w:tcPr>
          <w:p w:rsidR="002C3998" w:rsidRPr="007F5722" w:rsidRDefault="002C3998" w:rsidP="000217CF">
            <w:pPr>
              <w:ind w:firstLine="142"/>
              <w:jc w:val="right"/>
              <w:rPr>
                <w:rFonts w:ascii="Times New Roman" w:hAnsi="Times New Roman"/>
                <w:sz w:val="28"/>
                <w:szCs w:val="28"/>
              </w:rPr>
            </w:pPr>
            <w:r w:rsidRPr="007F5722">
              <w:rPr>
                <w:rFonts w:ascii="Times New Roman" w:hAnsi="Times New Roman"/>
                <w:sz w:val="28"/>
                <w:szCs w:val="28"/>
              </w:rPr>
              <w:t>Показник</w:t>
            </w:r>
          </w:p>
          <w:p w:rsidR="002C3998" w:rsidRPr="007F5722" w:rsidRDefault="002C3998" w:rsidP="001D4C94">
            <w:pPr>
              <w:ind w:firstLine="142"/>
              <w:rPr>
                <w:rFonts w:ascii="Times New Roman" w:hAnsi="Times New Roman"/>
                <w:sz w:val="28"/>
                <w:szCs w:val="28"/>
              </w:rPr>
            </w:pPr>
            <w:r w:rsidRPr="007F5722">
              <w:rPr>
                <w:rFonts w:ascii="Times New Roman" w:hAnsi="Times New Roman"/>
                <w:sz w:val="28"/>
                <w:szCs w:val="28"/>
              </w:rPr>
              <w:t>Група</w:t>
            </w:r>
          </w:p>
        </w:tc>
        <w:tc>
          <w:tcPr>
            <w:tcW w:w="6804" w:type="dxa"/>
            <w:gridSpan w:val="3"/>
            <w:vAlign w:val="center"/>
          </w:tcPr>
          <w:p w:rsidR="002C3998" w:rsidRPr="007F5722" w:rsidRDefault="002C3998" w:rsidP="001D4C94">
            <w:pPr>
              <w:ind w:right="-39"/>
              <w:jc w:val="center"/>
              <w:rPr>
                <w:rFonts w:ascii="Times New Roman" w:hAnsi="Times New Roman"/>
                <w:sz w:val="28"/>
                <w:szCs w:val="28"/>
              </w:rPr>
            </w:pPr>
            <w:r w:rsidRPr="007F5722">
              <w:rPr>
                <w:rFonts w:ascii="Times New Roman" w:hAnsi="Times New Roman"/>
                <w:sz w:val="28"/>
                <w:szCs w:val="28"/>
              </w:rPr>
              <w:t>Тривалість ГХ</w:t>
            </w:r>
          </w:p>
        </w:tc>
      </w:tr>
      <w:tr w:rsidR="002C3998" w:rsidRPr="007F5722" w:rsidTr="001D4C94">
        <w:tc>
          <w:tcPr>
            <w:tcW w:w="2660" w:type="dxa"/>
            <w:vMerge/>
            <w:vAlign w:val="center"/>
          </w:tcPr>
          <w:p w:rsidR="002C3998" w:rsidRPr="007F5722" w:rsidRDefault="002C3998" w:rsidP="001D4C94">
            <w:pPr>
              <w:jc w:val="center"/>
              <w:rPr>
                <w:rFonts w:ascii="Times New Roman" w:hAnsi="Times New Roman"/>
                <w:sz w:val="28"/>
                <w:szCs w:val="28"/>
              </w:rPr>
            </w:pPr>
          </w:p>
        </w:tc>
        <w:tc>
          <w:tcPr>
            <w:tcW w:w="1984" w:type="dxa"/>
            <w:vAlign w:val="center"/>
          </w:tcPr>
          <w:p w:rsidR="002C3998" w:rsidRPr="007F5722" w:rsidRDefault="002C3998" w:rsidP="001D4C94">
            <w:pPr>
              <w:jc w:val="center"/>
              <w:rPr>
                <w:rFonts w:ascii="Times New Roman" w:hAnsi="Times New Roman"/>
                <w:sz w:val="28"/>
                <w:szCs w:val="28"/>
              </w:rPr>
            </w:pPr>
            <w:r w:rsidRPr="007F5722">
              <w:rPr>
                <w:rFonts w:ascii="Times New Roman" w:hAnsi="Times New Roman"/>
                <w:sz w:val="28"/>
                <w:szCs w:val="28"/>
              </w:rPr>
              <w:t xml:space="preserve"> &lt; 5 рр.</w:t>
            </w:r>
          </w:p>
        </w:tc>
        <w:tc>
          <w:tcPr>
            <w:tcW w:w="2268" w:type="dxa"/>
            <w:vAlign w:val="center"/>
          </w:tcPr>
          <w:p w:rsidR="002C3998" w:rsidRPr="007F5722" w:rsidRDefault="002C3998" w:rsidP="001D4C94">
            <w:pPr>
              <w:jc w:val="center"/>
              <w:rPr>
                <w:rFonts w:ascii="Times New Roman" w:hAnsi="Times New Roman"/>
                <w:sz w:val="28"/>
                <w:szCs w:val="28"/>
              </w:rPr>
            </w:pPr>
            <w:r w:rsidRPr="007F5722">
              <w:rPr>
                <w:rFonts w:ascii="Times New Roman" w:hAnsi="Times New Roman"/>
                <w:sz w:val="28"/>
                <w:szCs w:val="28"/>
              </w:rPr>
              <w:t>5 – 10 рр.</w:t>
            </w:r>
          </w:p>
        </w:tc>
        <w:tc>
          <w:tcPr>
            <w:tcW w:w="2552" w:type="dxa"/>
            <w:vAlign w:val="center"/>
          </w:tcPr>
          <w:p w:rsidR="002C3998" w:rsidRPr="007F5722" w:rsidRDefault="002C3998" w:rsidP="001D4C94">
            <w:pPr>
              <w:jc w:val="center"/>
              <w:rPr>
                <w:rFonts w:ascii="Times New Roman" w:hAnsi="Times New Roman"/>
                <w:sz w:val="28"/>
                <w:szCs w:val="28"/>
              </w:rPr>
            </w:pPr>
            <w:r w:rsidRPr="007F5722">
              <w:rPr>
                <w:rFonts w:ascii="Times New Roman" w:hAnsi="Times New Roman"/>
                <w:sz w:val="28"/>
                <w:szCs w:val="28"/>
              </w:rPr>
              <w:t>&gt; 10 рр.</w:t>
            </w:r>
          </w:p>
        </w:tc>
      </w:tr>
      <w:tr w:rsidR="002C3998" w:rsidRPr="007F5722" w:rsidTr="001D4C94">
        <w:tc>
          <w:tcPr>
            <w:tcW w:w="2660" w:type="dxa"/>
            <w:vMerge/>
            <w:vAlign w:val="center"/>
          </w:tcPr>
          <w:p w:rsidR="002C3998" w:rsidRPr="007F5722" w:rsidRDefault="002C3998" w:rsidP="001D4C94">
            <w:pPr>
              <w:jc w:val="center"/>
              <w:rPr>
                <w:rFonts w:ascii="Times New Roman" w:hAnsi="Times New Roman"/>
                <w:sz w:val="28"/>
                <w:szCs w:val="28"/>
              </w:rPr>
            </w:pPr>
          </w:p>
        </w:tc>
        <w:tc>
          <w:tcPr>
            <w:tcW w:w="1984" w:type="dxa"/>
            <w:vAlign w:val="center"/>
          </w:tcPr>
          <w:p w:rsidR="002C3998" w:rsidRPr="007F5722" w:rsidRDefault="002C3998" w:rsidP="001D4C94">
            <w:pPr>
              <w:jc w:val="center"/>
              <w:rPr>
                <w:rFonts w:ascii="Times New Roman" w:hAnsi="Times New Roman"/>
                <w:sz w:val="28"/>
                <w:szCs w:val="28"/>
              </w:rPr>
            </w:pPr>
            <w:r w:rsidRPr="007F5722">
              <w:rPr>
                <w:rFonts w:ascii="Times New Roman" w:hAnsi="Times New Roman"/>
                <w:sz w:val="28"/>
                <w:szCs w:val="28"/>
              </w:rPr>
              <w:t>n-абс. /%</w:t>
            </w:r>
          </w:p>
        </w:tc>
        <w:tc>
          <w:tcPr>
            <w:tcW w:w="2268" w:type="dxa"/>
            <w:vAlign w:val="center"/>
          </w:tcPr>
          <w:p w:rsidR="002C3998" w:rsidRPr="007F5722" w:rsidRDefault="002C3998" w:rsidP="001D4C94">
            <w:pPr>
              <w:jc w:val="center"/>
              <w:rPr>
                <w:rFonts w:ascii="Times New Roman" w:hAnsi="Times New Roman"/>
                <w:sz w:val="28"/>
                <w:szCs w:val="28"/>
              </w:rPr>
            </w:pPr>
            <w:r w:rsidRPr="007F5722">
              <w:rPr>
                <w:rFonts w:ascii="Times New Roman" w:hAnsi="Times New Roman"/>
                <w:sz w:val="28"/>
                <w:szCs w:val="28"/>
              </w:rPr>
              <w:t>n-абс. /%</w:t>
            </w:r>
          </w:p>
        </w:tc>
        <w:tc>
          <w:tcPr>
            <w:tcW w:w="2552" w:type="dxa"/>
            <w:vAlign w:val="center"/>
          </w:tcPr>
          <w:p w:rsidR="002C3998" w:rsidRPr="007F5722" w:rsidRDefault="002C3998" w:rsidP="001D4C94">
            <w:pPr>
              <w:jc w:val="center"/>
              <w:rPr>
                <w:rFonts w:ascii="Times New Roman" w:hAnsi="Times New Roman"/>
                <w:sz w:val="28"/>
                <w:szCs w:val="28"/>
              </w:rPr>
            </w:pPr>
            <w:r w:rsidRPr="007F5722">
              <w:rPr>
                <w:rFonts w:ascii="Times New Roman" w:hAnsi="Times New Roman"/>
                <w:sz w:val="28"/>
                <w:szCs w:val="28"/>
              </w:rPr>
              <w:t>n-абс. /%</w:t>
            </w:r>
          </w:p>
        </w:tc>
      </w:tr>
      <w:tr w:rsidR="002C3998" w:rsidRPr="007F5722" w:rsidTr="001D4C94">
        <w:tc>
          <w:tcPr>
            <w:tcW w:w="2660" w:type="dxa"/>
            <w:vAlign w:val="center"/>
          </w:tcPr>
          <w:p w:rsidR="002C3998" w:rsidRPr="007F5722" w:rsidRDefault="002C3998" w:rsidP="000217CF">
            <w:pPr>
              <w:jc w:val="center"/>
              <w:rPr>
                <w:rFonts w:ascii="Times New Roman" w:hAnsi="Times New Roman"/>
                <w:sz w:val="28"/>
                <w:szCs w:val="28"/>
              </w:rPr>
            </w:pPr>
            <w:r w:rsidRPr="007F5722">
              <w:rPr>
                <w:rFonts w:ascii="Times New Roman" w:hAnsi="Times New Roman"/>
                <w:sz w:val="28"/>
                <w:szCs w:val="28"/>
              </w:rPr>
              <w:t xml:space="preserve">Хворі на ГХ </w:t>
            </w:r>
            <w:r w:rsidR="000217CF" w:rsidRPr="007F5722">
              <w:rPr>
                <w:rFonts w:ascii="Times New Roman" w:hAnsi="Times New Roman"/>
                <w:sz w:val="28"/>
                <w:szCs w:val="28"/>
              </w:rPr>
              <w:t>з надмірною масою та ожирінням</w:t>
            </w:r>
            <w:r w:rsidRPr="007F5722">
              <w:rPr>
                <w:rFonts w:ascii="Times New Roman" w:hAnsi="Times New Roman"/>
                <w:sz w:val="28"/>
                <w:szCs w:val="28"/>
              </w:rPr>
              <w:t>, n=9</w:t>
            </w:r>
            <w:r w:rsidR="000217CF" w:rsidRPr="007F5722">
              <w:rPr>
                <w:rFonts w:ascii="Times New Roman" w:hAnsi="Times New Roman"/>
                <w:sz w:val="28"/>
                <w:szCs w:val="28"/>
              </w:rPr>
              <w:t>6</w:t>
            </w:r>
          </w:p>
        </w:tc>
        <w:tc>
          <w:tcPr>
            <w:tcW w:w="1984" w:type="dxa"/>
            <w:vAlign w:val="center"/>
          </w:tcPr>
          <w:p w:rsidR="002C3998" w:rsidRPr="007F5722" w:rsidRDefault="000217CF" w:rsidP="001D4C94">
            <w:pPr>
              <w:jc w:val="center"/>
              <w:rPr>
                <w:rFonts w:ascii="Times New Roman" w:hAnsi="Times New Roman"/>
                <w:sz w:val="28"/>
                <w:szCs w:val="28"/>
              </w:rPr>
            </w:pPr>
            <w:r w:rsidRPr="007F5722">
              <w:rPr>
                <w:rFonts w:ascii="Times New Roman" w:hAnsi="Times New Roman"/>
                <w:sz w:val="28"/>
                <w:szCs w:val="28"/>
              </w:rPr>
              <w:t>32/33,3</w:t>
            </w:r>
          </w:p>
        </w:tc>
        <w:tc>
          <w:tcPr>
            <w:tcW w:w="2268" w:type="dxa"/>
            <w:vAlign w:val="center"/>
          </w:tcPr>
          <w:p w:rsidR="002C3998" w:rsidRPr="007F5722" w:rsidRDefault="000217CF" w:rsidP="001D4C94">
            <w:pPr>
              <w:jc w:val="center"/>
              <w:rPr>
                <w:rFonts w:ascii="Times New Roman" w:hAnsi="Times New Roman"/>
                <w:sz w:val="28"/>
                <w:szCs w:val="28"/>
              </w:rPr>
            </w:pPr>
            <w:r w:rsidRPr="007F5722">
              <w:rPr>
                <w:rFonts w:ascii="Times New Roman" w:hAnsi="Times New Roman"/>
                <w:sz w:val="28"/>
                <w:szCs w:val="28"/>
              </w:rPr>
              <w:t>36/37,5</w:t>
            </w:r>
          </w:p>
        </w:tc>
        <w:tc>
          <w:tcPr>
            <w:tcW w:w="2552" w:type="dxa"/>
            <w:vAlign w:val="center"/>
          </w:tcPr>
          <w:p w:rsidR="002C3998" w:rsidRPr="007F5722" w:rsidRDefault="000217CF" w:rsidP="001D4C94">
            <w:pPr>
              <w:jc w:val="center"/>
              <w:rPr>
                <w:rFonts w:ascii="Times New Roman" w:hAnsi="Times New Roman"/>
                <w:sz w:val="28"/>
                <w:szCs w:val="28"/>
              </w:rPr>
            </w:pPr>
            <w:r w:rsidRPr="007F5722">
              <w:rPr>
                <w:rFonts w:ascii="Times New Roman" w:hAnsi="Times New Roman"/>
                <w:sz w:val="28"/>
                <w:szCs w:val="28"/>
              </w:rPr>
              <w:t>28/29,2</w:t>
            </w:r>
          </w:p>
        </w:tc>
      </w:tr>
      <w:tr w:rsidR="002C3998" w:rsidRPr="007F5722" w:rsidTr="001D4C94">
        <w:tc>
          <w:tcPr>
            <w:tcW w:w="2660" w:type="dxa"/>
            <w:vAlign w:val="center"/>
          </w:tcPr>
          <w:p w:rsidR="002C3998" w:rsidRPr="007F5722" w:rsidRDefault="002C3998" w:rsidP="001D4C94">
            <w:pPr>
              <w:jc w:val="center"/>
              <w:rPr>
                <w:rFonts w:ascii="Times New Roman" w:hAnsi="Times New Roman"/>
                <w:sz w:val="28"/>
                <w:szCs w:val="28"/>
              </w:rPr>
            </w:pPr>
            <w:r w:rsidRPr="007F5722">
              <w:rPr>
                <w:rFonts w:ascii="Times New Roman" w:hAnsi="Times New Roman"/>
                <w:sz w:val="28"/>
                <w:szCs w:val="28"/>
              </w:rPr>
              <w:t>Хворі на</w:t>
            </w:r>
          </w:p>
          <w:p w:rsidR="002C3998" w:rsidRPr="007F5722" w:rsidRDefault="002C3998" w:rsidP="000217CF">
            <w:pPr>
              <w:jc w:val="center"/>
              <w:rPr>
                <w:rFonts w:ascii="Times New Roman" w:hAnsi="Times New Roman"/>
                <w:sz w:val="28"/>
                <w:szCs w:val="28"/>
              </w:rPr>
            </w:pPr>
            <w:r w:rsidRPr="007F5722">
              <w:rPr>
                <w:rFonts w:ascii="Times New Roman" w:hAnsi="Times New Roman"/>
                <w:sz w:val="28"/>
                <w:szCs w:val="28"/>
              </w:rPr>
              <w:t xml:space="preserve">ГХ з </w:t>
            </w:r>
            <w:r w:rsidR="000217CF" w:rsidRPr="007F5722">
              <w:rPr>
                <w:rFonts w:ascii="Times New Roman" w:hAnsi="Times New Roman"/>
                <w:sz w:val="28"/>
                <w:szCs w:val="28"/>
              </w:rPr>
              <w:t>нормальною масою тіла</w:t>
            </w:r>
            <w:r w:rsidRPr="007F5722">
              <w:rPr>
                <w:rFonts w:ascii="Times New Roman" w:hAnsi="Times New Roman"/>
                <w:sz w:val="28"/>
                <w:szCs w:val="28"/>
              </w:rPr>
              <w:t>, n=</w:t>
            </w:r>
            <w:r w:rsidR="000217CF" w:rsidRPr="007F5722">
              <w:rPr>
                <w:rFonts w:ascii="Times New Roman" w:hAnsi="Times New Roman"/>
                <w:sz w:val="28"/>
                <w:szCs w:val="28"/>
              </w:rPr>
              <w:t>25</w:t>
            </w:r>
          </w:p>
        </w:tc>
        <w:tc>
          <w:tcPr>
            <w:tcW w:w="1984" w:type="dxa"/>
            <w:vAlign w:val="center"/>
          </w:tcPr>
          <w:p w:rsidR="002C3998" w:rsidRPr="007F5722" w:rsidRDefault="008E15C7" w:rsidP="001D4C94">
            <w:pPr>
              <w:jc w:val="center"/>
              <w:rPr>
                <w:rFonts w:ascii="Times New Roman" w:hAnsi="Times New Roman"/>
                <w:sz w:val="28"/>
                <w:szCs w:val="28"/>
              </w:rPr>
            </w:pPr>
            <w:r w:rsidRPr="007F5722">
              <w:rPr>
                <w:rFonts w:ascii="Times New Roman" w:hAnsi="Times New Roman"/>
                <w:sz w:val="28"/>
                <w:szCs w:val="28"/>
              </w:rPr>
              <w:t>12/48</w:t>
            </w:r>
          </w:p>
        </w:tc>
        <w:tc>
          <w:tcPr>
            <w:tcW w:w="2268" w:type="dxa"/>
            <w:vAlign w:val="center"/>
          </w:tcPr>
          <w:p w:rsidR="002C3998" w:rsidRPr="007F5722" w:rsidRDefault="008E15C7" w:rsidP="001D4C94">
            <w:pPr>
              <w:jc w:val="center"/>
              <w:rPr>
                <w:rFonts w:ascii="Times New Roman" w:hAnsi="Times New Roman"/>
                <w:sz w:val="28"/>
                <w:szCs w:val="28"/>
              </w:rPr>
            </w:pPr>
            <w:r w:rsidRPr="007F5722">
              <w:rPr>
                <w:rFonts w:ascii="Times New Roman" w:hAnsi="Times New Roman"/>
                <w:sz w:val="28"/>
                <w:szCs w:val="28"/>
              </w:rPr>
              <w:t>8/32</w:t>
            </w:r>
          </w:p>
        </w:tc>
        <w:tc>
          <w:tcPr>
            <w:tcW w:w="2552" w:type="dxa"/>
            <w:vAlign w:val="center"/>
          </w:tcPr>
          <w:p w:rsidR="002C3998" w:rsidRPr="007F5722" w:rsidRDefault="008E15C7" w:rsidP="001D4C94">
            <w:pPr>
              <w:jc w:val="center"/>
              <w:rPr>
                <w:rFonts w:ascii="Times New Roman" w:hAnsi="Times New Roman"/>
                <w:sz w:val="28"/>
                <w:szCs w:val="28"/>
              </w:rPr>
            </w:pPr>
            <w:r w:rsidRPr="007F5722">
              <w:rPr>
                <w:rFonts w:ascii="Times New Roman" w:hAnsi="Times New Roman"/>
                <w:sz w:val="28"/>
                <w:szCs w:val="28"/>
              </w:rPr>
              <w:t>5/20</w:t>
            </w:r>
          </w:p>
        </w:tc>
      </w:tr>
    </w:tbl>
    <w:p w:rsidR="002C3998" w:rsidRPr="007F5722" w:rsidRDefault="002C3998" w:rsidP="00FA55A2">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547FA6" w:rsidRPr="007F5722" w:rsidRDefault="00547FA6" w:rsidP="00547FA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В залежності від ступеня ураження органів-мішеней, ГХ IІ стадії встановлена у 100 (82,6 %) пацієнтів; IІI стадії – у 21 (17,4 %) пацієнта.</w:t>
      </w:r>
    </w:p>
    <w:p w:rsidR="00FF7DCE" w:rsidRPr="007F5722" w:rsidRDefault="00B107E2" w:rsidP="005F437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Рівень САТ</w:t>
      </w:r>
      <w:r w:rsidR="00547FA6" w:rsidRPr="007F5722">
        <w:rPr>
          <w:rFonts w:ascii="Times New Roman" w:eastAsia="Times New Roman" w:hAnsi="Times New Roman" w:cs="Times New Roman"/>
          <w:color w:val="000000"/>
          <w:sz w:val="28"/>
          <w:szCs w:val="28"/>
        </w:rPr>
        <w:t xml:space="preserve"> під</w:t>
      </w:r>
      <w:r w:rsidR="008629B8" w:rsidRPr="007F5722">
        <w:rPr>
          <w:rFonts w:ascii="Times New Roman" w:eastAsia="Times New Roman" w:hAnsi="Times New Roman" w:cs="Times New Roman"/>
          <w:color w:val="000000"/>
          <w:sz w:val="28"/>
          <w:szCs w:val="28"/>
        </w:rPr>
        <w:t xml:space="preserve"> </w:t>
      </w:r>
      <w:r w:rsidR="00547FA6" w:rsidRPr="007F5722">
        <w:rPr>
          <w:rFonts w:ascii="Times New Roman" w:eastAsia="Times New Roman" w:hAnsi="Times New Roman" w:cs="Times New Roman"/>
          <w:color w:val="000000"/>
          <w:sz w:val="28"/>
          <w:szCs w:val="28"/>
        </w:rPr>
        <w:t>час першого візиту коливався в межах від 110 до 190 мм рт.ст., а діастолічний артеріальний тиск (</w:t>
      </w:r>
      <w:r w:rsidRPr="007F5722">
        <w:rPr>
          <w:rFonts w:ascii="Times New Roman" w:eastAsia="Times New Roman" w:hAnsi="Times New Roman" w:cs="Times New Roman"/>
          <w:color w:val="000000"/>
          <w:sz w:val="28"/>
          <w:szCs w:val="28"/>
        </w:rPr>
        <w:t>ДАТ) мав показники в діапазоні 60–11</w:t>
      </w:r>
      <w:r w:rsidR="00547FA6" w:rsidRPr="007F5722">
        <w:rPr>
          <w:rFonts w:ascii="Times New Roman" w:eastAsia="Times New Roman" w:hAnsi="Times New Roman" w:cs="Times New Roman"/>
          <w:color w:val="000000"/>
          <w:sz w:val="28"/>
          <w:szCs w:val="28"/>
        </w:rPr>
        <w:t>0 мм рт.ст. В залежності від ступеня підвищення АТ, хворі були р</w:t>
      </w:r>
      <w:r w:rsidRPr="007F5722">
        <w:rPr>
          <w:rFonts w:ascii="Times New Roman" w:eastAsia="Times New Roman" w:hAnsi="Times New Roman" w:cs="Times New Roman"/>
          <w:color w:val="000000"/>
          <w:sz w:val="28"/>
          <w:szCs w:val="28"/>
        </w:rPr>
        <w:t>озподілені наступним чином: у 3 пацієнтів (2,5</w:t>
      </w:r>
      <w:r w:rsidR="00547FA6" w:rsidRPr="007F5722">
        <w:rPr>
          <w:rFonts w:ascii="Times New Roman" w:eastAsia="Times New Roman" w:hAnsi="Times New Roman" w:cs="Times New Roman"/>
          <w:color w:val="000000"/>
          <w:sz w:val="28"/>
          <w:szCs w:val="28"/>
        </w:rPr>
        <w:t xml:space="preserve"> %) було діагностовано АГ 1 ступеня, АГ 2 ступеня спостері</w:t>
      </w:r>
      <w:r w:rsidRPr="007F5722">
        <w:rPr>
          <w:rFonts w:ascii="Times New Roman" w:eastAsia="Times New Roman" w:hAnsi="Times New Roman" w:cs="Times New Roman"/>
          <w:color w:val="000000"/>
          <w:sz w:val="28"/>
          <w:szCs w:val="28"/>
        </w:rPr>
        <w:t>галася у 27 хворих (22,3 %), АГ 3 ступеня – у 91</w:t>
      </w:r>
      <w:r w:rsidR="00547FA6" w:rsidRPr="007F5722">
        <w:rPr>
          <w:rFonts w:ascii="Times New Roman" w:eastAsia="Times New Roman" w:hAnsi="Times New Roman" w:cs="Times New Roman"/>
          <w:color w:val="000000"/>
          <w:sz w:val="28"/>
          <w:szCs w:val="28"/>
          <w:lang w:val="ru-RU"/>
        </w:rPr>
        <w:t> </w:t>
      </w:r>
      <w:r w:rsidRPr="007F5722">
        <w:rPr>
          <w:rFonts w:ascii="Times New Roman" w:eastAsia="Times New Roman" w:hAnsi="Times New Roman" w:cs="Times New Roman"/>
          <w:color w:val="000000"/>
          <w:sz w:val="28"/>
          <w:szCs w:val="28"/>
        </w:rPr>
        <w:t>(75,2</w:t>
      </w:r>
      <w:r w:rsidR="00547FA6" w:rsidRPr="007F5722">
        <w:rPr>
          <w:rFonts w:ascii="Times New Roman" w:eastAsia="Times New Roman" w:hAnsi="Times New Roman" w:cs="Times New Roman"/>
          <w:color w:val="000000"/>
          <w:sz w:val="28"/>
          <w:szCs w:val="28"/>
        </w:rPr>
        <w:t xml:space="preserve"> %). </w:t>
      </w:r>
      <w:r w:rsidR="00547FA6" w:rsidRPr="007F5722">
        <w:rPr>
          <w:rFonts w:ascii="Times New Roman" w:eastAsia="Times New Roman" w:hAnsi="Times New Roman" w:cs="Times New Roman"/>
          <w:color w:val="000000"/>
          <w:sz w:val="28"/>
          <w:szCs w:val="28"/>
        </w:rPr>
        <w:lastRenderedPageBreak/>
        <w:t xml:space="preserve">Середні показники САД та ДАД в групі хворих на ГХ </w:t>
      </w:r>
      <w:r w:rsidR="008629B8" w:rsidRPr="007F5722">
        <w:rPr>
          <w:rFonts w:ascii="Times New Roman" w:eastAsia="Times New Roman" w:hAnsi="Times New Roman" w:cs="Times New Roman"/>
          <w:color w:val="000000"/>
          <w:sz w:val="28"/>
          <w:szCs w:val="28"/>
        </w:rPr>
        <w:t>з надмірною масою тіла та ожирінням</w:t>
      </w:r>
      <w:r w:rsidR="00D5525D" w:rsidRPr="007F5722">
        <w:rPr>
          <w:rFonts w:ascii="Times New Roman" w:eastAsia="Times New Roman" w:hAnsi="Times New Roman" w:cs="Times New Roman"/>
          <w:color w:val="000000"/>
          <w:sz w:val="28"/>
          <w:szCs w:val="28"/>
        </w:rPr>
        <w:t xml:space="preserve"> - 160 (145; 170) та 90 (80</w:t>
      </w:r>
      <w:r w:rsidR="00D5525D" w:rsidRPr="007F5722">
        <w:rPr>
          <w:rFonts w:ascii="Times New Roman" w:eastAsia="Times New Roman" w:hAnsi="Times New Roman" w:cs="Times New Roman"/>
          <w:color w:val="000000"/>
          <w:sz w:val="28"/>
          <w:szCs w:val="28"/>
          <w:lang w:val="ru-RU"/>
        </w:rPr>
        <w:t xml:space="preserve">; </w:t>
      </w:r>
      <w:r w:rsidR="00D5525D" w:rsidRPr="007F5722">
        <w:rPr>
          <w:rFonts w:ascii="Times New Roman" w:eastAsia="Times New Roman" w:hAnsi="Times New Roman" w:cs="Times New Roman"/>
          <w:color w:val="000000"/>
          <w:sz w:val="28"/>
          <w:szCs w:val="28"/>
        </w:rPr>
        <w:t>10</w:t>
      </w:r>
      <w:r w:rsidR="00547FA6" w:rsidRPr="007F5722">
        <w:rPr>
          <w:rFonts w:ascii="Times New Roman" w:eastAsia="Times New Roman" w:hAnsi="Times New Roman" w:cs="Times New Roman"/>
          <w:color w:val="000000"/>
          <w:sz w:val="28"/>
          <w:szCs w:val="28"/>
        </w:rPr>
        <w:t xml:space="preserve">0) мм рт. ст. відповідно. </w:t>
      </w:r>
      <w:r w:rsidR="00D5525D" w:rsidRPr="007F5722">
        <w:rPr>
          <w:rFonts w:ascii="Times New Roman" w:eastAsia="Times New Roman" w:hAnsi="Times New Roman" w:cs="Times New Roman"/>
          <w:color w:val="000000"/>
          <w:sz w:val="28"/>
          <w:szCs w:val="28"/>
        </w:rPr>
        <w:t>В групі пацієнтів хворих на ГХ з нормальною масою тіла ці показники становили 145 (140-155) та 80 (80-9</w:t>
      </w:r>
      <w:r w:rsidR="00547FA6" w:rsidRPr="007F5722">
        <w:rPr>
          <w:rFonts w:ascii="Times New Roman" w:eastAsia="Times New Roman" w:hAnsi="Times New Roman" w:cs="Times New Roman"/>
          <w:color w:val="000000"/>
          <w:sz w:val="28"/>
          <w:szCs w:val="28"/>
        </w:rPr>
        <w:t>0) мм рт. ст. Таким чином, за наявності ожиріння пацієнти мали тенденцію до більш високого рівня АТ, хоча різниця між показниками виявилась не достовірною (</w:t>
      </w:r>
      <w:r w:rsidR="00547FA6" w:rsidRPr="007F5722">
        <w:rPr>
          <w:rFonts w:ascii="Times New Roman" w:eastAsia="Times New Roman" w:hAnsi="Times New Roman" w:cs="Times New Roman"/>
          <w:color w:val="000000"/>
          <w:sz w:val="28"/>
          <w:szCs w:val="28"/>
          <w:lang w:val="en-US"/>
        </w:rPr>
        <w:t>p</w:t>
      </w:r>
      <w:r w:rsidR="00D5525D" w:rsidRPr="007F5722">
        <w:rPr>
          <w:rFonts w:ascii="Times New Roman" w:eastAsia="Times New Roman" w:hAnsi="Times New Roman" w:cs="Times New Roman"/>
          <w:color w:val="000000"/>
          <w:sz w:val="28"/>
          <w:szCs w:val="28"/>
        </w:rPr>
        <w:t>&gt;</w:t>
      </w:r>
      <w:r w:rsidR="00547FA6" w:rsidRPr="007F5722">
        <w:rPr>
          <w:rFonts w:ascii="Times New Roman" w:eastAsia="Times New Roman" w:hAnsi="Times New Roman" w:cs="Times New Roman"/>
          <w:color w:val="000000"/>
          <w:sz w:val="28"/>
          <w:szCs w:val="28"/>
        </w:rPr>
        <w:t>0,05).</w:t>
      </w:r>
    </w:p>
    <w:p w:rsidR="00581D58" w:rsidRPr="007F5722" w:rsidRDefault="00637FE6" w:rsidP="001950D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Наявність та ступінь ожиріння</w:t>
      </w:r>
      <w:r w:rsidR="002F6F5E" w:rsidRPr="007F5722">
        <w:rPr>
          <w:rFonts w:ascii="Times New Roman" w:eastAsia="Times New Roman" w:hAnsi="Times New Roman" w:cs="Times New Roman"/>
          <w:color w:val="000000"/>
          <w:sz w:val="28"/>
          <w:szCs w:val="28"/>
        </w:rPr>
        <w:t xml:space="preserve"> оцінювали за значенням ІМТ, середнє значення якого в основній групі обстежених </w:t>
      </w:r>
      <w:r w:rsidRPr="007F5722">
        <w:rPr>
          <w:rFonts w:ascii="Times New Roman" w:eastAsia="Times New Roman" w:hAnsi="Times New Roman" w:cs="Times New Roman"/>
          <w:color w:val="000000"/>
          <w:sz w:val="28"/>
          <w:szCs w:val="28"/>
        </w:rPr>
        <w:t xml:space="preserve">склало </w:t>
      </w:r>
      <w:r w:rsidR="005F4377" w:rsidRPr="007F5722">
        <w:rPr>
          <w:rFonts w:ascii="Times New Roman" w:eastAsia="Times New Roman" w:hAnsi="Times New Roman" w:cs="Times New Roman"/>
          <w:color w:val="000000"/>
          <w:sz w:val="28"/>
          <w:szCs w:val="28"/>
        </w:rPr>
        <w:t xml:space="preserve">30,11 (27,83; 34,02) кг/м2, в групі порівняння </w:t>
      </w:r>
      <w:r w:rsidR="00EC74D2" w:rsidRPr="007F5722">
        <w:rPr>
          <w:rFonts w:ascii="Times New Roman" w:eastAsia="Times New Roman" w:hAnsi="Times New Roman" w:cs="Times New Roman"/>
          <w:color w:val="000000"/>
          <w:sz w:val="28"/>
          <w:szCs w:val="28"/>
        </w:rPr>
        <w:t>– 23,1 (21,67; 23,87) кг/м2, у контрольній гр</w:t>
      </w:r>
      <w:r w:rsidR="00581D58" w:rsidRPr="007F5722">
        <w:rPr>
          <w:rFonts w:ascii="Times New Roman" w:eastAsia="Times New Roman" w:hAnsi="Times New Roman" w:cs="Times New Roman"/>
          <w:color w:val="000000"/>
          <w:sz w:val="28"/>
          <w:szCs w:val="28"/>
        </w:rPr>
        <w:t xml:space="preserve">упі – 24,31 (22,0; 24,84) кг/м2, </w:t>
      </w:r>
      <w:r w:rsidR="001950DD" w:rsidRPr="007F5722">
        <w:rPr>
          <w:rFonts w:ascii="Times New Roman" w:eastAsia="Times New Roman" w:hAnsi="Times New Roman" w:cs="Times New Roman"/>
          <w:color w:val="000000"/>
          <w:sz w:val="28"/>
          <w:szCs w:val="28"/>
        </w:rPr>
        <w:t xml:space="preserve">що наглядно представлено на </w:t>
      </w:r>
      <w:r w:rsidR="00581D58" w:rsidRPr="007F5722">
        <w:rPr>
          <w:rFonts w:ascii="Times New Roman" w:eastAsia="Times New Roman" w:hAnsi="Times New Roman" w:cs="Times New Roman"/>
          <w:color w:val="000000"/>
          <w:sz w:val="28"/>
          <w:szCs w:val="28"/>
        </w:rPr>
        <w:t>рис.2.1.4.</w:t>
      </w:r>
    </w:p>
    <w:p w:rsidR="00446EFD" w:rsidRPr="007F5722" w:rsidRDefault="003C37C5" w:rsidP="00310757">
      <w:pPr>
        <w:shd w:val="clear" w:color="auto" w:fill="FFFFFF"/>
        <w:spacing w:after="0" w:line="360" w:lineRule="auto"/>
        <w:ind w:firstLine="709"/>
        <w:jc w:val="center"/>
        <w:rPr>
          <w:rFonts w:ascii="Times New Roman" w:eastAsia="Times New Roman" w:hAnsi="Times New Roman" w:cs="Times New Roman"/>
          <w:color w:val="000000"/>
          <w:sz w:val="28"/>
          <w:szCs w:val="28"/>
        </w:rPr>
      </w:pPr>
      <w:r w:rsidRPr="007F5722">
        <w:rPr>
          <w:noProof/>
          <w:lang w:val="ru-RU" w:eastAsia="ru-RU"/>
        </w:rPr>
        <w:drawing>
          <wp:inline distT="0" distB="0" distL="0" distR="0">
            <wp:extent cx="4069080" cy="2209800"/>
            <wp:effectExtent l="0" t="0" r="762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950DD" w:rsidRPr="007F5722" w:rsidRDefault="001950DD" w:rsidP="001950D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 xml:space="preserve">Рис. 2.1.4. </w:t>
      </w:r>
      <w:r w:rsidRPr="007F5722">
        <w:rPr>
          <w:rFonts w:ascii="Times New Roman" w:hAnsi="Times New Roman" w:cs="Times New Roman"/>
          <w:sz w:val="28"/>
          <w:szCs w:val="28"/>
        </w:rPr>
        <w:t>Середні значення індексу маси тіла обстежених в основній, порівняльній та контрольній групах</w:t>
      </w:r>
    </w:p>
    <w:p w:rsidR="00CF3DFE" w:rsidRPr="007F5722" w:rsidRDefault="00CF3DFE" w:rsidP="001950DD">
      <w:pPr>
        <w:shd w:val="clear" w:color="auto" w:fill="FFFFFF"/>
        <w:spacing w:after="0" w:line="360" w:lineRule="auto"/>
        <w:ind w:firstLine="709"/>
        <w:jc w:val="both"/>
        <w:rPr>
          <w:rFonts w:ascii="Times New Roman" w:hAnsi="Times New Roman" w:cs="Times New Roman"/>
          <w:sz w:val="28"/>
          <w:szCs w:val="28"/>
        </w:rPr>
      </w:pPr>
    </w:p>
    <w:p w:rsidR="002F6F5E" w:rsidRPr="007F5722" w:rsidRDefault="001950DD" w:rsidP="001950DD">
      <w:pPr>
        <w:shd w:val="clear" w:color="auto" w:fill="FFFFFF"/>
        <w:spacing w:after="0" w:line="360" w:lineRule="auto"/>
        <w:ind w:firstLine="709"/>
        <w:jc w:val="both"/>
        <w:rPr>
          <w:sz w:val="28"/>
          <w:szCs w:val="28"/>
        </w:rPr>
      </w:pPr>
      <w:r w:rsidRPr="007F5722">
        <w:rPr>
          <w:rFonts w:ascii="Times New Roman" w:hAnsi="Times New Roman" w:cs="Times New Roman"/>
          <w:sz w:val="28"/>
          <w:szCs w:val="28"/>
        </w:rPr>
        <w:t xml:space="preserve">В загальній когорті обстежених превалювали пацієнти з надмірною масою тіла – 39 %, ожиріння 1 ступеня зафіксовано у 25 % обстежених, 21 % склали пацієнти з нормальною масою тіла, у 12 % зафіксовано ожиріння 2 ступеня, у 3 % - ожиріння 3 ступеня, графічне відображення чого представлено на рис. 2.1.5. </w:t>
      </w:r>
    </w:p>
    <w:p w:rsidR="00446EFD" w:rsidRPr="007F5722" w:rsidRDefault="00CF3DFE" w:rsidP="00310757">
      <w:pPr>
        <w:shd w:val="clear" w:color="auto" w:fill="FFFFFF"/>
        <w:spacing w:after="0" w:line="360" w:lineRule="auto"/>
        <w:jc w:val="center"/>
        <w:rPr>
          <w:rFonts w:ascii="Times New Roman" w:eastAsia="Times New Roman" w:hAnsi="Times New Roman" w:cs="Times New Roman"/>
          <w:color w:val="000000"/>
          <w:sz w:val="28"/>
          <w:szCs w:val="28"/>
          <w:lang w:val="ru-RU"/>
        </w:rPr>
      </w:pPr>
      <w:r w:rsidRPr="007F5722">
        <w:rPr>
          <w:noProof/>
          <w:lang w:val="ru-RU" w:eastAsia="ru-RU"/>
        </w:rPr>
        <w:lastRenderedPageBreak/>
        <w:drawing>
          <wp:inline distT="0" distB="0" distL="0" distR="0">
            <wp:extent cx="4335780" cy="2339340"/>
            <wp:effectExtent l="0" t="0" r="7620" b="381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950DD" w:rsidRPr="007F5722" w:rsidRDefault="001950DD" w:rsidP="00446EFD">
      <w:pPr>
        <w:shd w:val="clear" w:color="auto" w:fill="FFFFFF"/>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lang w:val="ru-RU"/>
        </w:rPr>
        <w:t xml:space="preserve">Рис. 2.1.5. </w:t>
      </w:r>
      <w:r w:rsidRPr="007F5722">
        <w:rPr>
          <w:rFonts w:ascii="Times New Roman" w:eastAsia="Times New Roman" w:hAnsi="Times New Roman" w:cs="Times New Roman"/>
          <w:color w:val="000000"/>
          <w:sz w:val="28"/>
          <w:szCs w:val="28"/>
        </w:rPr>
        <w:t xml:space="preserve">Розподіл обстежених за </w:t>
      </w:r>
      <w:r w:rsidR="00242BAA" w:rsidRPr="007F5722">
        <w:rPr>
          <w:rFonts w:ascii="Times New Roman" w:eastAsia="Times New Roman" w:hAnsi="Times New Roman" w:cs="Times New Roman"/>
          <w:color w:val="000000"/>
          <w:sz w:val="28"/>
          <w:szCs w:val="28"/>
        </w:rPr>
        <w:t>значенням індексу маси тіла</w:t>
      </w:r>
    </w:p>
    <w:p w:rsidR="009A52D4" w:rsidRPr="007F5722" w:rsidRDefault="009A52D4" w:rsidP="00B902D0">
      <w:pPr>
        <w:spacing w:after="0" w:line="360" w:lineRule="auto"/>
        <w:ind w:firstLine="709"/>
        <w:jc w:val="both"/>
        <w:rPr>
          <w:rFonts w:ascii="Times New Roman" w:hAnsi="Times New Roman" w:cs="Times New Roman"/>
          <w:sz w:val="28"/>
          <w:szCs w:val="28"/>
        </w:rPr>
      </w:pPr>
    </w:p>
    <w:p w:rsidR="00D5525D" w:rsidRPr="007F5722" w:rsidRDefault="00EC74D2" w:rsidP="00B902D0">
      <w:pPr>
        <w:spacing w:after="0" w:line="360" w:lineRule="auto"/>
        <w:ind w:firstLine="709"/>
        <w:jc w:val="both"/>
        <w:rPr>
          <w:rFonts w:ascii="Times New Roman" w:hAnsi="Times New Roman" w:cs="Times New Roman"/>
          <w:sz w:val="28"/>
          <w:szCs w:val="28"/>
        </w:rPr>
      </w:pPr>
      <w:r w:rsidRPr="007F5722">
        <w:rPr>
          <w:rFonts w:ascii="Times New Roman" w:hAnsi="Times New Roman" w:cs="Times New Roman"/>
          <w:sz w:val="28"/>
          <w:szCs w:val="28"/>
        </w:rPr>
        <w:t>Характер розподілу жирової тканини оцінювався за допомогою показника ОТ,</w:t>
      </w:r>
      <w:r w:rsidR="00242BAA" w:rsidRPr="007F5722">
        <w:rPr>
          <w:rFonts w:ascii="Times New Roman" w:hAnsi="Times New Roman" w:cs="Times New Roman"/>
          <w:sz w:val="28"/>
          <w:szCs w:val="28"/>
        </w:rPr>
        <w:t xml:space="preserve"> що оцінювався за класифікаційними критеріями </w:t>
      </w:r>
      <w:r w:rsidR="00242BAA" w:rsidRPr="007F5722">
        <w:rPr>
          <w:rFonts w:ascii="Times New Roman" w:hAnsi="Times New Roman" w:cs="Times New Roman"/>
          <w:sz w:val="28"/>
          <w:szCs w:val="28"/>
          <w:lang w:val="en-US"/>
        </w:rPr>
        <w:t>IDF</w:t>
      </w:r>
      <w:r w:rsidR="00242BAA" w:rsidRPr="007F5722">
        <w:rPr>
          <w:rFonts w:ascii="Times New Roman" w:hAnsi="Times New Roman" w:cs="Times New Roman"/>
          <w:sz w:val="28"/>
          <w:szCs w:val="28"/>
          <w:lang w:val="ru-RU"/>
        </w:rPr>
        <w:t xml:space="preserve"> (2005</w:t>
      </w:r>
      <w:r w:rsidR="00242BAA" w:rsidRPr="007F5722">
        <w:rPr>
          <w:rFonts w:ascii="Times New Roman" w:hAnsi="Times New Roman" w:cs="Times New Roman"/>
          <w:sz w:val="28"/>
          <w:szCs w:val="28"/>
        </w:rPr>
        <w:t>р.</w:t>
      </w:r>
      <w:r w:rsidR="00242BAA" w:rsidRPr="007F5722">
        <w:rPr>
          <w:rFonts w:ascii="Times New Roman" w:hAnsi="Times New Roman" w:cs="Times New Roman"/>
          <w:sz w:val="28"/>
          <w:szCs w:val="28"/>
          <w:lang w:val="ru-RU"/>
        </w:rPr>
        <w:t>),</w:t>
      </w:r>
      <w:r w:rsidRPr="007F5722">
        <w:rPr>
          <w:rFonts w:ascii="Times New Roman" w:hAnsi="Times New Roman" w:cs="Times New Roman"/>
          <w:sz w:val="28"/>
          <w:szCs w:val="28"/>
        </w:rPr>
        <w:t xml:space="preserve"> який загалом в основній групі </w:t>
      </w:r>
      <w:r w:rsidR="00C86DC1" w:rsidRPr="007F5722">
        <w:rPr>
          <w:rFonts w:ascii="Times New Roman" w:hAnsi="Times New Roman" w:cs="Times New Roman"/>
          <w:sz w:val="28"/>
          <w:szCs w:val="28"/>
        </w:rPr>
        <w:t>складав 9</w:t>
      </w:r>
      <w:r w:rsidR="00C86DC1" w:rsidRPr="007F5722">
        <w:rPr>
          <w:rFonts w:ascii="Times New Roman" w:hAnsi="Times New Roman" w:cs="Times New Roman"/>
          <w:sz w:val="28"/>
          <w:szCs w:val="28"/>
          <w:lang w:val="ru-RU"/>
        </w:rPr>
        <w:t>5</w:t>
      </w:r>
      <w:r w:rsidR="00C86DC1" w:rsidRPr="007F5722">
        <w:rPr>
          <w:rFonts w:ascii="Times New Roman" w:hAnsi="Times New Roman" w:cs="Times New Roman"/>
          <w:sz w:val="28"/>
          <w:szCs w:val="28"/>
        </w:rPr>
        <w:t>,</w:t>
      </w:r>
      <w:r w:rsidR="00C86DC1" w:rsidRPr="007F5722">
        <w:rPr>
          <w:rFonts w:ascii="Times New Roman" w:hAnsi="Times New Roman" w:cs="Times New Roman"/>
          <w:sz w:val="28"/>
          <w:szCs w:val="28"/>
          <w:lang w:val="ru-RU"/>
        </w:rPr>
        <w:t>0 (90</w:t>
      </w:r>
      <w:r w:rsidR="00C86DC1" w:rsidRPr="007F5722">
        <w:rPr>
          <w:rFonts w:ascii="Times New Roman" w:hAnsi="Times New Roman" w:cs="Times New Roman"/>
          <w:sz w:val="28"/>
          <w:szCs w:val="28"/>
        </w:rPr>
        <w:t>,0; 101,0</w:t>
      </w:r>
      <w:r w:rsidR="00C86DC1" w:rsidRPr="007F5722">
        <w:rPr>
          <w:rFonts w:ascii="Times New Roman" w:hAnsi="Times New Roman" w:cs="Times New Roman"/>
          <w:sz w:val="28"/>
          <w:szCs w:val="28"/>
          <w:lang w:val="ru-RU"/>
        </w:rPr>
        <w:t>)</w:t>
      </w:r>
      <w:r w:rsidRPr="007F5722">
        <w:rPr>
          <w:rFonts w:ascii="Times New Roman" w:hAnsi="Times New Roman" w:cs="Times New Roman"/>
          <w:sz w:val="28"/>
          <w:szCs w:val="28"/>
        </w:rPr>
        <w:t xml:space="preserve"> см, у чоловіків –</w:t>
      </w:r>
      <w:r w:rsidR="00193B18" w:rsidRPr="007F5722">
        <w:rPr>
          <w:rFonts w:ascii="Times New Roman" w:hAnsi="Times New Roman" w:cs="Times New Roman"/>
          <w:sz w:val="28"/>
          <w:szCs w:val="28"/>
        </w:rPr>
        <w:t xml:space="preserve"> 99,0 (97,0; 112,0) см, у жінок – 94,0 (89,0; 103) см. Так, абдомінальне ожиріння</w:t>
      </w:r>
      <w:r w:rsidRPr="007F5722">
        <w:rPr>
          <w:rFonts w:ascii="Times New Roman" w:hAnsi="Times New Roman" w:cs="Times New Roman"/>
          <w:sz w:val="28"/>
          <w:szCs w:val="28"/>
        </w:rPr>
        <w:t xml:space="preserve"> згідно показника ОТ було діагностовано у </w:t>
      </w:r>
      <w:r w:rsidR="00193B18" w:rsidRPr="007F5722">
        <w:rPr>
          <w:rFonts w:ascii="Times New Roman" w:hAnsi="Times New Roman" w:cs="Times New Roman"/>
          <w:sz w:val="28"/>
          <w:szCs w:val="28"/>
        </w:rPr>
        <w:t>58</w:t>
      </w:r>
      <w:r w:rsidR="006C7E76" w:rsidRPr="007F5722">
        <w:rPr>
          <w:rFonts w:ascii="Times New Roman" w:hAnsi="Times New Roman" w:cs="Times New Roman"/>
          <w:sz w:val="28"/>
          <w:szCs w:val="28"/>
        </w:rPr>
        <w:t xml:space="preserve"> (47,9%) осіб</w:t>
      </w:r>
      <w:r w:rsidR="00792ADA" w:rsidRPr="007F5722">
        <w:rPr>
          <w:rFonts w:ascii="Times New Roman" w:hAnsi="Times New Roman" w:cs="Times New Roman"/>
          <w:sz w:val="28"/>
          <w:szCs w:val="28"/>
        </w:rPr>
        <w:t xml:space="preserve"> -</w:t>
      </w:r>
      <w:r w:rsidR="006C7E76" w:rsidRPr="007F5722">
        <w:rPr>
          <w:rFonts w:ascii="Times New Roman" w:hAnsi="Times New Roman" w:cs="Times New Roman"/>
          <w:sz w:val="28"/>
          <w:szCs w:val="28"/>
        </w:rPr>
        <w:t xml:space="preserve"> 98,0 (94,0; 109,0</w:t>
      </w:r>
      <w:r w:rsidRPr="007F5722">
        <w:rPr>
          <w:rFonts w:ascii="Times New Roman" w:hAnsi="Times New Roman" w:cs="Times New Roman"/>
          <w:sz w:val="28"/>
          <w:szCs w:val="28"/>
        </w:rPr>
        <w:t>)</w:t>
      </w:r>
      <w:r w:rsidR="00707177" w:rsidRPr="007F5722">
        <w:rPr>
          <w:rFonts w:ascii="Times New Roman" w:hAnsi="Times New Roman" w:cs="Times New Roman"/>
          <w:sz w:val="28"/>
          <w:szCs w:val="28"/>
        </w:rPr>
        <w:t xml:space="preserve"> см</w:t>
      </w:r>
      <w:r w:rsidRPr="007F5722">
        <w:rPr>
          <w:rFonts w:ascii="Times New Roman" w:hAnsi="Times New Roman" w:cs="Times New Roman"/>
          <w:sz w:val="28"/>
          <w:szCs w:val="28"/>
        </w:rPr>
        <w:t>, серед</w:t>
      </w:r>
      <w:r w:rsidR="00792ADA" w:rsidRPr="007F5722">
        <w:rPr>
          <w:rFonts w:ascii="Times New Roman" w:hAnsi="Times New Roman" w:cs="Times New Roman"/>
          <w:sz w:val="28"/>
          <w:szCs w:val="28"/>
        </w:rPr>
        <w:t xml:space="preserve"> них чоловіків – 12 (20,7 </w:t>
      </w:r>
      <w:r w:rsidR="006C7E76" w:rsidRPr="007F5722">
        <w:rPr>
          <w:rFonts w:ascii="Times New Roman" w:hAnsi="Times New Roman" w:cs="Times New Roman"/>
          <w:sz w:val="28"/>
          <w:szCs w:val="28"/>
        </w:rPr>
        <w:t>%) – 118</w:t>
      </w:r>
      <w:r w:rsidR="00792ADA" w:rsidRPr="007F5722">
        <w:rPr>
          <w:rFonts w:ascii="Times New Roman" w:hAnsi="Times New Roman" w:cs="Times New Roman"/>
          <w:sz w:val="28"/>
          <w:szCs w:val="28"/>
        </w:rPr>
        <w:t>,0</w:t>
      </w:r>
      <w:r w:rsidR="006C7E76" w:rsidRPr="007F5722">
        <w:rPr>
          <w:rFonts w:ascii="Times New Roman" w:hAnsi="Times New Roman" w:cs="Times New Roman"/>
          <w:sz w:val="28"/>
          <w:szCs w:val="28"/>
        </w:rPr>
        <w:t xml:space="preserve"> (108</w:t>
      </w:r>
      <w:r w:rsidR="00792ADA" w:rsidRPr="007F5722">
        <w:rPr>
          <w:rFonts w:ascii="Times New Roman" w:hAnsi="Times New Roman" w:cs="Times New Roman"/>
          <w:sz w:val="28"/>
          <w:szCs w:val="28"/>
        </w:rPr>
        <w:t>,0</w:t>
      </w:r>
      <w:r w:rsidR="006C7E76" w:rsidRPr="007F5722">
        <w:rPr>
          <w:rFonts w:ascii="Times New Roman" w:hAnsi="Times New Roman" w:cs="Times New Roman"/>
          <w:sz w:val="28"/>
          <w:szCs w:val="28"/>
        </w:rPr>
        <w:t>; 124</w:t>
      </w:r>
      <w:r w:rsidR="00792ADA" w:rsidRPr="007F5722">
        <w:rPr>
          <w:rFonts w:ascii="Times New Roman" w:hAnsi="Times New Roman" w:cs="Times New Roman"/>
          <w:sz w:val="28"/>
          <w:szCs w:val="28"/>
        </w:rPr>
        <w:t>,0) </w:t>
      </w:r>
      <w:r w:rsidR="006C7E76" w:rsidRPr="007F5722">
        <w:rPr>
          <w:rFonts w:ascii="Times New Roman" w:hAnsi="Times New Roman" w:cs="Times New Roman"/>
          <w:sz w:val="28"/>
          <w:szCs w:val="28"/>
        </w:rPr>
        <w:t>см</w:t>
      </w:r>
      <w:r w:rsidR="00792ADA" w:rsidRPr="007F5722">
        <w:rPr>
          <w:rFonts w:ascii="Times New Roman" w:hAnsi="Times New Roman" w:cs="Times New Roman"/>
          <w:sz w:val="28"/>
          <w:szCs w:val="28"/>
        </w:rPr>
        <w:t xml:space="preserve">, у жінок – 46 (79,3 </w:t>
      </w:r>
      <w:r w:rsidRPr="007F5722">
        <w:rPr>
          <w:rFonts w:ascii="Times New Roman" w:hAnsi="Times New Roman" w:cs="Times New Roman"/>
          <w:sz w:val="28"/>
          <w:szCs w:val="28"/>
        </w:rPr>
        <w:t xml:space="preserve">%) – </w:t>
      </w:r>
      <w:r w:rsidR="00707177" w:rsidRPr="007F5722">
        <w:rPr>
          <w:rFonts w:ascii="Times New Roman" w:hAnsi="Times New Roman" w:cs="Times New Roman"/>
          <w:sz w:val="28"/>
          <w:szCs w:val="28"/>
        </w:rPr>
        <w:t>95,0</w:t>
      </w:r>
      <w:r w:rsidR="00792ADA" w:rsidRPr="007F5722">
        <w:rPr>
          <w:rFonts w:ascii="Times New Roman" w:hAnsi="Times New Roman" w:cs="Times New Roman"/>
          <w:sz w:val="28"/>
          <w:szCs w:val="28"/>
        </w:rPr>
        <w:t xml:space="preserve"> </w:t>
      </w:r>
      <w:r w:rsidR="00707177" w:rsidRPr="007F5722">
        <w:rPr>
          <w:rFonts w:ascii="Times New Roman" w:hAnsi="Times New Roman" w:cs="Times New Roman"/>
          <w:sz w:val="28"/>
          <w:szCs w:val="28"/>
        </w:rPr>
        <w:t>(93,0; 103) см. Інші 63 (52,1</w:t>
      </w:r>
      <w:r w:rsidR="00055E8F" w:rsidRPr="007F5722">
        <w:rPr>
          <w:rFonts w:ascii="Times New Roman" w:hAnsi="Times New Roman" w:cs="Times New Roman"/>
          <w:sz w:val="28"/>
          <w:szCs w:val="28"/>
        </w:rPr>
        <w:t>%) осо</w:t>
      </w:r>
      <w:r w:rsidRPr="007F5722">
        <w:rPr>
          <w:rFonts w:ascii="Times New Roman" w:hAnsi="Times New Roman" w:cs="Times New Roman"/>
          <w:sz w:val="28"/>
          <w:szCs w:val="28"/>
        </w:rPr>
        <w:t>б</w:t>
      </w:r>
      <w:r w:rsidR="00055E8F" w:rsidRPr="007F5722">
        <w:rPr>
          <w:rFonts w:ascii="Times New Roman" w:hAnsi="Times New Roman" w:cs="Times New Roman"/>
          <w:sz w:val="28"/>
          <w:szCs w:val="28"/>
        </w:rPr>
        <w:t>и</w:t>
      </w:r>
      <w:r w:rsidRPr="007F5722">
        <w:rPr>
          <w:rFonts w:ascii="Times New Roman" w:hAnsi="Times New Roman" w:cs="Times New Roman"/>
          <w:sz w:val="28"/>
          <w:szCs w:val="28"/>
        </w:rPr>
        <w:t xml:space="preserve"> мали ОТ у межах фізіологічної норми </w:t>
      </w:r>
      <w:r w:rsidR="00055E8F" w:rsidRPr="007F5722">
        <w:rPr>
          <w:rFonts w:ascii="Times New Roman" w:hAnsi="Times New Roman" w:cs="Times New Roman"/>
          <w:sz w:val="28"/>
          <w:szCs w:val="28"/>
        </w:rPr>
        <w:t>8</w:t>
      </w:r>
      <w:r w:rsidR="00707177" w:rsidRPr="007F5722">
        <w:rPr>
          <w:rFonts w:ascii="Times New Roman" w:hAnsi="Times New Roman" w:cs="Times New Roman"/>
          <w:sz w:val="28"/>
          <w:szCs w:val="28"/>
        </w:rPr>
        <w:t>4,0 (</w:t>
      </w:r>
      <w:r w:rsidR="00055E8F" w:rsidRPr="007F5722">
        <w:rPr>
          <w:rFonts w:ascii="Times New Roman" w:hAnsi="Times New Roman" w:cs="Times New Roman"/>
          <w:sz w:val="28"/>
          <w:szCs w:val="28"/>
        </w:rPr>
        <w:t>77</w:t>
      </w:r>
      <w:r w:rsidR="00707177" w:rsidRPr="007F5722">
        <w:rPr>
          <w:rFonts w:ascii="Times New Roman" w:hAnsi="Times New Roman" w:cs="Times New Roman"/>
          <w:sz w:val="28"/>
          <w:szCs w:val="28"/>
        </w:rPr>
        <w:t>,0; 9</w:t>
      </w:r>
      <w:r w:rsidR="00055E8F" w:rsidRPr="007F5722">
        <w:rPr>
          <w:rFonts w:ascii="Times New Roman" w:hAnsi="Times New Roman" w:cs="Times New Roman"/>
          <w:sz w:val="28"/>
          <w:szCs w:val="28"/>
        </w:rPr>
        <w:t>4,0</w:t>
      </w:r>
      <w:r w:rsidR="00707177" w:rsidRPr="007F5722">
        <w:rPr>
          <w:rFonts w:ascii="Times New Roman" w:hAnsi="Times New Roman" w:cs="Times New Roman"/>
          <w:sz w:val="28"/>
          <w:szCs w:val="28"/>
        </w:rPr>
        <w:t>) см</w:t>
      </w:r>
      <w:r w:rsidR="00055E8F" w:rsidRPr="007F5722">
        <w:rPr>
          <w:rFonts w:ascii="Times New Roman" w:hAnsi="Times New Roman" w:cs="Times New Roman"/>
          <w:sz w:val="28"/>
          <w:szCs w:val="28"/>
        </w:rPr>
        <w:t xml:space="preserve">, серед них чоловіків – 34 (54 </w:t>
      </w:r>
      <w:r w:rsidRPr="007F5722">
        <w:rPr>
          <w:rFonts w:ascii="Times New Roman" w:hAnsi="Times New Roman" w:cs="Times New Roman"/>
          <w:sz w:val="28"/>
          <w:szCs w:val="28"/>
        </w:rPr>
        <w:t>%) –</w:t>
      </w:r>
      <w:r w:rsidR="00055E8F" w:rsidRPr="007F5722">
        <w:rPr>
          <w:rFonts w:ascii="Times New Roman" w:hAnsi="Times New Roman" w:cs="Times New Roman"/>
          <w:sz w:val="28"/>
          <w:szCs w:val="28"/>
        </w:rPr>
        <w:t>93,5 (80,0; 97,0)</w:t>
      </w:r>
      <w:r w:rsidRPr="007F5722">
        <w:rPr>
          <w:rFonts w:ascii="Times New Roman" w:hAnsi="Times New Roman" w:cs="Times New Roman"/>
          <w:sz w:val="28"/>
          <w:szCs w:val="28"/>
        </w:rPr>
        <w:t xml:space="preserve"> см, у жінок – </w:t>
      </w:r>
      <w:r w:rsidR="00055E8F" w:rsidRPr="007F5722">
        <w:rPr>
          <w:rFonts w:ascii="Times New Roman" w:hAnsi="Times New Roman" w:cs="Times New Roman"/>
          <w:sz w:val="28"/>
          <w:szCs w:val="28"/>
        </w:rPr>
        <w:t>29</w:t>
      </w:r>
      <w:r w:rsidRPr="007F5722">
        <w:rPr>
          <w:rFonts w:ascii="Times New Roman" w:hAnsi="Times New Roman" w:cs="Times New Roman"/>
          <w:sz w:val="28"/>
          <w:szCs w:val="28"/>
        </w:rPr>
        <w:t xml:space="preserve"> (</w:t>
      </w:r>
      <w:r w:rsidR="00055E8F" w:rsidRPr="007F5722">
        <w:rPr>
          <w:rFonts w:ascii="Times New Roman" w:hAnsi="Times New Roman" w:cs="Times New Roman"/>
          <w:sz w:val="28"/>
          <w:szCs w:val="28"/>
        </w:rPr>
        <w:t xml:space="preserve">46 </w:t>
      </w:r>
      <w:r w:rsidRPr="007F5722">
        <w:rPr>
          <w:rFonts w:ascii="Times New Roman" w:hAnsi="Times New Roman" w:cs="Times New Roman"/>
          <w:sz w:val="28"/>
          <w:szCs w:val="28"/>
        </w:rPr>
        <w:t xml:space="preserve">%) – </w:t>
      </w:r>
      <w:r w:rsidR="00055E8F" w:rsidRPr="007F5722">
        <w:rPr>
          <w:rFonts w:ascii="Times New Roman" w:hAnsi="Times New Roman" w:cs="Times New Roman"/>
          <w:sz w:val="28"/>
          <w:szCs w:val="28"/>
        </w:rPr>
        <w:t>80,0 (76,0; 83,0) см</w:t>
      </w:r>
      <w:r w:rsidRPr="007F5722">
        <w:rPr>
          <w:rFonts w:ascii="Times New Roman" w:hAnsi="Times New Roman" w:cs="Times New Roman"/>
          <w:sz w:val="28"/>
          <w:szCs w:val="28"/>
        </w:rPr>
        <w:t>.</w:t>
      </w:r>
    </w:p>
    <w:p w:rsidR="00476D8E" w:rsidRPr="007F5722" w:rsidRDefault="001D4C94" w:rsidP="00B902D0">
      <w:pPr>
        <w:pStyle w:val="af0"/>
        <w:ind w:firstLine="708"/>
        <w:jc w:val="both"/>
        <w:rPr>
          <w:rFonts w:ascii="Times New Roman" w:hAnsi="Times New Roman" w:cs="Times New Roman"/>
          <w:sz w:val="28"/>
          <w:szCs w:val="28"/>
        </w:rPr>
      </w:pPr>
      <w:r w:rsidRPr="007F5722">
        <w:rPr>
          <w:rFonts w:ascii="Times New Roman" w:hAnsi="Times New Roman" w:cs="Times New Roman"/>
          <w:sz w:val="28"/>
          <w:szCs w:val="28"/>
        </w:rPr>
        <w:t>При опитуванні наявність це</w:t>
      </w:r>
      <w:r w:rsidR="00597943" w:rsidRPr="007F5722">
        <w:rPr>
          <w:rFonts w:ascii="Times New Roman" w:hAnsi="Times New Roman" w:cs="Times New Roman"/>
          <w:sz w:val="28"/>
          <w:szCs w:val="28"/>
        </w:rPr>
        <w:t>ребральних скарг з’ясовано у 111 пацієнтів, що становило 91,7</w:t>
      </w:r>
      <w:r w:rsidRPr="007F5722">
        <w:rPr>
          <w:rFonts w:ascii="Times New Roman" w:hAnsi="Times New Roman" w:cs="Times New Roman"/>
          <w:sz w:val="28"/>
          <w:szCs w:val="28"/>
        </w:rPr>
        <w:t xml:space="preserve"> %: головного болю – у </w:t>
      </w:r>
      <w:r w:rsidR="00597943" w:rsidRPr="007F5722">
        <w:rPr>
          <w:rFonts w:ascii="Times New Roman" w:hAnsi="Times New Roman" w:cs="Times New Roman"/>
          <w:sz w:val="28"/>
          <w:szCs w:val="28"/>
        </w:rPr>
        <w:t>113 (93,4 %), запаморочення – у 100 (82,6</w:t>
      </w:r>
      <w:r w:rsidRPr="007F5722">
        <w:rPr>
          <w:rFonts w:ascii="Times New Roman" w:hAnsi="Times New Roman" w:cs="Times New Roman"/>
          <w:sz w:val="28"/>
          <w:szCs w:val="28"/>
        </w:rPr>
        <w:t xml:space="preserve"> %), тимчасового порушення з</w:t>
      </w:r>
      <w:r w:rsidR="00597943" w:rsidRPr="007F5722">
        <w:rPr>
          <w:rFonts w:ascii="Times New Roman" w:hAnsi="Times New Roman" w:cs="Times New Roman"/>
          <w:sz w:val="28"/>
          <w:szCs w:val="28"/>
        </w:rPr>
        <w:t>ору („мушки” перед очима) – у 42 (34,7</w:t>
      </w:r>
      <w:r w:rsidR="00302F39" w:rsidRPr="007F5722">
        <w:rPr>
          <w:rFonts w:ascii="Times New Roman" w:hAnsi="Times New Roman" w:cs="Times New Roman"/>
          <w:sz w:val="28"/>
          <w:szCs w:val="28"/>
        </w:rPr>
        <w:t xml:space="preserve"> %), шуму у вухах – у 36 (29,8</w:t>
      </w:r>
      <w:r w:rsidRPr="007F5722">
        <w:rPr>
          <w:rFonts w:ascii="Times New Roman" w:hAnsi="Times New Roman" w:cs="Times New Roman"/>
          <w:sz w:val="28"/>
          <w:szCs w:val="28"/>
        </w:rPr>
        <w:t xml:space="preserve"> %). Скарги кардіальног</w:t>
      </w:r>
      <w:r w:rsidR="00302F39" w:rsidRPr="007F5722">
        <w:rPr>
          <w:rFonts w:ascii="Times New Roman" w:hAnsi="Times New Roman" w:cs="Times New Roman"/>
          <w:sz w:val="28"/>
          <w:szCs w:val="28"/>
        </w:rPr>
        <w:t>о характеру спостерігалися у 93 пацієнтів (76,9</w:t>
      </w:r>
      <w:r w:rsidRPr="007F5722">
        <w:rPr>
          <w:rFonts w:ascii="Times New Roman" w:hAnsi="Times New Roman" w:cs="Times New Roman"/>
          <w:sz w:val="28"/>
          <w:szCs w:val="28"/>
        </w:rPr>
        <w:t xml:space="preserve"> </w:t>
      </w:r>
      <w:r w:rsidR="00302F39" w:rsidRPr="007F5722">
        <w:rPr>
          <w:rFonts w:ascii="Times New Roman" w:hAnsi="Times New Roman" w:cs="Times New Roman"/>
          <w:sz w:val="28"/>
          <w:szCs w:val="28"/>
        </w:rPr>
        <w:t>%): біль у ділянці серця – у 77 (63,6</w:t>
      </w:r>
      <w:r w:rsidRPr="007F5722">
        <w:rPr>
          <w:rFonts w:ascii="Times New Roman" w:hAnsi="Times New Roman" w:cs="Times New Roman"/>
          <w:sz w:val="28"/>
          <w:szCs w:val="28"/>
        </w:rPr>
        <w:t xml:space="preserve"> %), серцебиття при звичайному фізичному навантаженні – </w:t>
      </w:r>
      <w:r w:rsidR="00302F39" w:rsidRPr="007F5722">
        <w:rPr>
          <w:rFonts w:ascii="Times New Roman" w:hAnsi="Times New Roman" w:cs="Times New Roman"/>
          <w:sz w:val="28"/>
          <w:szCs w:val="28"/>
        </w:rPr>
        <w:t>у 38 (31,</w:t>
      </w:r>
      <w:r w:rsidRPr="007F5722">
        <w:rPr>
          <w:rFonts w:ascii="Times New Roman" w:hAnsi="Times New Roman" w:cs="Times New Roman"/>
          <w:sz w:val="28"/>
          <w:szCs w:val="28"/>
        </w:rPr>
        <w:t>4 %), серцебиття при незначно</w:t>
      </w:r>
      <w:r w:rsidR="00302F39" w:rsidRPr="007F5722">
        <w:rPr>
          <w:rFonts w:ascii="Times New Roman" w:hAnsi="Times New Roman" w:cs="Times New Roman"/>
          <w:sz w:val="28"/>
          <w:szCs w:val="28"/>
        </w:rPr>
        <w:t>му фізичному навантаженні – у 50 (41,3 %), серцебиття при будь якому</w:t>
      </w:r>
      <w:r w:rsidRPr="007F5722">
        <w:rPr>
          <w:rFonts w:ascii="Times New Roman" w:hAnsi="Times New Roman" w:cs="Times New Roman"/>
          <w:sz w:val="28"/>
          <w:szCs w:val="28"/>
        </w:rPr>
        <w:t xml:space="preserve"> фізичному наван</w:t>
      </w:r>
      <w:r w:rsidR="00302F39" w:rsidRPr="007F5722">
        <w:rPr>
          <w:rFonts w:ascii="Times New Roman" w:hAnsi="Times New Roman" w:cs="Times New Roman"/>
          <w:sz w:val="28"/>
          <w:szCs w:val="28"/>
        </w:rPr>
        <w:t>таженні та у стані спокою – у 11 (9,1</w:t>
      </w:r>
      <w:r w:rsidRPr="007F5722">
        <w:rPr>
          <w:rFonts w:ascii="Times New Roman" w:hAnsi="Times New Roman" w:cs="Times New Roman"/>
          <w:sz w:val="28"/>
          <w:szCs w:val="28"/>
        </w:rPr>
        <w:t xml:space="preserve"> %), задуха при звичайно</w:t>
      </w:r>
      <w:r w:rsidR="00302F39" w:rsidRPr="007F5722">
        <w:rPr>
          <w:rFonts w:ascii="Times New Roman" w:hAnsi="Times New Roman" w:cs="Times New Roman"/>
          <w:sz w:val="28"/>
          <w:szCs w:val="28"/>
        </w:rPr>
        <w:t>му фізичному навантаженні – у 47 (38,8</w:t>
      </w:r>
      <w:r w:rsidRPr="007F5722">
        <w:rPr>
          <w:rFonts w:ascii="Times New Roman" w:hAnsi="Times New Roman" w:cs="Times New Roman"/>
          <w:sz w:val="28"/>
          <w:szCs w:val="28"/>
        </w:rPr>
        <w:t xml:space="preserve"> %), задуха при незначном</w:t>
      </w:r>
      <w:r w:rsidR="00302F39" w:rsidRPr="007F5722">
        <w:rPr>
          <w:rFonts w:ascii="Times New Roman" w:hAnsi="Times New Roman" w:cs="Times New Roman"/>
          <w:sz w:val="28"/>
          <w:szCs w:val="28"/>
        </w:rPr>
        <w:t>у фізичному навантаженні – у 60 (49,6 %), задуха при будь кому</w:t>
      </w:r>
      <w:r w:rsidRPr="007F5722">
        <w:rPr>
          <w:rFonts w:ascii="Times New Roman" w:hAnsi="Times New Roman" w:cs="Times New Roman"/>
          <w:sz w:val="28"/>
          <w:szCs w:val="28"/>
        </w:rPr>
        <w:t xml:space="preserve"> фізичному нава</w:t>
      </w:r>
      <w:r w:rsidR="00302F39" w:rsidRPr="007F5722">
        <w:rPr>
          <w:rFonts w:ascii="Times New Roman" w:hAnsi="Times New Roman" w:cs="Times New Roman"/>
          <w:sz w:val="28"/>
          <w:szCs w:val="28"/>
        </w:rPr>
        <w:t>нтаженні та у стані спокою – у 1</w:t>
      </w:r>
      <w:r w:rsidRPr="007F5722">
        <w:rPr>
          <w:rFonts w:ascii="Times New Roman" w:hAnsi="Times New Roman" w:cs="Times New Roman"/>
          <w:sz w:val="28"/>
          <w:szCs w:val="28"/>
        </w:rPr>
        <w:t xml:space="preserve">0 </w:t>
      </w:r>
      <w:r w:rsidR="00302F39" w:rsidRPr="007F5722">
        <w:rPr>
          <w:rFonts w:ascii="Times New Roman" w:hAnsi="Times New Roman" w:cs="Times New Roman"/>
          <w:sz w:val="28"/>
          <w:szCs w:val="28"/>
        </w:rPr>
        <w:t>(8,</w:t>
      </w:r>
      <w:r w:rsidRPr="007F5722">
        <w:rPr>
          <w:rFonts w:ascii="Times New Roman" w:hAnsi="Times New Roman" w:cs="Times New Roman"/>
          <w:sz w:val="28"/>
          <w:szCs w:val="28"/>
        </w:rPr>
        <w:t xml:space="preserve">3 </w:t>
      </w:r>
      <w:r w:rsidR="00302F39" w:rsidRPr="007F5722">
        <w:rPr>
          <w:rFonts w:ascii="Times New Roman" w:hAnsi="Times New Roman" w:cs="Times New Roman"/>
          <w:sz w:val="28"/>
          <w:szCs w:val="28"/>
        </w:rPr>
        <w:t xml:space="preserve">%) та периферичні набряки – у 45 </w:t>
      </w:r>
      <w:r w:rsidR="00302F39" w:rsidRPr="007F5722">
        <w:rPr>
          <w:rFonts w:ascii="Times New Roman" w:hAnsi="Times New Roman" w:cs="Times New Roman"/>
          <w:sz w:val="28"/>
          <w:szCs w:val="28"/>
        </w:rPr>
        <w:lastRenderedPageBreak/>
        <w:t>пацієнтів (37,2</w:t>
      </w:r>
      <w:r w:rsidRPr="007F5722">
        <w:rPr>
          <w:rFonts w:ascii="Times New Roman" w:hAnsi="Times New Roman" w:cs="Times New Roman"/>
          <w:sz w:val="28"/>
          <w:szCs w:val="28"/>
        </w:rPr>
        <w:t xml:space="preserve"> %). Скарги астено-невротич</w:t>
      </w:r>
      <w:r w:rsidR="003B68D3">
        <w:rPr>
          <w:rFonts w:ascii="Times New Roman" w:hAnsi="Times New Roman" w:cs="Times New Roman"/>
          <w:sz w:val="28"/>
          <w:szCs w:val="28"/>
        </w:rPr>
        <w:t xml:space="preserve">ного характеру мали місце </w:t>
      </w:r>
      <w:r w:rsidR="00302F39" w:rsidRPr="007F5722">
        <w:rPr>
          <w:rFonts w:ascii="Times New Roman" w:hAnsi="Times New Roman" w:cs="Times New Roman"/>
          <w:sz w:val="28"/>
          <w:szCs w:val="28"/>
        </w:rPr>
        <w:t>у 87 випадках (79,1</w:t>
      </w:r>
      <w:r w:rsidRPr="007F5722">
        <w:rPr>
          <w:rFonts w:ascii="Times New Roman" w:hAnsi="Times New Roman" w:cs="Times New Roman"/>
          <w:sz w:val="28"/>
          <w:szCs w:val="28"/>
        </w:rPr>
        <w:t xml:space="preserve"> %): стомлюванність при звичайном</w:t>
      </w:r>
      <w:r w:rsidR="00302F39" w:rsidRPr="007F5722">
        <w:rPr>
          <w:rFonts w:ascii="Times New Roman" w:hAnsi="Times New Roman" w:cs="Times New Roman"/>
          <w:sz w:val="28"/>
          <w:szCs w:val="28"/>
        </w:rPr>
        <w:t>у фізичному навантаженні – у 59 (48,8</w:t>
      </w:r>
      <w:r w:rsidRPr="007F5722">
        <w:rPr>
          <w:rFonts w:ascii="Times New Roman" w:hAnsi="Times New Roman" w:cs="Times New Roman"/>
          <w:sz w:val="28"/>
          <w:szCs w:val="28"/>
        </w:rPr>
        <w:t xml:space="preserve"> %), стомлюванність при незначному фізичному навантаже</w:t>
      </w:r>
      <w:r w:rsidR="00302F39" w:rsidRPr="007F5722">
        <w:rPr>
          <w:rFonts w:ascii="Times New Roman" w:hAnsi="Times New Roman" w:cs="Times New Roman"/>
          <w:sz w:val="28"/>
          <w:szCs w:val="28"/>
        </w:rPr>
        <w:t>нні – у 58 (47,9 %), стомлюванність при будь якому</w:t>
      </w:r>
      <w:r w:rsidRPr="007F5722">
        <w:rPr>
          <w:rFonts w:ascii="Times New Roman" w:hAnsi="Times New Roman" w:cs="Times New Roman"/>
          <w:sz w:val="28"/>
          <w:szCs w:val="28"/>
        </w:rPr>
        <w:t xml:space="preserve"> фізичному наван</w:t>
      </w:r>
      <w:r w:rsidR="00581D58" w:rsidRPr="007F5722">
        <w:rPr>
          <w:rFonts w:ascii="Times New Roman" w:hAnsi="Times New Roman" w:cs="Times New Roman"/>
          <w:sz w:val="28"/>
          <w:szCs w:val="28"/>
        </w:rPr>
        <w:t>таженні та у стані спокою – у 9 (7,4</w:t>
      </w:r>
      <w:r w:rsidRPr="007F5722">
        <w:rPr>
          <w:rFonts w:ascii="Times New Roman" w:hAnsi="Times New Roman" w:cs="Times New Roman"/>
          <w:sz w:val="28"/>
          <w:szCs w:val="28"/>
        </w:rPr>
        <w:t xml:space="preserve"> %).</w:t>
      </w:r>
    </w:p>
    <w:p w:rsidR="00AE1021" w:rsidRPr="007F5722" w:rsidRDefault="00AE1021" w:rsidP="00242BAA">
      <w:pPr>
        <w:pStyle w:val="af0"/>
        <w:ind w:firstLine="708"/>
        <w:jc w:val="both"/>
        <w:rPr>
          <w:rFonts w:ascii="Times New Roman" w:hAnsi="Times New Roman" w:cs="Times New Roman"/>
          <w:sz w:val="28"/>
          <w:szCs w:val="28"/>
        </w:rPr>
      </w:pPr>
    </w:p>
    <w:p w:rsidR="00E871FC" w:rsidRPr="007F5722" w:rsidRDefault="00E871FC" w:rsidP="009B7137">
      <w:pPr>
        <w:pStyle w:val="af0"/>
        <w:jc w:val="both"/>
        <w:rPr>
          <w:rFonts w:ascii="Times New Roman" w:hAnsi="Times New Roman" w:cs="Times New Roman"/>
          <w:sz w:val="28"/>
          <w:szCs w:val="28"/>
        </w:rPr>
        <w:sectPr w:rsidR="00E871FC" w:rsidRPr="007F5722" w:rsidSect="007C0B93">
          <w:pgSz w:w="11906" w:h="16838"/>
          <w:pgMar w:top="1134" w:right="850" w:bottom="1134" w:left="1701" w:header="708" w:footer="708" w:gutter="0"/>
          <w:cols w:space="708"/>
          <w:docGrid w:linePitch="360"/>
        </w:sectPr>
      </w:pPr>
    </w:p>
    <w:p w:rsidR="00A669C3" w:rsidRPr="007F5722" w:rsidRDefault="00A669C3" w:rsidP="00242BAA">
      <w:pPr>
        <w:spacing w:after="0" w:line="360" w:lineRule="auto"/>
        <w:ind w:left="420" w:firstLine="288"/>
        <w:contextualSpacing/>
        <w:jc w:val="center"/>
        <w:rPr>
          <w:rFonts w:ascii="Times New Roman" w:hAnsi="Times New Roman" w:cs="Times New Roman"/>
          <w:b/>
          <w:sz w:val="28"/>
          <w:szCs w:val="28"/>
        </w:rPr>
      </w:pPr>
      <w:bookmarkStart w:id="0" w:name="Pidrozd_2_2_Metod_dosl"/>
      <w:r w:rsidRPr="007F5722">
        <w:rPr>
          <w:rFonts w:ascii="Times New Roman" w:hAnsi="Times New Roman" w:cs="Times New Roman"/>
          <w:b/>
          <w:sz w:val="28"/>
          <w:szCs w:val="28"/>
        </w:rPr>
        <w:lastRenderedPageBreak/>
        <w:t>2.2. Методи дослідження</w:t>
      </w:r>
      <w:bookmarkEnd w:id="0"/>
    </w:p>
    <w:p w:rsidR="00A669C3" w:rsidRPr="007F5722" w:rsidRDefault="00A669C3" w:rsidP="00A669C3">
      <w:pPr>
        <w:shd w:val="clear" w:color="auto" w:fill="FFFFFF"/>
        <w:spacing w:after="0" w:line="360" w:lineRule="auto"/>
        <w:ind w:firstLine="709"/>
        <w:jc w:val="both"/>
        <w:rPr>
          <w:rFonts w:ascii="Times New Roman" w:hAnsi="Times New Roman" w:cs="Times New Roman"/>
          <w:sz w:val="28"/>
          <w:szCs w:val="28"/>
        </w:rPr>
      </w:pPr>
      <w:r w:rsidRPr="007F5722">
        <w:rPr>
          <w:rFonts w:ascii="Times New Roman" w:hAnsi="Times New Roman" w:cs="Times New Roman"/>
          <w:sz w:val="28"/>
          <w:szCs w:val="28"/>
        </w:rPr>
        <w:t>Дослідження виконувалися за наявності інформованої згоди пацієнтів та відповідали етичним нормам діючого в Україні законодавства: Закону України «Про лікарські засоби», 1996, ст. 7, 8, 12, принципів ІСН GСP (2008 р.), наказу МОЗ України № 690 від 23.09.2009 «Про затвердження Правил проведення клінічних випробувань та експертизи матеріалів клінічних випробувань і Типового положення про комісію з питань етики», зі змінами і доповненнями.</w:t>
      </w:r>
    </w:p>
    <w:p w:rsidR="00BE219A" w:rsidRPr="007F5722" w:rsidRDefault="00BE219A" w:rsidP="00A669C3">
      <w:pPr>
        <w:shd w:val="clear" w:color="auto" w:fill="FFFFFF"/>
        <w:spacing w:after="0" w:line="360" w:lineRule="auto"/>
        <w:ind w:firstLine="709"/>
        <w:jc w:val="both"/>
        <w:rPr>
          <w:rFonts w:ascii="Times New Roman" w:hAnsi="Times New Roman" w:cs="Times New Roman"/>
          <w:sz w:val="28"/>
          <w:szCs w:val="28"/>
        </w:rPr>
      </w:pPr>
      <w:r w:rsidRPr="007F5722">
        <w:rPr>
          <w:rFonts w:ascii="Times New Roman" w:hAnsi="Times New Roman" w:cs="Times New Roman"/>
          <w:sz w:val="28"/>
          <w:szCs w:val="28"/>
          <w:lang w:eastAsia="uk-UA"/>
        </w:rPr>
        <w:t xml:space="preserve">Дослідження виконане з мінімальними психологічними втратами з боку пацієнтів, також вони повністю інформовані про методи та об'єм досліджень. Перед початком дослідження усі хворі отримали письмову інформацію щодо мети та суті дослідження. Пацієнти були попереджені про можливість у будь-який момент припинити участь у дослідженні без пояснень причин, а також додатково проконсультуватися з приводу дослідження у іншого лікаря. </w:t>
      </w:r>
      <w:r w:rsidRPr="007F5722">
        <w:rPr>
          <w:rFonts w:ascii="Times New Roman" w:hAnsi="Times New Roman" w:cs="Times New Roman"/>
          <w:sz w:val="28"/>
        </w:rPr>
        <w:t>Карта досліджень і формуляр інформованої згоди пацієнта були схвалені комісією з питань біоетики Харківського національного медичного університету МОЗ України (м. Харків).</w:t>
      </w:r>
    </w:p>
    <w:p w:rsidR="00A669C3" w:rsidRPr="007F5722" w:rsidRDefault="00A669C3" w:rsidP="00A669C3">
      <w:pPr>
        <w:shd w:val="clear" w:color="auto" w:fill="FFFFFF"/>
        <w:spacing w:after="0" w:line="360" w:lineRule="auto"/>
        <w:ind w:firstLine="709"/>
        <w:jc w:val="both"/>
        <w:rPr>
          <w:rFonts w:ascii="Times New Roman" w:hAnsi="Times New Roman" w:cs="Times New Roman"/>
          <w:sz w:val="28"/>
          <w:szCs w:val="28"/>
        </w:rPr>
      </w:pPr>
      <w:r w:rsidRPr="007F5722">
        <w:rPr>
          <w:rFonts w:ascii="Times New Roman" w:hAnsi="Times New Roman" w:cs="Times New Roman"/>
          <w:sz w:val="28"/>
          <w:szCs w:val="28"/>
        </w:rPr>
        <w:t>Усім хворим було проведено стандартні методи дослідження, регламентовані протоколами надання медичних послуг, що затверджені МОЗ України, щодо обстеження хворих на гіпертонічну хворобу.</w:t>
      </w:r>
    </w:p>
    <w:p w:rsidR="00A669C3" w:rsidRPr="007F5722" w:rsidRDefault="00A669C3" w:rsidP="00A669C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bCs/>
          <w:color w:val="000000"/>
          <w:sz w:val="28"/>
          <w:szCs w:val="28"/>
        </w:rPr>
        <w:t xml:space="preserve">Верифікацію діагнозу гіпертонічної хвороби проводили на підставі клініко-анамнестичного та лабораторно-інструментального досліджень з використанням критеріїв, рекомендованих Українським товариством кардіологів </w:t>
      </w:r>
      <w:r w:rsidRPr="007F5722">
        <w:rPr>
          <w:rFonts w:ascii="Times New Roman" w:eastAsia="Times New Roman" w:hAnsi="Times New Roman" w:cs="Times New Roman"/>
          <w:color w:val="000000"/>
          <w:sz w:val="28"/>
          <w:szCs w:val="28"/>
        </w:rPr>
        <w:t>[</w:t>
      </w:r>
      <w:r w:rsidR="000F0BCB" w:rsidRPr="007F5722">
        <w:rPr>
          <w:rFonts w:ascii="Times New Roman" w:eastAsia="Times New Roman" w:hAnsi="Times New Roman" w:cs="Times New Roman"/>
          <w:color w:val="000000"/>
          <w:sz w:val="28"/>
          <w:szCs w:val="28"/>
        </w:rPr>
        <w:t>191</w:t>
      </w:r>
      <w:r w:rsidRPr="007F5722">
        <w:rPr>
          <w:rFonts w:ascii="Times New Roman" w:eastAsia="Times New Roman" w:hAnsi="Times New Roman" w:cs="Times New Roman"/>
          <w:color w:val="000000"/>
          <w:sz w:val="28"/>
          <w:szCs w:val="28"/>
        </w:rPr>
        <w:t>]</w:t>
      </w:r>
      <w:r w:rsidRPr="007F5722">
        <w:rPr>
          <w:rFonts w:ascii="Times New Roman" w:eastAsia="Times New Roman" w:hAnsi="Times New Roman" w:cs="Times New Roman"/>
          <w:bCs/>
          <w:color w:val="000000"/>
          <w:sz w:val="28"/>
          <w:szCs w:val="28"/>
        </w:rPr>
        <w:t xml:space="preserve"> та експертами ВООЗ, та згідно останніх рекомендацій Європейського товариства гіпертензії та Європейського товариства кардіології 2013 року. </w:t>
      </w:r>
      <w:r w:rsidRPr="007F5722">
        <w:rPr>
          <w:rFonts w:ascii="Times New Roman" w:eastAsia="Times New Roman" w:hAnsi="Times New Roman" w:cs="Times New Roman"/>
          <w:color w:val="000000"/>
          <w:sz w:val="28"/>
          <w:szCs w:val="28"/>
        </w:rPr>
        <w:t>[</w:t>
      </w:r>
      <w:r w:rsidR="000F0BCB" w:rsidRPr="007F5722">
        <w:rPr>
          <w:rFonts w:ascii="Times New Roman" w:eastAsia="Times New Roman" w:hAnsi="Times New Roman" w:cs="Times New Roman"/>
          <w:color w:val="000000"/>
          <w:sz w:val="28"/>
          <w:szCs w:val="28"/>
        </w:rPr>
        <w:t>190</w:t>
      </w:r>
      <w:r w:rsidRPr="007F5722">
        <w:rPr>
          <w:rFonts w:ascii="Times New Roman" w:eastAsia="Times New Roman" w:hAnsi="Times New Roman" w:cs="Times New Roman"/>
          <w:color w:val="000000"/>
          <w:sz w:val="28"/>
          <w:szCs w:val="28"/>
        </w:rPr>
        <w:t>].</w:t>
      </w:r>
    </w:p>
    <w:p w:rsidR="00A669C3" w:rsidRPr="007F5722" w:rsidRDefault="00A669C3" w:rsidP="00BE219A">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bCs/>
          <w:color w:val="000000"/>
          <w:sz w:val="28"/>
          <w:szCs w:val="28"/>
        </w:rPr>
        <w:t xml:space="preserve">Стадія ГХ встановлювалась на підставі класифікації за ураженням органів-мішеней. Ступінь артеріальної гіпертензії визначався також згідно відповідних клінічних настанов </w:t>
      </w:r>
      <w:r w:rsidRPr="007F5722">
        <w:rPr>
          <w:rFonts w:ascii="Times New Roman" w:eastAsia="Times New Roman" w:hAnsi="Times New Roman" w:cs="Times New Roman"/>
          <w:color w:val="000000"/>
          <w:sz w:val="28"/>
          <w:szCs w:val="28"/>
        </w:rPr>
        <w:t>[</w:t>
      </w:r>
      <w:r w:rsidR="001C3FD4" w:rsidRPr="007F5722">
        <w:rPr>
          <w:rFonts w:ascii="Times New Roman" w:eastAsia="Times New Roman" w:hAnsi="Times New Roman" w:cs="Times New Roman"/>
          <w:color w:val="000000"/>
          <w:sz w:val="28"/>
          <w:szCs w:val="28"/>
        </w:rPr>
        <w:t>191</w:t>
      </w:r>
      <w:r w:rsidRPr="007F5722">
        <w:rPr>
          <w:rFonts w:ascii="Times New Roman" w:eastAsia="Times New Roman" w:hAnsi="Times New Roman" w:cs="Times New Roman"/>
          <w:color w:val="000000"/>
          <w:sz w:val="28"/>
          <w:szCs w:val="28"/>
        </w:rPr>
        <w:t xml:space="preserve">]. Згідно з настановами, ГХ – є підвищення САТ понад 140 мм рт. ст. або ДАТ понад 90 мм рт. ст., якщо таке </w:t>
      </w:r>
      <w:r w:rsidRPr="007F5722">
        <w:rPr>
          <w:rFonts w:ascii="Times New Roman" w:eastAsia="Times New Roman" w:hAnsi="Times New Roman" w:cs="Times New Roman"/>
          <w:color w:val="000000"/>
          <w:sz w:val="28"/>
          <w:szCs w:val="28"/>
        </w:rPr>
        <w:lastRenderedPageBreak/>
        <w:t>підвищення є стабільним, тобто підтверджується при повторних вимірюваннях АТ (не менш ніж 2–3 рази у різні дні протягом 4 тижнів).</w:t>
      </w:r>
    </w:p>
    <w:p w:rsidR="00A669C3" w:rsidRPr="007F5722" w:rsidRDefault="00A669C3" w:rsidP="00A669C3">
      <w:pPr>
        <w:shd w:val="clear" w:color="auto" w:fill="FFFFFF"/>
        <w:spacing w:after="0" w:line="360" w:lineRule="auto"/>
        <w:ind w:firstLine="709"/>
        <w:jc w:val="right"/>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Таблиця 2.2.1</w:t>
      </w:r>
    </w:p>
    <w:p w:rsidR="00A669C3" w:rsidRPr="007F5722" w:rsidRDefault="00A669C3" w:rsidP="00A669C3">
      <w:pPr>
        <w:shd w:val="clear" w:color="auto" w:fill="FFFFFF"/>
        <w:spacing w:after="0" w:line="360" w:lineRule="auto"/>
        <w:ind w:firstLine="709"/>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Класифікація гіпертонічної хвороби за рівнем артеріального тиску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2720"/>
        <w:gridCol w:w="2127"/>
        <w:gridCol w:w="2120"/>
      </w:tblGrid>
      <w:tr w:rsidR="00A669C3" w:rsidRPr="007F5722" w:rsidTr="00AB6B67">
        <w:tc>
          <w:tcPr>
            <w:tcW w:w="5098" w:type="dxa"/>
            <w:gridSpan w:val="2"/>
            <w:vAlign w:val="center"/>
          </w:tcPr>
          <w:p w:rsidR="00A669C3" w:rsidRPr="007F5722" w:rsidRDefault="00A669C3" w:rsidP="00A669C3">
            <w:pPr>
              <w:shd w:val="clear" w:color="auto" w:fill="FFFFFF"/>
              <w:spacing w:after="0" w:line="360" w:lineRule="auto"/>
              <w:ind w:firstLine="709"/>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Категорії</w:t>
            </w:r>
          </w:p>
        </w:tc>
        <w:tc>
          <w:tcPr>
            <w:tcW w:w="2127" w:type="dxa"/>
            <w:vAlign w:val="center"/>
          </w:tcPr>
          <w:p w:rsidR="00A669C3" w:rsidRPr="007F5722" w:rsidRDefault="00A669C3" w:rsidP="00A669C3">
            <w:pPr>
              <w:shd w:val="clear" w:color="auto" w:fill="FFFFFF"/>
              <w:spacing w:after="0" w:line="360" w:lineRule="auto"/>
              <w:ind w:firstLine="709"/>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САТ, мм рт. ст.</w:t>
            </w:r>
          </w:p>
        </w:tc>
        <w:tc>
          <w:tcPr>
            <w:tcW w:w="2120" w:type="dxa"/>
            <w:vAlign w:val="center"/>
          </w:tcPr>
          <w:p w:rsidR="00A669C3" w:rsidRPr="007F5722" w:rsidRDefault="00A669C3" w:rsidP="00A669C3">
            <w:pPr>
              <w:shd w:val="clear" w:color="auto" w:fill="FFFFFF"/>
              <w:spacing w:after="0" w:line="360" w:lineRule="auto"/>
              <w:ind w:firstLine="709"/>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ДАТ, мм рт. ст.</w:t>
            </w:r>
          </w:p>
        </w:tc>
      </w:tr>
      <w:tr w:rsidR="00A669C3" w:rsidRPr="007F5722" w:rsidTr="00AB6B67">
        <w:tc>
          <w:tcPr>
            <w:tcW w:w="5098" w:type="dxa"/>
            <w:gridSpan w:val="2"/>
            <w:vAlign w:val="center"/>
          </w:tcPr>
          <w:p w:rsidR="00A669C3" w:rsidRPr="007F5722" w:rsidRDefault="00A669C3" w:rsidP="00A669C3">
            <w:pPr>
              <w:shd w:val="clear" w:color="auto" w:fill="FFFFFF"/>
              <w:spacing w:after="0" w:line="360" w:lineRule="auto"/>
              <w:ind w:firstLine="709"/>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Оптимальний</w:t>
            </w:r>
          </w:p>
        </w:tc>
        <w:tc>
          <w:tcPr>
            <w:tcW w:w="2127" w:type="dxa"/>
            <w:vAlign w:val="center"/>
          </w:tcPr>
          <w:p w:rsidR="00A669C3" w:rsidRPr="007F5722" w:rsidRDefault="00A669C3" w:rsidP="00A669C3">
            <w:pPr>
              <w:shd w:val="clear" w:color="auto" w:fill="FFFFFF"/>
              <w:spacing w:after="0" w:line="360" w:lineRule="auto"/>
              <w:ind w:firstLine="709"/>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&lt;120</w:t>
            </w:r>
          </w:p>
        </w:tc>
        <w:tc>
          <w:tcPr>
            <w:tcW w:w="2120" w:type="dxa"/>
            <w:vAlign w:val="center"/>
          </w:tcPr>
          <w:p w:rsidR="00A669C3" w:rsidRPr="007F5722" w:rsidRDefault="00A669C3" w:rsidP="00A669C3">
            <w:pPr>
              <w:shd w:val="clear" w:color="auto" w:fill="FFFFFF"/>
              <w:spacing w:after="0" w:line="360" w:lineRule="auto"/>
              <w:ind w:firstLine="709"/>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&lt;80</w:t>
            </w:r>
          </w:p>
        </w:tc>
      </w:tr>
      <w:tr w:rsidR="00A669C3" w:rsidRPr="007F5722" w:rsidTr="00AB6B67">
        <w:tc>
          <w:tcPr>
            <w:tcW w:w="5098" w:type="dxa"/>
            <w:gridSpan w:val="2"/>
            <w:vAlign w:val="center"/>
          </w:tcPr>
          <w:p w:rsidR="00A669C3" w:rsidRPr="007F5722" w:rsidRDefault="00A669C3" w:rsidP="00A669C3">
            <w:pPr>
              <w:shd w:val="clear" w:color="auto" w:fill="FFFFFF"/>
              <w:spacing w:after="0" w:line="360" w:lineRule="auto"/>
              <w:ind w:firstLine="709"/>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Нормальний</w:t>
            </w:r>
          </w:p>
        </w:tc>
        <w:tc>
          <w:tcPr>
            <w:tcW w:w="2127" w:type="dxa"/>
            <w:vAlign w:val="center"/>
          </w:tcPr>
          <w:p w:rsidR="00A669C3" w:rsidRPr="007F5722" w:rsidRDefault="00A669C3" w:rsidP="00A669C3">
            <w:pPr>
              <w:shd w:val="clear" w:color="auto" w:fill="FFFFFF"/>
              <w:spacing w:after="0" w:line="360" w:lineRule="auto"/>
              <w:ind w:firstLine="709"/>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120-129</w:t>
            </w:r>
          </w:p>
        </w:tc>
        <w:tc>
          <w:tcPr>
            <w:tcW w:w="2120" w:type="dxa"/>
            <w:vAlign w:val="center"/>
          </w:tcPr>
          <w:p w:rsidR="00A669C3" w:rsidRPr="007F5722" w:rsidRDefault="00A669C3" w:rsidP="00A669C3">
            <w:pPr>
              <w:shd w:val="clear" w:color="auto" w:fill="FFFFFF"/>
              <w:spacing w:after="0" w:line="360" w:lineRule="auto"/>
              <w:ind w:firstLine="709"/>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80-84</w:t>
            </w:r>
          </w:p>
        </w:tc>
      </w:tr>
      <w:tr w:rsidR="00A669C3" w:rsidRPr="007F5722" w:rsidTr="00AB6B67">
        <w:tc>
          <w:tcPr>
            <w:tcW w:w="5098" w:type="dxa"/>
            <w:gridSpan w:val="2"/>
            <w:vAlign w:val="center"/>
          </w:tcPr>
          <w:p w:rsidR="00A669C3" w:rsidRPr="007F5722" w:rsidRDefault="00A669C3" w:rsidP="00A669C3">
            <w:pPr>
              <w:shd w:val="clear" w:color="auto" w:fill="FFFFFF"/>
              <w:spacing w:after="0" w:line="360" w:lineRule="auto"/>
              <w:ind w:firstLine="709"/>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Високий нормальний</w:t>
            </w:r>
          </w:p>
        </w:tc>
        <w:tc>
          <w:tcPr>
            <w:tcW w:w="2127" w:type="dxa"/>
            <w:vAlign w:val="center"/>
          </w:tcPr>
          <w:p w:rsidR="00A669C3" w:rsidRPr="007F5722" w:rsidRDefault="00A669C3" w:rsidP="00A669C3">
            <w:pPr>
              <w:shd w:val="clear" w:color="auto" w:fill="FFFFFF"/>
              <w:spacing w:after="0" w:line="360" w:lineRule="auto"/>
              <w:ind w:firstLine="709"/>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130-139</w:t>
            </w:r>
          </w:p>
        </w:tc>
        <w:tc>
          <w:tcPr>
            <w:tcW w:w="2120" w:type="dxa"/>
            <w:vAlign w:val="center"/>
          </w:tcPr>
          <w:p w:rsidR="00A669C3" w:rsidRPr="007F5722" w:rsidRDefault="00A669C3" w:rsidP="00A669C3">
            <w:pPr>
              <w:shd w:val="clear" w:color="auto" w:fill="FFFFFF"/>
              <w:spacing w:after="0" w:line="360" w:lineRule="auto"/>
              <w:ind w:firstLine="709"/>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85-89</w:t>
            </w:r>
          </w:p>
        </w:tc>
      </w:tr>
      <w:tr w:rsidR="00A669C3" w:rsidRPr="007F5722" w:rsidTr="00AB6B67">
        <w:tc>
          <w:tcPr>
            <w:tcW w:w="2378" w:type="dxa"/>
            <w:vMerge w:val="restart"/>
            <w:vAlign w:val="center"/>
          </w:tcPr>
          <w:p w:rsidR="00A669C3" w:rsidRPr="007F5722" w:rsidRDefault="00A669C3" w:rsidP="00A669C3">
            <w:pPr>
              <w:shd w:val="clear" w:color="auto" w:fill="FFFFFF"/>
              <w:spacing w:after="0" w:line="360" w:lineRule="auto"/>
              <w:ind w:firstLine="709"/>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Гіпертонія</w:t>
            </w:r>
          </w:p>
        </w:tc>
        <w:tc>
          <w:tcPr>
            <w:tcW w:w="2720" w:type="dxa"/>
            <w:vAlign w:val="center"/>
          </w:tcPr>
          <w:p w:rsidR="00A669C3" w:rsidRPr="007F5722" w:rsidRDefault="00A669C3" w:rsidP="00A669C3">
            <w:pPr>
              <w:shd w:val="clear" w:color="auto" w:fill="FFFFFF"/>
              <w:spacing w:after="0" w:line="360" w:lineRule="auto"/>
              <w:ind w:firstLine="709"/>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 ступінь</w:t>
            </w:r>
          </w:p>
        </w:tc>
        <w:tc>
          <w:tcPr>
            <w:tcW w:w="2127" w:type="dxa"/>
            <w:vAlign w:val="center"/>
          </w:tcPr>
          <w:p w:rsidR="00A669C3" w:rsidRPr="007F5722" w:rsidRDefault="00A669C3" w:rsidP="00A669C3">
            <w:pPr>
              <w:shd w:val="clear" w:color="auto" w:fill="FFFFFF"/>
              <w:spacing w:after="0" w:line="360" w:lineRule="auto"/>
              <w:ind w:firstLine="709"/>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140-159</w:t>
            </w:r>
          </w:p>
        </w:tc>
        <w:tc>
          <w:tcPr>
            <w:tcW w:w="2120" w:type="dxa"/>
            <w:vAlign w:val="center"/>
          </w:tcPr>
          <w:p w:rsidR="00A669C3" w:rsidRPr="007F5722" w:rsidRDefault="00A669C3" w:rsidP="00A669C3">
            <w:pPr>
              <w:shd w:val="clear" w:color="auto" w:fill="FFFFFF"/>
              <w:spacing w:after="0" w:line="360" w:lineRule="auto"/>
              <w:ind w:firstLine="709"/>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90-99</w:t>
            </w:r>
          </w:p>
        </w:tc>
      </w:tr>
      <w:tr w:rsidR="00A669C3" w:rsidRPr="007F5722" w:rsidTr="00AB6B67">
        <w:tc>
          <w:tcPr>
            <w:tcW w:w="2378" w:type="dxa"/>
            <w:vMerge/>
            <w:vAlign w:val="center"/>
          </w:tcPr>
          <w:p w:rsidR="00A669C3" w:rsidRPr="007F5722" w:rsidRDefault="00A669C3" w:rsidP="00A669C3">
            <w:pPr>
              <w:shd w:val="clear" w:color="auto" w:fill="FFFFFF"/>
              <w:spacing w:after="0" w:line="360" w:lineRule="auto"/>
              <w:ind w:firstLine="709"/>
              <w:rPr>
                <w:rFonts w:ascii="Times New Roman" w:eastAsia="Times New Roman" w:hAnsi="Times New Roman" w:cs="Times New Roman"/>
                <w:color w:val="000000"/>
                <w:sz w:val="28"/>
                <w:szCs w:val="28"/>
              </w:rPr>
            </w:pPr>
          </w:p>
        </w:tc>
        <w:tc>
          <w:tcPr>
            <w:tcW w:w="2720" w:type="dxa"/>
            <w:vAlign w:val="center"/>
          </w:tcPr>
          <w:p w:rsidR="00A669C3" w:rsidRPr="007F5722" w:rsidRDefault="00A669C3" w:rsidP="00A669C3">
            <w:pPr>
              <w:shd w:val="clear" w:color="auto" w:fill="FFFFFF"/>
              <w:spacing w:after="0" w:line="360" w:lineRule="auto"/>
              <w:ind w:firstLine="709"/>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2 ступінь</w:t>
            </w:r>
          </w:p>
        </w:tc>
        <w:tc>
          <w:tcPr>
            <w:tcW w:w="2127" w:type="dxa"/>
            <w:vAlign w:val="center"/>
          </w:tcPr>
          <w:p w:rsidR="00A669C3" w:rsidRPr="007F5722" w:rsidRDefault="00A669C3" w:rsidP="00A669C3">
            <w:pPr>
              <w:shd w:val="clear" w:color="auto" w:fill="FFFFFF"/>
              <w:spacing w:after="0" w:line="360" w:lineRule="auto"/>
              <w:ind w:firstLine="709"/>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160-179</w:t>
            </w:r>
          </w:p>
        </w:tc>
        <w:tc>
          <w:tcPr>
            <w:tcW w:w="2120" w:type="dxa"/>
            <w:vAlign w:val="center"/>
          </w:tcPr>
          <w:p w:rsidR="00A669C3" w:rsidRPr="007F5722" w:rsidRDefault="00A669C3" w:rsidP="00A669C3">
            <w:pPr>
              <w:shd w:val="clear" w:color="auto" w:fill="FFFFFF"/>
              <w:spacing w:after="0" w:line="360" w:lineRule="auto"/>
              <w:ind w:firstLine="709"/>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100-109</w:t>
            </w:r>
          </w:p>
        </w:tc>
      </w:tr>
      <w:tr w:rsidR="00A669C3" w:rsidRPr="007F5722" w:rsidTr="00AB6B67">
        <w:tc>
          <w:tcPr>
            <w:tcW w:w="2378" w:type="dxa"/>
            <w:vMerge/>
            <w:vAlign w:val="center"/>
          </w:tcPr>
          <w:p w:rsidR="00A669C3" w:rsidRPr="007F5722" w:rsidRDefault="00A669C3" w:rsidP="00A669C3">
            <w:pPr>
              <w:shd w:val="clear" w:color="auto" w:fill="FFFFFF"/>
              <w:spacing w:after="0" w:line="360" w:lineRule="auto"/>
              <w:ind w:firstLine="709"/>
              <w:rPr>
                <w:rFonts w:ascii="Times New Roman" w:eastAsia="Times New Roman" w:hAnsi="Times New Roman" w:cs="Times New Roman"/>
                <w:color w:val="000000"/>
                <w:sz w:val="28"/>
                <w:szCs w:val="28"/>
              </w:rPr>
            </w:pPr>
          </w:p>
        </w:tc>
        <w:tc>
          <w:tcPr>
            <w:tcW w:w="2720" w:type="dxa"/>
            <w:vAlign w:val="center"/>
          </w:tcPr>
          <w:p w:rsidR="00A669C3" w:rsidRPr="007F5722" w:rsidRDefault="00A669C3" w:rsidP="00A669C3">
            <w:pPr>
              <w:shd w:val="clear" w:color="auto" w:fill="FFFFFF"/>
              <w:spacing w:after="0" w:line="360" w:lineRule="auto"/>
              <w:ind w:firstLine="709"/>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3 ступінь</w:t>
            </w:r>
          </w:p>
        </w:tc>
        <w:tc>
          <w:tcPr>
            <w:tcW w:w="2127" w:type="dxa"/>
            <w:vAlign w:val="center"/>
          </w:tcPr>
          <w:p w:rsidR="00A669C3" w:rsidRPr="007F5722" w:rsidRDefault="00A669C3" w:rsidP="00A669C3">
            <w:pPr>
              <w:shd w:val="clear" w:color="auto" w:fill="FFFFFF"/>
              <w:spacing w:after="0" w:line="360" w:lineRule="auto"/>
              <w:ind w:firstLine="709"/>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 180</w:t>
            </w:r>
          </w:p>
        </w:tc>
        <w:tc>
          <w:tcPr>
            <w:tcW w:w="2120" w:type="dxa"/>
            <w:vAlign w:val="center"/>
          </w:tcPr>
          <w:p w:rsidR="00A669C3" w:rsidRPr="007F5722" w:rsidRDefault="00A669C3" w:rsidP="00A669C3">
            <w:pPr>
              <w:shd w:val="clear" w:color="auto" w:fill="FFFFFF"/>
              <w:spacing w:after="0" w:line="360" w:lineRule="auto"/>
              <w:ind w:firstLine="709"/>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 110</w:t>
            </w:r>
          </w:p>
        </w:tc>
      </w:tr>
      <w:tr w:rsidR="00A669C3" w:rsidRPr="007F5722" w:rsidTr="00AB6B67">
        <w:tc>
          <w:tcPr>
            <w:tcW w:w="5098" w:type="dxa"/>
            <w:gridSpan w:val="2"/>
            <w:vAlign w:val="center"/>
          </w:tcPr>
          <w:p w:rsidR="00A669C3" w:rsidRPr="007F5722" w:rsidRDefault="00A669C3" w:rsidP="00A669C3">
            <w:pPr>
              <w:shd w:val="clear" w:color="auto" w:fill="FFFFFF"/>
              <w:spacing w:after="0" w:line="360" w:lineRule="auto"/>
              <w:ind w:firstLine="709"/>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Ізольована систолічна гіпертензія</w:t>
            </w:r>
          </w:p>
        </w:tc>
        <w:tc>
          <w:tcPr>
            <w:tcW w:w="2127" w:type="dxa"/>
            <w:vAlign w:val="center"/>
          </w:tcPr>
          <w:p w:rsidR="00A669C3" w:rsidRPr="007F5722" w:rsidRDefault="00A669C3" w:rsidP="00A669C3">
            <w:pPr>
              <w:shd w:val="clear" w:color="auto" w:fill="FFFFFF"/>
              <w:spacing w:after="0" w:line="360" w:lineRule="auto"/>
              <w:ind w:firstLine="709"/>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 140</w:t>
            </w:r>
          </w:p>
        </w:tc>
        <w:tc>
          <w:tcPr>
            <w:tcW w:w="2120" w:type="dxa"/>
            <w:vAlign w:val="center"/>
          </w:tcPr>
          <w:p w:rsidR="00A669C3" w:rsidRPr="007F5722" w:rsidRDefault="00A669C3" w:rsidP="00A669C3">
            <w:pPr>
              <w:shd w:val="clear" w:color="auto" w:fill="FFFFFF"/>
              <w:spacing w:after="0" w:line="360" w:lineRule="auto"/>
              <w:ind w:firstLine="709"/>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&lt; 90</w:t>
            </w:r>
          </w:p>
        </w:tc>
      </w:tr>
    </w:tbl>
    <w:p w:rsidR="00BE219A" w:rsidRPr="007F5722" w:rsidRDefault="00BE219A" w:rsidP="00BE219A">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BE219A" w:rsidRPr="007F5722" w:rsidRDefault="00BE219A" w:rsidP="00BE219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color w:val="000000"/>
          <w:sz w:val="28"/>
          <w:szCs w:val="28"/>
        </w:rPr>
        <w:t>Опитування хворих проводилось за загальноприйнятою схемою (</w:t>
      </w:r>
      <w:r w:rsidRPr="007F5722">
        <w:rPr>
          <w:rFonts w:ascii="Times New Roman" w:eastAsia="Times New Roman" w:hAnsi="Times New Roman" w:cs="Times New Roman"/>
          <w:bCs/>
          <w:color w:val="000000"/>
          <w:sz w:val="28"/>
          <w:szCs w:val="28"/>
        </w:rPr>
        <w:t>наказ МОЗ України № 384 від 24.05.2012 та № 1118 від 21.12.2012)</w:t>
      </w:r>
      <w:r w:rsidRPr="007F5722">
        <w:rPr>
          <w:rFonts w:ascii="Times New Roman" w:eastAsia="Times New Roman" w:hAnsi="Times New Roman" w:cs="Times New Roman"/>
          <w:color w:val="000000"/>
          <w:sz w:val="28"/>
          <w:szCs w:val="28"/>
        </w:rPr>
        <w:t xml:space="preserve">. </w:t>
      </w:r>
      <w:r w:rsidRPr="007F5722">
        <w:rPr>
          <w:rFonts w:ascii="Times New Roman" w:eastAsia="Times New Roman" w:hAnsi="Times New Roman" w:cs="Times New Roman"/>
          <w:bCs/>
          <w:color w:val="000000"/>
          <w:sz w:val="28"/>
          <w:szCs w:val="28"/>
        </w:rPr>
        <w:t>Згідно з протоколом надання медичної допомоги хворим із гіпертонічною хворобою, обов’язкові методи дослідження включали:</w:t>
      </w:r>
    </w:p>
    <w:p w:rsidR="00BE219A" w:rsidRPr="007F5722" w:rsidRDefault="00BE219A" w:rsidP="00BE219A">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bCs/>
          <w:color w:val="000000"/>
          <w:sz w:val="28"/>
          <w:szCs w:val="28"/>
        </w:rPr>
        <w:t xml:space="preserve">- </w:t>
      </w:r>
      <w:r w:rsidRPr="007F5722">
        <w:rPr>
          <w:rFonts w:ascii="Times New Roman" w:eastAsia="Times New Roman" w:hAnsi="Times New Roman" w:cs="Times New Roman"/>
          <w:color w:val="000000"/>
          <w:sz w:val="28"/>
          <w:szCs w:val="28"/>
        </w:rPr>
        <w:t>збір скарг та анамнезу;</w:t>
      </w:r>
    </w:p>
    <w:p w:rsidR="00BE219A" w:rsidRPr="007F5722" w:rsidRDefault="00BE219A" w:rsidP="00BE219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color w:val="000000"/>
          <w:sz w:val="28"/>
          <w:szCs w:val="28"/>
        </w:rPr>
        <w:t>- клінічний огляд;</w:t>
      </w:r>
    </w:p>
    <w:p w:rsidR="00BE219A" w:rsidRPr="007F5722" w:rsidRDefault="00BE219A" w:rsidP="00BE219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 вимірювання АТ;</w:t>
      </w:r>
    </w:p>
    <w:p w:rsidR="00BE219A" w:rsidRPr="007F5722" w:rsidRDefault="00BE219A" w:rsidP="00BE219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 xml:space="preserve">- </w:t>
      </w:r>
      <w:r w:rsidRPr="007F5722">
        <w:rPr>
          <w:rFonts w:ascii="Times New Roman" w:eastAsia="Times New Roman" w:hAnsi="Times New Roman" w:cs="Times New Roman"/>
          <w:color w:val="000000"/>
          <w:sz w:val="28"/>
          <w:szCs w:val="28"/>
        </w:rPr>
        <w:t>вимірювання маси тіла та окружності талії;</w:t>
      </w:r>
    </w:p>
    <w:p w:rsidR="00BE219A" w:rsidRPr="007F5722" w:rsidRDefault="00BE219A" w:rsidP="00BE219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 аускультацію серця, судин шиї та в точках проекції ниркових артерій;</w:t>
      </w:r>
    </w:p>
    <w:p w:rsidR="00BE219A" w:rsidRPr="007F5722" w:rsidRDefault="00BE219A" w:rsidP="00BE219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 xml:space="preserve">- </w:t>
      </w:r>
      <w:r w:rsidRPr="007F5722">
        <w:rPr>
          <w:rFonts w:ascii="Times New Roman" w:eastAsia="Times New Roman" w:hAnsi="Times New Roman" w:cs="Times New Roman"/>
          <w:color w:val="000000"/>
          <w:sz w:val="28"/>
          <w:szCs w:val="28"/>
        </w:rPr>
        <w:t>лабораторне обстеження (загальні аналізи крові та сечі, аналіз сечі за Нечипоренком, креатинін, холестерин, тригліцериди, глюкоза, калій, натрій крові</w:t>
      </w:r>
      <w:r w:rsidRPr="007F5722">
        <w:rPr>
          <w:rFonts w:ascii="Times New Roman" w:eastAsia="Times New Roman" w:hAnsi="Times New Roman" w:cs="Times New Roman"/>
          <w:bCs/>
          <w:color w:val="000000"/>
          <w:sz w:val="28"/>
          <w:szCs w:val="28"/>
        </w:rPr>
        <w:t>;</w:t>
      </w:r>
    </w:p>
    <w:p w:rsidR="00BE219A" w:rsidRPr="007F5722" w:rsidRDefault="00BE219A" w:rsidP="00BE219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 ЕКГ</w:t>
      </w:r>
      <w:r w:rsidRPr="007F5722">
        <w:rPr>
          <w:rFonts w:ascii="Times New Roman" w:eastAsia="Times New Roman" w:hAnsi="Times New Roman" w:cs="Times New Roman"/>
          <w:color w:val="000000"/>
          <w:sz w:val="28"/>
          <w:szCs w:val="28"/>
        </w:rPr>
        <w:t xml:space="preserve"> у 12 стандартних відведеннях</w:t>
      </w:r>
      <w:r w:rsidRPr="007F5722">
        <w:rPr>
          <w:rFonts w:ascii="Times New Roman" w:eastAsia="Times New Roman" w:hAnsi="Times New Roman" w:cs="Times New Roman"/>
          <w:bCs/>
          <w:color w:val="000000"/>
          <w:sz w:val="28"/>
          <w:szCs w:val="28"/>
        </w:rPr>
        <w:t>;</w:t>
      </w:r>
    </w:p>
    <w:p w:rsidR="00BE219A" w:rsidRPr="007F5722" w:rsidRDefault="00BE219A" w:rsidP="00BE219A">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bCs/>
          <w:color w:val="000000"/>
          <w:sz w:val="28"/>
          <w:szCs w:val="28"/>
        </w:rPr>
        <w:t>-</w:t>
      </w:r>
      <w:r w:rsidRPr="007F5722">
        <w:rPr>
          <w:rFonts w:ascii="Times New Roman" w:eastAsia="Times New Roman" w:hAnsi="Times New Roman" w:cs="Times New Roman"/>
          <w:color w:val="000000"/>
          <w:sz w:val="28"/>
          <w:szCs w:val="28"/>
        </w:rPr>
        <w:t xml:space="preserve"> ЕхоКГ;</w:t>
      </w:r>
    </w:p>
    <w:p w:rsidR="00BE219A" w:rsidRPr="007F5722" w:rsidRDefault="00BE219A" w:rsidP="00BE219A">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 огляд очного дна.</w:t>
      </w:r>
    </w:p>
    <w:p w:rsidR="00BE219A" w:rsidRPr="007F5722" w:rsidRDefault="00BE219A" w:rsidP="00BE219A">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Додатково пацієнтам були проведені наступні дослідження:</w:t>
      </w:r>
    </w:p>
    <w:p w:rsidR="00BE219A" w:rsidRPr="007F5722" w:rsidRDefault="00BE219A" w:rsidP="00BE219A">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lastRenderedPageBreak/>
        <w:t>- вимірювання зросту, окружності стегон;</w:t>
      </w:r>
    </w:p>
    <w:p w:rsidR="00BE219A" w:rsidRPr="007F5722" w:rsidRDefault="00BE219A" w:rsidP="00BE219A">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 xml:space="preserve">- </w:t>
      </w:r>
      <w:r w:rsidR="00143044" w:rsidRPr="007F5722">
        <w:rPr>
          <w:rFonts w:ascii="Times New Roman" w:eastAsia="Times New Roman" w:hAnsi="Times New Roman" w:cs="Times New Roman"/>
          <w:color w:val="000000"/>
          <w:sz w:val="28"/>
          <w:szCs w:val="28"/>
        </w:rPr>
        <w:t>визначення постпрандіальної ліпемії</w:t>
      </w:r>
      <w:r w:rsidRPr="007F5722">
        <w:rPr>
          <w:rFonts w:ascii="Times New Roman" w:eastAsia="Times New Roman" w:hAnsi="Times New Roman" w:cs="Times New Roman"/>
          <w:color w:val="000000"/>
          <w:sz w:val="28"/>
          <w:szCs w:val="28"/>
        </w:rPr>
        <w:t>;</w:t>
      </w:r>
    </w:p>
    <w:p w:rsidR="00BE219A" w:rsidRPr="007F5722" w:rsidRDefault="00143044" w:rsidP="00BE219A">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 визначення вмісту аполіпопротеїну В</w:t>
      </w:r>
      <w:r w:rsidR="00BE219A" w:rsidRPr="007F5722">
        <w:rPr>
          <w:rFonts w:ascii="Times New Roman" w:eastAsia="Times New Roman" w:hAnsi="Times New Roman" w:cs="Times New Roman"/>
          <w:color w:val="000000"/>
          <w:sz w:val="28"/>
          <w:szCs w:val="28"/>
        </w:rPr>
        <w:t xml:space="preserve"> в крові;</w:t>
      </w:r>
    </w:p>
    <w:p w:rsidR="00BE219A" w:rsidRPr="007F5722" w:rsidRDefault="00143044" w:rsidP="0014304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 визначен</w:t>
      </w:r>
      <w:r w:rsidR="00901369" w:rsidRPr="007F5722">
        <w:rPr>
          <w:rFonts w:ascii="Times New Roman" w:eastAsia="Times New Roman" w:hAnsi="Times New Roman" w:cs="Times New Roman"/>
          <w:color w:val="000000"/>
          <w:sz w:val="28"/>
          <w:szCs w:val="28"/>
        </w:rPr>
        <w:t>ня вмісту нтерлейкну-22 в крові;</w:t>
      </w:r>
    </w:p>
    <w:p w:rsidR="00901369" w:rsidRPr="007F5722" w:rsidRDefault="00901369" w:rsidP="0014304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 УЗД судин шиї.</w:t>
      </w:r>
    </w:p>
    <w:p w:rsidR="00143044" w:rsidRPr="007F5722" w:rsidRDefault="00143044" w:rsidP="00143044">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143044" w:rsidRPr="007F5722" w:rsidRDefault="00143044" w:rsidP="00143044">
      <w:pPr>
        <w:shd w:val="clear" w:color="auto" w:fill="FFFFFF"/>
        <w:spacing w:after="0" w:line="360" w:lineRule="auto"/>
        <w:ind w:firstLine="709"/>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Антропометричні дослідження</w:t>
      </w:r>
    </w:p>
    <w:p w:rsidR="00143044" w:rsidRPr="007F5722" w:rsidRDefault="00143044" w:rsidP="0014304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 xml:space="preserve">Антропометричні вимірювання включали визначення росту, маси тіла, площі поверхні тіла, ОТ, ОС із розрахунком співвідношення ОТ/ОС. </w:t>
      </w:r>
    </w:p>
    <w:p w:rsidR="00143044" w:rsidRPr="007F5722" w:rsidRDefault="00143044" w:rsidP="0014304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Масу тіла визначали стандартизованими медичними вагами натще, без взуття та у білизні, зріст вимірювали медичним ростоміром.</w:t>
      </w:r>
    </w:p>
    <w:p w:rsidR="00143044" w:rsidRPr="007F5722" w:rsidRDefault="00143044" w:rsidP="0014304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ІМТ або індекс Кетле, розраховували за формулою:</w:t>
      </w:r>
    </w:p>
    <w:p w:rsidR="00143044" w:rsidRPr="007F5722" w:rsidRDefault="00143044" w:rsidP="00143044">
      <w:pPr>
        <w:shd w:val="clear" w:color="auto" w:fill="FFFFFF"/>
        <w:spacing w:after="0" w:line="360" w:lineRule="auto"/>
        <w:ind w:firstLine="709"/>
        <w:jc w:val="both"/>
        <w:rPr>
          <w:rFonts w:ascii="Times New Roman" w:eastAsia="Times New Roman" w:hAnsi="Times New Roman" w:cs="Times New Roman"/>
          <w:i/>
          <w:color w:val="000000"/>
          <w:sz w:val="28"/>
          <w:szCs w:val="28"/>
        </w:rPr>
      </w:pPr>
      <w:r w:rsidRPr="007F5722">
        <w:rPr>
          <w:rFonts w:ascii="Times New Roman" w:eastAsia="Times New Roman" w:hAnsi="Times New Roman" w:cs="Times New Roman"/>
          <w:color w:val="000000"/>
          <w:sz w:val="28"/>
          <w:szCs w:val="28"/>
        </w:rPr>
        <w:t xml:space="preserve"> ІМТ (кг/м</w:t>
      </w:r>
      <w:r w:rsidRPr="007F5722">
        <w:rPr>
          <w:rFonts w:ascii="Times New Roman" w:eastAsia="Times New Roman" w:hAnsi="Times New Roman" w:cs="Times New Roman"/>
          <w:color w:val="000000"/>
          <w:sz w:val="28"/>
          <w:szCs w:val="28"/>
          <w:vertAlign w:val="superscript"/>
        </w:rPr>
        <w:t>2</w:t>
      </w:r>
      <w:r w:rsidRPr="007F5722">
        <w:rPr>
          <w:rFonts w:ascii="Times New Roman" w:eastAsia="Times New Roman" w:hAnsi="Times New Roman" w:cs="Times New Roman"/>
          <w:color w:val="000000"/>
          <w:sz w:val="28"/>
          <w:szCs w:val="28"/>
        </w:rPr>
        <w:t>) = маса тіла (кг)/зріст (м</w:t>
      </w:r>
      <w:r w:rsidRPr="007F5722">
        <w:rPr>
          <w:rFonts w:ascii="Times New Roman" w:eastAsia="Times New Roman" w:hAnsi="Times New Roman" w:cs="Times New Roman"/>
          <w:color w:val="000000"/>
          <w:sz w:val="28"/>
          <w:szCs w:val="28"/>
          <w:vertAlign w:val="superscript"/>
        </w:rPr>
        <w:t>2</w:t>
      </w:r>
      <w:r w:rsidRPr="007F5722">
        <w:rPr>
          <w:rFonts w:ascii="Times New Roman" w:eastAsia="Times New Roman" w:hAnsi="Times New Roman" w:cs="Times New Roman"/>
          <w:color w:val="000000"/>
          <w:sz w:val="28"/>
          <w:szCs w:val="28"/>
        </w:rPr>
        <w:t>)</w:t>
      </w:r>
    </w:p>
    <w:p w:rsidR="00143044" w:rsidRPr="007F5722" w:rsidRDefault="00143044" w:rsidP="0014304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Наявності та ступінь ожиріння визначал</w:t>
      </w:r>
      <w:r w:rsidR="00572AB3" w:rsidRPr="007F5722">
        <w:rPr>
          <w:rFonts w:ascii="Times New Roman" w:eastAsia="Times New Roman" w:hAnsi="Times New Roman" w:cs="Times New Roman"/>
          <w:color w:val="000000"/>
          <w:sz w:val="28"/>
          <w:szCs w:val="28"/>
        </w:rPr>
        <w:t>и згідно величини ІМТ (табл. 2.2.2</w:t>
      </w:r>
      <w:r w:rsidRPr="007F5722">
        <w:rPr>
          <w:rFonts w:ascii="Times New Roman" w:eastAsia="Times New Roman" w:hAnsi="Times New Roman" w:cs="Times New Roman"/>
          <w:color w:val="000000"/>
          <w:sz w:val="28"/>
          <w:szCs w:val="28"/>
        </w:rPr>
        <w:t>).</w:t>
      </w:r>
    </w:p>
    <w:p w:rsidR="00143044" w:rsidRPr="007F5722" w:rsidRDefault="00572AB3" w:rsidP="00572AB3">
      <w:pPr>
        <w:shd w:val="clear" w:color="auto" w:fill="FFFFFF"/>
        <w:spacing w:after="0" w:line="360" w:lineRule="auto"/>
        <w:ind w:firstLine="709"/>
        <w:jc w:val="right"/>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Таблиця 2.2.2</w:t>
      </w:r>
    </w:p>
    <w:p w:rsidR="00143044" w:rsidRPr="007F5722" w:rsidRDefault="00143044" w:rsidP="0014304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Визначення наявності та ступеня ожиріння за показником ІМТ</w:t>
      </w:r>
      <w:r w:rsidRPr="007F5722">
        <w:rPr>
          <w:rFonts w:ascii="Times New Roman" w:eastAsia="Times New Roman" w:hAnsi="Times New Roman" w:cs="Times New Roman"/>
          <w:b/>
          <w:color w:val="000000"/>
          <w:sz w:val="28"/>
          <w:szCs w:val="28"/>
        </w:rPr>
        <w:t xml:space="preserve"> </w:t>
      </w:r>
      <w:r w:rsidRPr="007F5722">
        <w:rPr>
          <w:rFonts w:ascii="Times New Roman" w:eastAsia="Times New Roman" w:hAnsi="Times New Roman" w:cs="Times New Roman"/>
          <w:color w:val="000000"/>
          <w:sz w:val="28"/>
          <w:szCs w:val="28"/>
        </w:rPr>
        <w:t>[</w:t>
      </w:r>
      <w:r w:rsidR="003B68D3">
        <w:rPr>
          <w:rFonts w:ascii="Times New Roman" w:eastAsia="Times New Roman" w:hAnsi="Times New Roman" w:cs="Times New Roman"/>
          <w:color w:val="000000"/>
          <w:sz w:val="28"/>
          <w:szCs w:val="28"/>
        </w:rPr>
        <w:t>4</w:t>
      </w:r>
      <w:r w:rsidRPr="007F5722">
        <w:rPr>
          <w:rFonts w:ascii="Times New Roman" w:eastAsia="Times New Roman" w:hAnsi="Times New Roman" w:cs="Times New Roman"/>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8"/>
        <w:gridCol w:w="2847"/>
        <w:gridCol w:w="4613"/>
      </w:tblGrid>
      <w:tr w:rsidR="00143044" w:rsidRPr="007F5722" w:rsidTr="00476D8E">
        <w:tc>
          <w:tcPr>
            <w:tcW w:w="4785" w:type="dxa"/>
            <w:gridSpan w:val="3"/>
          </w:tcPr>
          <w:p w:rsidR="00143044" w:rsidRPr="007F5722" w:rsidRDefault="00143044" w:rsidP="00143044">
            <w:pPr>
              <w:shd w:val="clear" w:color="auto" w:fill="FFFFFF"/>
              <w:spacing w:after="0" w:line="360" w:lineRule="auto"/>
              <w:ind w:firstLine="709"/>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Діагностичне значення</w:t>
            </w:r>
          </w:p>
        </w:tc>
        <w:tc>
          <w:tcPr>
            <w:tcW w:w="4786" w:type="dxa"/>
          </w:tcPr>
          <w:p w:rsidR="00143044" w:rsidRPr="007F5722" w:rsidRDefault="00143044" w:rsidP="00143044">
            <w:pPr>
              <w:shd w:val="clear" w:color="auto" w:fill="FFFFFF"/>
              <w:spacing w:after="0" w:line="360" w:lineRule="auto"/>
              <w:ind w:firstLine="709"/>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ІМТ (кг/м</w:t>
            </w:r>
            <w:r w:rsidRPr="007F5722">
              <w:rPr>
                <w:rFonts w:ascii="Times New Roman" w:eastAsia="Times New Roman" w:hAnsi="Times New Roman" w:cs="Times New Roman"/>
                <w:color w:val="000000"/>
                <w:sz w:val="28"/>
                <w:szCs w:val="28"/>
                <w:vertAlign w:val="superscript"/>
              </w:rPr>
              <w:t>2</w:t>
            </w:r>
            <w:r w:rsidRPr="007F5722">
              <w:rPr>
                <w:rFonts w:ascii="Times New Roman" w:eastAsia="Times New Roman" w:hAnsi="Times New Roman" w:cs="Times New Roman"/>
                <w:color w:val="000000"/>
                <w:sz w:val="28"/>
                <w:szCs w:val="28"/>
              </w:rPr>
              <w:t>)</w:t>
            </w:r>
          </w:p>
        </w:tc>
      </w:tr>
      <w:tr w:rsidR="00143044" w:rsidRPr="007F5722" w:rsidTr="00476D8E">
        <w:tc>
          <w:tcPr>
            <w:tcW w:w="1900" w:type="dxa"/>
            <w:vMerge w:val="restart"/>
          </w:tcPr>
          <w:p w:rsidR="00143044" w:rsidRPr="007F5722" w:rsidRDefault="00143044" w:rsidP="00143044">
            <w:pPr>
              <w:shd w:val="clear" w:color="auto" w:fill="FFFFFF"/>
              <w:spacing w:after="0" w:line="360" w:lineRule="auto"/>
              <w:ind w:firstLine="709"/>
              <w:rPr>
                <w:rFonts w:ascii="Times New Roman" w:eastAsia="Times New Roman" w:hAnsi="Times New Roman" w:cs="Times New Roman"/>
                <w:color w:val="000000"/>
                <w:sz w:val="28"/>
                <w:szCs w:val="28"/>
              </w:rPr>
            </w:pPr>
          </w:p>
          <w:p w:rsidR="00143044" w:rsidRPr="007F5722" w:rsidRDefault="00143044" w:rsidP="00572AB3">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Маса тіла</w:t>
            </w:r>
          </w:p>
          <w:p w:rsidR="00143044" w:rsidRPr="007F5722" w:rsidRDefault="00143044" w:rsidP="00143044">
            <w:pPr>
              <w:shd w:val="clear" w:color="auto" w:fill="FFFFFF"/>
              <w:spacing w:after="0" w:line="360" w:lineRule="auto"/>
              <w:ind w:firstLine="709"/>
              <w:rPr>
                <w:rFonts w:ascii="Times New Roman" w:eastAsia="Times New Roman" w:hAnsi="Times New Roman" w:cs="Times New Roman"/>
                <w:color w:val="000000"/>
                <w:sz w:val="28"/>
                <w:szCs w:val="28"/>
              </w:rPr>
            </w:pPr>
          </w:p>
        </w:tc>
        <w:tc>
          <w:tcPr>
            <w:tcW w:w="2885" w:type="dxa"/>
            <w:gridSpan w:val="2"/>
          </w:tcPr>
          <w:p w:rsidR="00143044" w:rsidRPr="007F5722" w:rsidRDefault="00143044" w:rsidP="00143044">
            <w:pPr>
              <w:shd w:val="clear" w:color="auto" w:fill="FFFFFF"/>
              <w:spacing w:after="0" w:line="360" w:lineRule="auto"/>
              <w:ind w:firstLine="709"/>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недостатня</w:t>
            </w:r>
          </w:p>
        </w:tc>
        <w:tc>
          <w:tcPr>
            <w:tcW w:w="4786" w:type="dxa"/>
          </w:tcPr>
          <w:p w:rsidR="00143044" w:rsidRPr="007F5722" w:rsidRDefault="00143044" w:rsidP="00143044">
            <w:pPr>
              <w:shd w:val="clear" w:color="auto" w:fill="FFFFFF"/>
              <w:spacing w:after="0" w:line="360" w:lineRule="auto"/>
              <w:ind w:firstLine="709"/>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&lt;18,5</w:t>
            </w:r>
          </w:p>
        </w:tc>
      </w:tr>
      <w:tr w:rsidR="00143044" w:rsidRPr="007F5722" w:rsidTr="00476D8E">
        <w:tc>
          <w:tcPr>
            <w:tcW w:w="0" w:type="auto"/>
            <w:vMerge/>
            <w:vAlign w:val="center"/>
          </w:tcPr>
          <w:p w:rsidR="00143044" w:rsidRPr="007F5722" w:rsidRDefault="00143044" w:rsidP="00143044">
            <w:pPr>
              <w:shd w:val="clear" w:color="auto" w:fill="FFFFFF"/>
              <w:spacing w:after="0" w:line="360" w:lineRule="auto"/>
              <w:ind w:firstLine="709"/>
              <w:rPr>
                <w:rFonts w:ascii="Times New Roman" w:eastAsia="Times New Roman" w:hAnsi="Times New Roman" w:cs="Times New Roman"/>
                <w:color w:val="000000"/>
                <w:sz w:val="28"/>
                <w:szCs w:val="28"/>
              </w:rPr>
            </w:pPr>
          </w:p>
        </w:tc>
        <w:tc>
          <w:tcPr>
            <w:tcW w:w="2885" w:type="dxa"/>
            <w:gridSpan w:val="2"/>
          </w:tcPr>
          <w:p w:rsidR="00143044" w:rsidRPr="007F5722" w:rsidRDefault="00143044" w:rsidP="00143044">
            <w:pPr>
              <w:shd w:val="clear" w:color="auto" w:fill="FFFFFF"/>
              <w:spacing w:after="0" w:line="360" w:lineRule="auto"/>
              <w:ind w:firstLine="709"/>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нормальнаа</w:t>
            </w:r>
          </w:p>
        </w:tc>
        <w:tc>
          <w:tcPr>
            <w:tcW w:w="4786" w:type="dxa"/>
          </w:tcPr>
          <w:p w:rsidR="00143044" w:rsidRPr="007F5722" w:rsidRDefault="00143044" w:rsidP="00143044">
            <w:pPr>
              <w:shd w:val="clear" w:color="auto" w:fill="FFFFFF"/>
              <w:spacing w:after="0" w:line="360" w:lineRule="auto"/>
              <w:ind w:firstLine="709"/>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18,5 – 24,9</w:t>
            </w:r>
          </w:p>
        </w:tc>
      </w:tr>
      <w:tr w:rsidR="00143044" w:rsidRPr="007F5722" w:rsidTr="00476D8E">
        <w:tc>
          <w:tcPr>
            <w:tcW w:w="0" w:type="auto"/>
            <w:vMerge/>
            <w:vAlign w:val="center"/>
          </w:tcPr>
          <w:p w:rsidR="00143044" w:rsidRPr="007F5722" w:rsidRDefault="00143044" w:rsidP="00143044">
            <w:pPr>
              <w:shd w:val="clear" w:color="auto" w:fill="FFFFFF"/>
              <w:spacing w:after="0" w:line="360" w:lineRule="auto"/>
              <w:ind w:firstLine="709"/>
              <w:rPr>
                <w:rFonts w:ascii="Times New Roman" w:eastAsia="Times New Roman" w:hAnsi="Times New Roman" w:cs="Times New Roman"/>
                <w:color w:val="000000"/>
                <w:sz w:val="28"/>
                <w:szCs w:val="28"/>
              </w:rPr>
            </w:pPr>
          </w:p>
        </w:tc>
        <w:tc>
          <w:tcPr>
            <w:tcW w:w="2885" w:type="dxa"/>
            <w:gridSpan w:val="2"/>
          </w:tcPr>
          <w:p w:rsidR="00143044" w:rsidRPr="007F5722" w:rsidRDefault="00143044" w:rsidP="00143044">
            <w:pPr>
              <w:shd w:val="clear" w:color="auto" w:fill="FFFFFF"/>
              <w:spacing w:after="0" w:line="360" w:lineRule="auto"/>
              <w:ind w:firstLine="709"/>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надмірна</w:t>
            </w:r>
          </w:p>
        </w:tc>
        <w:tc>
          <w:tcPr>
            <w:tcW w:w="4786" w:type="dxa"/>
          </w:tcPr>
          <w:p w:rsidR="00143044" w:rsidRPr="007F5722" w:rsidRDefault="00143044" w:rsidP="00143044">
            <w:pPr>
              <w:shd w:val="clear" w:color="auto" w:fill="FFFFFF"/>
              <w:spacing w:after="0" w:line="360" w:lineRule="auto"/>
              <w:ind w:firstLine="709"/>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25,0 – 29,9</w:t>
            </w:r>
          </w:p>
        </w:tc>
      </w:tr>
      <w:tr w:rsidR="00143044" w:rsidRPr="007F5722" w:rsidTr="00476D8E">
        <w:tc>
          <w:tcPr>
            <w:tcW w:w="1908" w:type="dxa"/>
            <w:gridSpan w:val="2"/>
            <w:vMerge w:val="restart"/>
          </w:tcPr>
          <w:p w:rsidR="00143044" w:rsidRPr="007F5722" w:rsidRDefault="00143044" w:rsidP="00572AB3">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Ожиріння, ступінь</w:t>
            </w:r>
          </w:p>
        </w:tc>
        <w:tc>
          <w:tcPr>
            <w:tcW w:w="2877" w:type="dxa"/>
          </w:tcPr>
          <w:p w:rsidR="00143044" w:rsidRPr="007F5722" w:rsidRDefault="00143044" w:rsidP="00143044">
            <w:pPr>
              <w:shd w:val="clear" w:color="auto" w:fill="FFFFFF"/>
              <w:spacing w:after="0" w:line="360" w:lineRule="auto"/>
              <w:ind w:firstLine="709"/>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w:t>
            </w:r>
          </w:p>
        </w:tc>
        <w:tc>
          <w:tcPr>
            <w:tcW w:w="4786" w:type="dxa"/>
          </w:tcPr>
          <w:p w:rsidR="00143044" w:rsidRPr="007F5722" w:rsidRDefault="00143044" w:rsidP="00143044">
            <w:pPr>
              <w:shd w:val="clear" w:color="auto" w:fill="FFFFFF"/>
              <w:spacing w:after="0" w:line="360" w:lineRule="auto"/>
              <w:ind w:firstLine="709"/>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30,0 – 34,9</w:t>
            </w:r>
          </w:p>
        </w:tc>
      </w:tr>
      <w:tr w:rsidR="00143044" w:rsidRPr="007F5722" w:rsidTr="00476D8E">
        <w:tc>
          <w:tcPr>
            <w:tcW w:w="0" w:type="auto"/>
            <w:gridSpan w:val="2"/>
            <w:vMerge/>
            <w:vAlign w:val="center"/>
          </w:tcPr>
          <w:p w:rsidR="00143044" w:rsidRPr="007F5722" w:rsidRDefault="00143044" w:rsidP="00143044">
            <w:pPr>
              <w:shd w:val="clear" w:color="auto" w:fill="FFFFFF"/>
              <w:spacing w:after="0" w:line="360" w:lineRule="auto"/>
              <w:ind w:firstLine="709"/>
              <w:rPr>
                <w:rFonts w:ascii="Times New Roman" w:eastAsia="Times New Roman" w:hAnsi="Times New Roman" w:cs="Times New Roman"/>
                <w:color w:val="000000"/>
                <w:sz w:val="28"/>
                <w:szCs w:val="28"/>
              </w:rPr>
            </w:pPr>
          </w:p>
        </w:tc>
        <w:tc>
          <w:tcPr>
            <w:tcW w:w="2877" w:type="dxa"/>
          </w:tcPr>
          <w:p w:rsidR="00143044" w:rsidRPr="007F5722" w:rsidRDefault="00143044" w:rsidP="00143044">
            <w:pPr>
              <w:shd w:val="clear" w:color="auto" w:fill="FFFFFF"/>
              <w:spacing w:after="0" w:line="360" w:lineRule="auto"/>
              <w:ind w:firstLine="709"/>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2</w:t>
            </w:r>
          </w:p>
        </w:tc>
        <w:tc>
          <w:tcPr>
            <w:tcW w:w="4786" w:type="dxa"/>
          </w:tcPr>
          <w:p w:rsidR="00143044" w:rsidRPr="007F5722" w:rsidRDefault="00143044" w:rsidP="00143044">
            <w:pPr>
              <w:shd w:val="clear" w:color="auto" w:fill="FFFFFF"/>
              <w:spacing w:after="0" w:line="360" w:lineRule="auto"/>
              <w:ind w:firstLine="709"/>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35,0 – 39,9</w:t>
            </w:r>
          </w:p>
        </w:tc>
      </w:tr>
      <w:tr w:rsidR="00143044" w:rsidRPr="007F5722" w:rsidTr="00476D8E">
        <w:tc>
          <w:tcPr>
            <w:tcW w:w="0" w:type="auto"/>
            <w:gridSpan w:val="2"/>
            <w:vMerge/>
            <w:vAlign w:val="center"/>
          </w:tcPr>
          <w:p w:rsidR="00143044" w:rsidRPr="007F5722" w:rsidRDefault="00143044" w:rsidP="00143044">
            <w:pPr>
              <w:shd w:val="clear" w:color="auto" w:fill="FFFFFF"/>
              <w:spacing w:after="0" w:line="360" w:lineRule="auto"/>
              <w:ind w:firstLine="709"/>
              <w:rPr>
                <w:rFonts w:ascii="Times New Roman" w:eastAsia="Times New Roman" w:hAnsi="Times New Roman" w:cs="Times New Roman"/>
                <w:color w:val="000000"/>
                <w:sz w:val="28"/>
                <w:szCs w:val="28"/>
              </w:rPr>
            </w:pPr>
          </w:p>
        </w:tc>
        <w:tc>
          <w:tcPr>
            <w:tcW w:w="2877" w:type="dxa"/>
          </w:tcPr>
          <w:p w:rsidR="00143044" w:rsidRPr="007F5722" w:rsidRDefault="00143044" w:rsidP="00143044">
            <w:pPr>
              <w:shd w:val="clear" w:color="auto" w:fill="FFFFFF"/>
              <w:spacing w:after="0" w:line="360" w:lineRule="auto"/>
              <w:ind w:firstLine="709"/>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3</w:t>
            </w:r>
          </w:p>
        </w:tc>
        <w:tc>
          <w:tcPr>
            <w:tcW w:w="4786" w:type="dxa"/>
          </w:tcPr>
          <w:p w:rsidR="00143044" w:rsidRPr="007F5722" w:rsidRDefault="00143044" w:rsidP="00143044">
            <w:pPr>
              <w:shd w:val="clear" w:color="auto" w:fill="FFFFFF"/>
              <w:spacing w:after="0" w:line="360" w:lineRule="auto"/>
              <w:ind w:firstLine="709"/>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&gt; 40,0</w:t>
            </w:r>
          </w:p>
        </w:tc>
      </w:tr>
    </w:tbl>
    <w:p w:rsidR="00143044" w:rsidRPr="007F5722" w:rsidRDefault="00143044" w:rsidP="00143044">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143044" w:rsidRPr="007F5722" w:rsidRDefault="00143044" w:rsidP="0014304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Площу поверхні тіла (ППТ) розраховували за формулою Дюбуа [</w:t>
      </w:r>
      <w:r w:rsidR="0008208F" w:rsidRPr="007F5722">
        <w:rPr>
          <w:rFonts w:ascii="Times New Roman" w:eastAsia="Times New Roman" w:hAnsi="Times New Roman" w:cs="Times New Roman"/>
          <w:color w:val="000000"/>
          <w:sz w:val="28"/>
          <w:szCs w:val="28"/>
        </w:rPr>
        <w:t>192</w:t>
      </w:r>
      <w:r w:rsidRPr="007F5722">
        <w:rPr>
          <w:rFonts w:ascii="Times New Roman" w:eastAsia="Times New Roman" w:hAnsi="Times New Roman" w:cs="Times New Roman"/>
          <w:color w:val="000000"/>
          <w:sz w:val="28"/>
          <w:szCs w:val="28"/>
        </w:rPr>
        <w:t>].</w:t>
      </w:r>
    </w:p>
    <w:p w:rsidR="00143044" w:rsidRPr="007F5722" w:rsidRDefault="00143044" w:rsidP="0014304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iCs/>
          <w:color w:val="000000"/>
          <w:sz w:val="28"/>
          <w:szCs w:val="28"/>
        </w:rPr>
        <w:t>ППТ (м</w:t>
      </w:r>
      <w:r w:rsidRPr="007F5722">
        <w:rPr>
          <w:rFonts w:ascii="Times New Roman" w:eastAsia="Times New Roman" w:hAnsi="Times New Roman" w:cs="Times New Roman"/>
          <w:iCs/>
          <w:color w:val="000000"/>
          <w:sz w:val="28"/>
          <w:szCs w:val="28"/>
          <w:vertAlign w:val="superscript"/>
        </w:rPr>
        <w:t>2</w:t>
      </w:r>
      <w:r w:rsidRPr="007F5722">
        <w:rPr>
          <w:rFonts w:ascii="Times New Roman" w:eastAsia="Times New Roman" w:hAnsi="Times New Roman" w:cs="Times New Roman"/>
          <w:iCs/>
          <w:color w:val="000000"/>
          <w:sz w:val="28"/>
          <w:szCs w:val="28"/>
        </w:rPr>
        <w:t>) = 0,00718 х маса (кг)</w:t>
      </w:r>
      <w:r w:rsidRPr="007F5722">
        <w:rPr>
          <w:rFonts w:ascii="Times New Roman" w:eastAsia="Times New Roman" w:hAnsi="Times New Roman" w:cs="Times New Roman"/>
          <w:iCs/>
          <w:color w:val="000000"/>
          <w:sz w:val="28"/>
          <w:szCs w:val="28"/>
          <w:vertAlign w:val="superscript"/>
        </w:rPr>
        <w:t>0,425</w:t>
      </w:r>
      <w:r w:rsidRPr="007F5722">
        <w:rPr>
          <w:rFonts w:ascii="Times New Roman" w:eastAsia="Times New Roman" w:hAnsi="Times New Roman" w:cs="Times New Roman"/>
          <w:iCs/>
          <w:color w:val="000000"/>
          <w:sz w:val="28"/>
          <w:szCs w:val="28"/>
        </w:rPr>
        <w:t xml:space="preserve"> х зріст (см) </w:t>
      </w:r>
      <w:r w:rsidRPr="007F5722">
        <w:rPr>
          <w:rFonts w:ascii="Times New Roman" w:eastAsia="Times New Roman" w:hAnsi="Times New Roman" w:cs="Times New Roman"/>
          <w:iCs/>
          <w:color w:val="000000"/>
          <w:sz w:val="28"/>
          <w:szCs w:val="28"/>
          <w:vertAlign w:val="superscript"/>
        </w:rPr>
        <w:t>0,725</w:t>
      </w:r>
    </w:p>
    <w:p w:rsidR="00143044" w:rsidRPr="007F5722" w:rsidRDefault="00143044" w:rsidP="0014304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Для визначення типу розподілу жирової тканини в положенні стоячи проводил</w:t>
      </w:r>
      <w:r w:rsidR="00572AB3" w:rsidRPr="007F5722">
        <w:rPr>
          <w:rFonts w:ascii="Times New Roman" w:eastAsia="Times New Roman" w:hAnsi="Times New Roman" w:cs="Times New Roman"/>
          <w:color w:val="000000"/>
          <w:sz w:val="28"/>
          <w:szCs w:val="28"/>
        </w:rPr>
        <w:t>и вимірювання ОТ</w:t>
      </w:r>
      <w:r w:rsidRPr="007F5722">
        <w:rPr>
          <w:rFonts w:ascii="Times New Roman" w:eastAsia="Times New Roman" w:hAnsi="Times New Roman" w:cs="Times New Roman"/>
          <w:color w:val="000000"/>
          <w:sz w:val="28"/>
          <w:szCs w:val="28"/>
        </w:rPr>
        <w:t xml:space="preserve"> на середині відстані від нижнього краю реберної дуги до гребня клубкової кістки. Область тіла пацієнта, що залучена до </w:t>
      </w:r>
      <w:r w:rsidRPr="007F5722">
        <w:rPr>
          <w:rFonts w:ascii="Times New Roman" w:eastAsia="Times New Roman" w:hAnsi="Times New Roman" w:cs="Times New Roman"/>
          <w:color w:val="000000"/>
          <w:sz w:val="28"/>
          <w:szCs w:val="28"/>
        </w:rPr>
        <w:lastRenderedPageBreak/>
        <w:t xml:space="preserve">вимірювань була вільна від одягу. У якості вимірювального </w:t>
      </w:r>
      <w:r w:rsidR="0046220E" w:rsidRPr="007F5722">
        <w:rPr>
          <w:rFonts w:ascii="Times New Roman" w:eastAsia="Times New Roman" w:hAnsi="Times New Roman" w:cs="Times New Roman"/>
          <w:color w:val="000000"/>
          <w:sz w:val="28"/>
          <w:szCs w:val="28"/>
        </w:rPr>
        <w:t>приладу використовувалась марк</w:t>
      </w:r>
      <w:r w:rsidRPr="007F5722">
        <w:rPr>
          <w:rFonts w:ascii="Times New Roman" w:eastAsia="Times New Roman" w:hAnsi="Times New Roman" w:cs="Times New Roman"/>
          <w:color w:val="000000"/>
          <w:sz w:val="28"/>
          <w:szCs w:val="28"/>
        </w:rPr>
        <w:t xml:space="preserve">ована сантиметрова стрічка. </w:t>
      </w:r>
    </w:p>
    <w:p w:rsidR="00143044" w:rsidRPr="007F5722" w:rsidRDefault="0046220E" w:rsidP="00BE219A">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hAnsi="Times New Roman"/>
          <w:sz w:val="28"/>
          <w:szCs w:val="28"/>
        </w:rPr>
        <w:t>Наявність АО діагностували за ОТ для чоловіків більш ніж 102 см, а для жінок більш ніж 88 см, за даними Асоціації кардіологів України за 2012г.</w:t>
      </w:r>
    </w:p>
    <w:p w:rsidR="0046220E" w:rsidRPr="007F5722" w:rsidRDefault="0046220E" w:rsidP="0046220E">
      <w:pPr>
        <w:spacing w:line="360" w:lineRule="auto"/>
        <w:ind w:firstLine="709"/>
        <w:jc w:val="both"/>
        <w:rPr>
          <w:rFonts w:ascii="Times New Roman" w:hAnsi="Times New Roman" w:cs="Times New Roman"/>
          <w:sz w:val="28"/>
          <w:szCs w:val="28"/>
        </w:rPr>
      </w:pPr>
      <w:r w:rsidRPr="007F5722">
        <w:rPr>
          <w:rFonts w:ascii="Times New Roman" w:hAnsi="Times New Roman" w:cs="Times New Roman"/>
          <w:sz w:val="28"/>
          <w:szCs w:val="28"/>
        </w:rPr>
        <w:t>Співвідношення окружності талії до окружності стегон (індекс ОТ/ОС) використовувалося як додатковий критерій, що характеризує тип розподілу жирової тканини. Розраховувався цей показник за формулою [</w:t>
      </w:r>
      <w:r w:rsidR="0008208F" w:rsidRPr="007F5722">
        <w:rPr>
          <w:rFonts w:ascii="Times New Roman" w:hAnsi="Times New Roman" w:cs="Times New Roman"/>
          <w:sz w:val="28"/>
          <w:szCs w:val="28"/>
        </w:rPr>
        <w:t>193</w:t>
      </w:r>
      <w:r w:rsidRPr="007F5722">
        <w:rPr>
          <w:rFonts w:ascii="Times New Roman" w:hAnsi="Times New Roman" w:cs="Times New Roman"/>
          <w:sz w:val="28"/>
          <w:szCs w:val="28"/>
        </w:rPr>
        <w:t>]:</w:t>
      </w:r>
    </w:p>
    <w:p w:rsidR="0046220E" w:rsidRPr="007F5722" w:rsidRDefault="0046220E" w:rsidP="0046220E">
      <w:pPr>
        <w:spacing w:line="360" w:lineRule="auto"/>
        <w:ind w:firstLine="708"/>
        <w:jc w:val="both"/>
        <w:rPr>
          <w:rFonts w:ascii="Times New Roman" w:hAnsi="Times New Roman" w:cs="Times New Roman"/>
          <w:i/>
          <w:sz w:val="28"/>
          <w:szCs w:val="28"/>
        </w:rPr>
      </w:pPr>
      <w:r w:rsidRPr="007F5722">
        <w:rPr>
          <w:rFonts w:ascii="Times New Roman" w:hAnsi="Times New Roman" w:cs="Times New Roman"/>
          <w:iCs/>
          <w:sz w:val="28"/>
          <w:szCs w:val="28"/>
        </w:rPr>
        <w:t>Індекс ОТ/ОС=</w:t>
      </w:r>
      <w:r w:rsidRPr="007F5722">
        <w:rPr>
          <w:rFonts w:ascii="Times New Roman" w:hAnsi="Times New Roman" w:cs="Times New Roman"/>
          <w:iCs/>
          <w:position w:val="-24"/>
          <w:sz w:val="28"/>
          <w:szCs w:val="28"/>
        </w:rPr>
        <w:object w:dxaOrig="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0pt" o:ole="">
            <v:imagedata r:id="rId14" o:title=""/>
          </v:shape>
          <o:OLEObject Type="Embed" ProgID="Equation.3" ShapeID="_x0000_i1025" DrawAspect="Content" ObjectID="_1675077469" r:id="rId15"/>
        </w:object>
      </w:r>
      <w:r w:rsidRPr="007F5722">
        <w:rPr>
          <w:rFonts w:ascii="Times New Roman" w:hAnsi="Times New Roman" w:cs="Times New Roman"/>
          <w:iCs/>
          <w:sz w:val="28"/>
          <w:szCs w:val="28"/>
        </w:rPr>
        <w:t>,</w:t>
      </w:r>
    </w:p>
    <w:p w:rsidR="0046220E" w:rsidRPr="007F5722" w:rsidRDefault="0046220E" w:rsidP="0046220E">
      <w:pPr>
        <w:spacing w:line="360" w:lineRule="auto"/>
        <w:ind w:firstLine="709"/>
        <w:jc w:val="both"/>
        <w:rPr>
          <w:rFonts w:ascii="Times New Roman" w:hAnsi="Times New Roman" w:cs="Times New Roman"/>
          <w:sz w:val="28"/>
          <w:szCs w:val="28"/>
        </w:rPr>
      </w:pPr>
      <w:r w:rsidRPr="007F5722">
        <w:rPr>
          <w:rFonts w:ascii="Times New Roman" w:hAnsi="Times New Roman" w:cs="Times New Roman"/>
          <w:sz w:val="28"/>
          <w:szCs w:val="28"/>
        </w:rPr>
        <w:t xml:space="preserve">де: </w:t>
      </w:r>
      <w:r w:rsidRPr="007F5722">
        <w:rPr>
          <w:rFonts w:ascii="Times New Roman" w:hAnsi="Times New Roman" w:cs="Times New Roman"/>
          <w:sz w:val="28"/>
          <w:szCs w:val="28"/>
        </w:rPr>
        <w:tab/>
        <w:t>ОТ – окружність талії (см),</w:t>
      </w:r>
    </w:p>
    <w:p w:rsidR="0046220E" w:rsidRPr="007F5722" w:rsidRDefault="0046220E" w:rsidP="0046220E">
      <w:pPr>
        <w:spacing w:line="360" w:lineRule="auto"/>
        <w:ind w:firstLine="709"/>
        <w:jc w:val="both"/>
        <w:rPr>
          <w:rFonts w:ascii="Times New Roman" w:hAnsi="Times New Roman" w:cs="Times New Roman"/>
          <w:sz w:val="28"/>
          <w:szCs w:val="28"/>
        </w:rPr>
      </w:pPr>
      <w:r w:rsidRPr="007F5722">
        <w:rPr>
          <w:rFonts w:ascii="Times New Roman" w:hAnsi="Times New Roman" w:cs="Times New Roman"/>
          <w:sz w:val="28"/>
          <w:szCs w:val="28"/>
        </w:rPr>
        <w:t>ОС – окружність стегон (см).</w:t>
      </w:r>
    </w:p>
    <w:p w:rsidR="00A669C3" w:rsidRPr="007F5722" w:rsidRDefault="0046220E" w:rsidP="0046220E">
      <w:pPr>
        <w:shd w:val="clear" w:color="auto" w:fill="FFFFFF"/>
        <w:spacing w:after="0" w:line="360" w:lineRule="auto"/>
        <w:ind w:firstLine="709"/>
        <w:jc w:val="both"/>
        <w:rPr>
          <w:rFonts w:ascii="Times New Roman" w:hAnsi="Times New Roman" w:cs="Times New Roman"/>
          <w:sz w:val="28"/>
          <w:szCs w:val="28"/>
        </w:rPr>
      </w:pPr>
      <w:r w:rsidRPr="007F5722">
        <w:rPr>
          <w:rFonts w:ascii="Times New Roman" w:hAnsi="Times New Roman" w:cs="Times New Roman"/>
          <w:sz w:val="28"/>
          <w:szCs w:val="28"/>
        </w:rPr>
        <w:t xml:space="preserve">Значення цього показника в межах 0,8 – 0,9 означало проміжний тип розподілу жирової тканини, </w:t>
      </w:r>
      <w:r w:rsidRPr="007F5722">
        <w:rPr>
          <w:rFonts w:ascii="Times New Roman" w:hAnsi="Times New Roman" w:cs="Times New Roman"/>
          <w:sz w:val="28"/>
          <w:szCs w:val="28"/>
        </w:rPr>
        <w:sym w:font="Symbol" w:char="F03C"/>
      </w:r>
      <w:r w:rsidRPr="007F5722">
        <w:rPr>
          <w:rFonts w:ascii="Times New Roman" w:hAnsi="Times New Roman" w:cs="Times New Roman"/>
          <w:sz w:val="28"/>
          <w:szCs w:val="28"/>
        </w:rPr>
        <w:t xml:space="preserve"> 0,8 – гіноїдний (периферичний) тип розподілу жирової тканини; </w:t>
      </w:r>
      <w:r w:rsidRPr="007F5722">
        <w:rPr>
          <w:rFonts w:ascii="Times New Roman" w:hAnsi="Times New Roman" w:cs="Times New Roman"/>
          <w:sz w:val="28"/>
          <w:szCs w:val="28"/>
        </w:rPr>
        <w:sym w:font="Symbol" w:char="F03E"/>
      </w:r>
      <w:r w:rsidRPr="007F5722">
        <w:rPr>
          <w:rFonts w:ascii="Times New Roman" w:hAnsi="Times New Roman" w:cs="Times New Roman"/>
          <w:sz w:val="28"/>
          <w:szCs w:val="28"/>
        </w:rPr>
        <w:t xml:space="preserve"> 0,9 у чоловіків і </w:t>
      </w:r>
      <w:r w:rsidRPr="007F5722">
        <w:rPr>
          <w:rFonts w:ascii="Times New Roman" w:hAnsi="Times New Roman" w:cs="Times New Roman"/>
          <w:sz w:val="28"/>
          <w:szCs w:val="28"/>
        </w:rPr>
        <w:sym w:font="Symbol" w:char="F03E"/>
      </w:r>
      <w:r w:rsidRPr="007F5722">
        <w:rPr>
          <w:rFonts w:ascii="Times New Roman" w:hAnsi="Times New Roman" w:cs="Times New Roman"/>
          <w:sz w:val="28"/>
          <w:szCs w:val="28"/>
        </w:rPr>
        <w:t xml:space="preserve"> 0,85 у жінок – вважалося ознакою андроїдного (центрального, вісцерального або абдомінального типу розподілу жирової тканини.</w:t>
      </w:r>
    </w:p>
    <w:p w:rsidR="0046220E" w:rsidRPr="007F5722" w:rsidRDefault="0046220E" w:rsidP="009C7F6B">
      <w:pPr>
        <w:shd w:val="clear" w:color="auto" w:fill="FFFFFF"/>
        <w:spacing w:after="0" w:line="360" w:lineRule="auto"/>
        <w:ind w:firstLine="709"/>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Лабораторні методи дослідження</w:t>
      </w:r>
    </w:p>
    <w:p w:rsidR="009C7F6B" w:rsidRPr="007F5722" w:rsidRDefault="009C7F6B" w:rsidP="009C7F6B">
      <w:pPr>
        <w:shd w:val="clear" w:color="auto" w:fill="FFFFFF"/>
        <w:spacing w:after="0" w:line="360" w:lineRule="auto"/>
        <w:ind w:firstLine="709"/>
        <w:jc w:val="both"/>
        <w:rPr>
          <w:rFonts w:ascii="Times New Roman" w:eastAsia="Times New Roman" w:hAnsi="Times New Roman" w:cs="Times New Roman"/>
          <w:color w:val="000000"/>
          <w:sz w:val="28"/>
          <w:szCs w:val="28"/>
          <w:lang w:val="ru-RU"/>
        </w:rPr>
      </w:pPr>
      <w:r w:rsidRPr="007F5722">
        <w:rPr>
          <w:rFonts w:ascii="Times New Roman" w:eastAsia="Times New Roman" w:hAnsi="Times New Roman" w:cs="Times New Roman"/>
          <w:color w:val="000000"/>
          <w:sz w:val="28"/>
          <w:szCs w:val="28"/>
        </w:rPr>
        <w:t>Для л</w:t>
      </w:r>
      <w:r w:rsidRPr="007F5722">
        <w:rPr>
          <w:rFonts w:ascii="Times New Roman" w:eastAsia="Times New Roman" w:hAnsi="Times New Roman" w:cs="Times New Roman"/>
          <w:color w:val="000000"/>
          <w:sz w:val="28"/>
          <w:szCs w:val="28"/>
          <w:lang w:val="ru-RU"/>
        </w:rPr>
        <w:t>a</w:t>
      </w:r>
      <w:r w:rsidRPr="007F5722">
        <w:rPr>
          <w:rFonts w:ascii="Times New Roman" w:eastAsia="Times New Roman" w:hAnsi="Times New Roman" w:cs="Times New Roman"/>
          <w:color w:val="000000"/>
          <w:sz w:val="28"/>
          <w:szCs w:val="28"/>
        </w:rPr>
        <w:t>бор</w:t>
      </w:r>
      <w:r w:rsidRPr="007F5722">
        <w:rPr>
          <w:rFonts w:ascii="Times New Roman" w:eastAsia="Times New Roman" w:hAnsi="Times New Roman" w:cs="Times New Roman"/>
          <w:color w:val="000000"/>
          <w:sz w:val="28"/>
          <w:szCs w:val="28"/>
          <w:lang w:val="ru-RU"/>
        </w:rPr>
        <w:t>a</w:t>
      </w:r>
      <w:r w:rsidRPr="007F5722">
        <w:rPr>
          <w:rFonts w:ascii="Times New Roman" w:eastAsia="Times New Roman" w:hAnsi="Times New Roman" w:cs="Times New Roman"/>
          <w:color w:val="000000"/>
          <w:sz w:val="28"/>
          <w:szCs w:val="28"/>
        </w:rPr>
        <w:t>торних досліджень кров з</w:t>
      </w:r>
      <w:r w:rsidRPr="007F5722">
        <w:rPr>
          <w:rFonts w:ascii="Times New Roman" w:eastAsia="Times New Roman" w:hAnsi="Times New Roman" w:cs="Times New Roman"/>
          <w:color w:val="000000"/>
          <w:sz w:val="28"/>
          <w:szCs w:val="28"/>
          <w:lang w:val="ru-RU"/>
        </w:rPr>
        <w:t>a</w:t>
      </w:r>
      <w:r w:rsidRPr="007F5722">
        <w:rPr>
          <w:rFonts w:ascii="Times New Roman" w:eastAsia="Times New Roman" w:hAnsi="Times New Roman" w:cs="Times New Roman"/>
          <w:color w:val="000000"/>
          <w:sz w:val="28"/>
          <w:szCs w:val="28"/>
        </w:rPr>
        <w:t>бир</w:t>
      </w:r>
      <w:r w:rsidRPr="007F5722">
        <w:rPr>
          <w:rFonts w:ascii="Times New Roman" w:eastAsia="Times New Roman" w:hAnsi="Times New Roman" w:cs="Times New Roman"/>
          <w:color w:val="000000"/>
          <w:sz w:val="28"/>
          <w:szCs w:val="28"/>
          <w:lang w:val="ru-RU"/>
        </w:rPr>
        <w:t>a</w:t>
      </w:r>
      <w:r w:rsidRPr="007F5722">
        <w:rPr>
          <w:rFonts w:ascii="Times New Roman" w:eastAsia="Times New Roman" w:hAnsi="Times New Roman" w:cs="Times New Roman"/>
          <w:color w:val="000000"/>
          <w:sz w:val="28"/>
          <w:szCs w:val="28"/>
        </w:rPr>
        <w:t>ли н</w:t>
      </w:r>
      <w:r w:rsidRPr="007F5722">
        <w:rPr>
          <w:rFonts w:ascii="Times New Roman" w:eastAsia="Times New Roman" w:hAnsi="Times New Roman" w:cs="Times New Roman"/>
          <w:color w:val="000000"/>
          <w:sz w:val="28"/>
          <w:szCs w:val="28"/>
          <w:lang w:val="ru-RU"/>
        </w:rPr>
        <w:t>a</w:t>
      </w:r>
      <w:r w:rsidRPr="007F5722">
        <w:rPr>
          <w:rFonts w:ascii="Times New Roman" w:eastAsia="Times New Roman" w:hAnsi="Times New Roman" w:cs="Times New Roman"/>
          <w:color w:val="000000"/>
          <w:sz w:val="28"/>
          <w:szCs w:val="28"/>
        </w:rPr>
        <w:t>тщесерце з кубіт</w:t>
      </w:r>
      <w:r w:rsidRPr="007F5722">
        <w:rPr>
          <w:rFonts w:ascii="Times New Roman" w:eastAsia="Times New Roman" w:hAnsi="Times New Roman" w:cs="Times New Roman"/>
          <w:color w:val="000000"/>
          <w:sz w:val="28"/>
          <w:szCs w:val="28"/>
          <w:lang w:val="ru-RU"/>
        </w:rPr>
        <w:t>a</w:t>
      </w:r>
      <w:r w:rsidRPr="007F5722">
        <w:rPr>
          <w:rFonts w:ascii="Times New Roman" w:eastAsia="Times New Roman" w:hAnsi="Times New Roman" w:cs="Times New Roman"/>
          <w:color w:val="000000"/>
          <w:sz w:val="28"/>
          <w:szCs w:val="28"/>
        </w:rPr>
        <w:t xml:space="preserve">льної вени, після 12–годинного нічного голодування, та додатково для визначення постпрандіальної ліпемії кров забирали повторно через 6 годин після жирового навантаження (за модифікованою методикою </w:t>
      </w:r>
      <w:r w:rsidRPr="007F5722">
        <w:rPr>
          <w:rFonts w:ascii="Times New Roman" w:eastAsia="Times New Roman" w:hAnsi="Times New Roman" w:cs="Times New Roman"/>
          <w:color w:val="000000"/>
          <w:sz w:val="28"/>
          <w:szCs w:val="28"/>
          <w:lang w:val="ru-RU"/>
        </w:rPr>
        <w:t xml:space="preserve">Patsch JR, 1983: </w:t>
      </w:r>
      <w:r w:rsidRPr="007F5722">
        <w:rPr>
          <w:rFonts w:ascii="Times New Roman" w:eastAsia="Times New Roman" w:hAnsi="Times New Roman" w:cs="Times New Roman"/>
          <w:color w:val="000000"/>
          <w:sz w:val="28"/>
          <w:szCs w:val="28"/>
        </w:rPr>
        <w:t>вживання</w:t>
      </w:r>
      <w:r w:rsidRPr="007F5722">
        <w:rPr>
          <w:rFonts w:ascii="Times New Roman" w:eastAsia="Times New Roman" w:hAnsi="Times New Roman" w:cs="Times New Roman"/>
          <w:color w:val="000000"/>
          <w:sz w:val="28"/>
          <w:szCs w:val="28"/>
          <w:lang w:val="ru-RU"/>
        </w:rPr>
        <w:t xml:space="preserve"> натщесерце 20 % вершків в середньому 644,58±16,25 </w:t>
      </w:r>
      <w:r w:rsidRPr="007F5722">
        <w:rPr>
          <w:rFonts w:ascii="Times New Roman" w:eastAsia="Times New Roman" w:hAnsi="Times New Roman" w:cs="Times New Roman"/>
          <w:color w:val="000000"/>
          <w:sz w:val="28"/>
          <w:szCs w:val="28"/>
        </w:rPr>
        <w:t>г</w:t>
      </w:r>
      <w:r w:rsidRPr="007F5722">
        <w:rPr>
          <w:rFonts w:ascii="Times New Roman" w:eastAsia="Times New Roman" w:hAnsi="Times New Roman" w:cs="Times New Roman"/>
          <w:color w:val="000000"/>
          <w:sz w:val="28"/>
          <w:szCs w:val="28"/>
          <w:lang w:val="ru-RU"/>
        </w:rPr>
        <w:t xml:space="preserve"> (з розрахунку 65 г емульгованого жиру на 1 м</w:t>
      </w:r>
      <w:r w:rsidRPr="007F5722">
        <w:rPr>
          <w:rFonts w:ascii="Times New Roman" w:eastAsia="Times New Roman" w:hAnsi="Times New Roman" w:cs="Times New Roman"/>
          <w:color w:val="000000"/>
          <w:sz w:val="28"/>
          <w:szCs w:val="28"/>
          <w:vertAlign w:val="superscript"/>
        </w:rPr>
        <w:t xml:space="preserve">2 </w:t>
      </w:r>
      <w:r w:rsidRPr="007F5722">
        <w:rPr>
          <w:rFonts w:ascii="Times New Roman" w:eastAsia="Times New Roman" w:hAnsi="Times New Roman" w:cs="Times New Roman"/>
          <w:color w:val="000000"/>
          <w:sz w:val="28"/>
          <w:szCs w:val="28"/>
          <w:lang w:val="ru-RU"/>
        </w:rPr>
        <w:t>поверхні тіла) з 50 г білого хліба. Калорійність 1300 ккал).</w:t>
      </w:r>
    </w:p>
    <w:p w:rsidR="009C7F6B" w:rsidRPr="007F5722" w:rsidRDefault="009C7F6B" w:rsidP="009C7F6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Для одерж</w:t>
      </w:r>
      <w:r w:rsidRPr="007F5722">
        <w:rPr>
          <w:rFonts w:ascii="Times New Roman" w:eastAsia="Times New Roman" w:hAnsi="Times New Roman" w:cs="Times New Roman"/>
          <w:color w:val="000000"/>
          <w:sz w:val="28"/>
          <w:szCs w:val="28"/>
          <w:lang w:val="ru-RU"/>
        </w:rPr>
        <w:t>a</w:t>
      </w:r>
      <w:r w:rsidRPr="007F5722">
        <w:rPr>
          <w:rFonts w:ascii="Times New Roman" w:eastAsia="Times New Roman" w:hAnsi="Times New Roman" w:cs="Times New Roman"/>
          <w:color w:val="000000"/>
          <w:sz w:val="28"/>
          <w:szCs w:val="28"/>
        </w:rPr>
        <w:t xml:space="preserve">ння </w:t>
      </w:r>
      <w:r w:rsidR="003B68D3">
        <w:rPr>
          <w:rFonts w:ascii="Times New Roman" w:eastAsia="Times New Roman" w:hAnsi="Times New Roman" w:cs="Times New Roman"/>
          <w:color w:val="000000"/>
          <w:sz w:val="28"/>
          <w:szCs w:val="28"/>
        </w:rPr>
        <w:t>плазми</w:t>
      </w:r>
      <w:r w:rsidRPr="007F5722">
        <w:rPr>
          <w:rFonts w:ascii="Times New Roman" w:eastAsia="Times New Roman" w:hAnsi="Times New Roman" w:cs="Times New Roman"/>
          <w:color w:val="000000"/>
          <w:sz w:val="28"/>
          <w:szCs w:val="28"/>
        </w:rPr>
        <w:t>, пробірки з кров’ю центрифугув</w:t>
      </w:r>
      <w:r w:rsidRPr="007F5722">
        <w:rPr>
          <w:rFonts w:ascii="Times New Roman" w:eastAsia="Times New Roman" w:hAnsi="Times New Roman" w:cs="Times New Roman"/>
          <w:color w:val="000000"/>
          <w:sz w:val="28"/>
          <w:szCs w:val="28"/>
          <w:lang w:val="ru-RU"/>
        </w:rPr>
        <w:t>a</w:t>
      </w:r>
      <w:r w:rsidRPr="007F5722">
        <w:rPr>
          <w:rFonts w:ascii="Times New Roman" w:eastAsia="Times New Roman" w:hAnsi="Times New Roman" w:cs="Times New Roman"/>
          <w:color w:val="000000"/>
          <w:sz w:val="28"/>
          <w:szCs w:val="28"/>
        </w:rPr>
        <w:t>ли протягом</w:t>
      </w:r>
      <w:r w:rsidRPr="007F5722">
        <w:rPr>
          <w:rFonts w:ascii="Times New Roman" w:eastAsia="Times New Roman" w:hAnsi="Times New Roman" w:cs="Times New Roman"/>
          <w:b/>
          <w:color w:val="000000"/>
          <w:sz w:val="28"/>
          <w:szCs w:val="28"/>
        </w:rPr>
        <w:t xml:space="preserve"> </w:t>
      </w:r>
      <w:r w:rsidRPr="007F5722">
        <w:rPr>
          <w:rFonts w:ascii="Times New Roman" w:eastAsia="Times New Roman" w:hAnsi="Times New Roman" w:cs="Times New Roman"/>
          <w:color w:val="000000"/>
          <w:sz w:val="28"/>
          <w:szCs w:val="28"/>
        </w:rPr>
        <w:t>10 хвилин при 1500 об/хв. Зберігали зразки при температурі -20 ºС.</w:t>
      </w:r>
    </w:p>
    <w:p w:rsidR="009C7F6B" w:rsidRPr="007F5722" w:rsidRDefault="009C7F6B" w:rsidP="009C7F6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Дослідження проводились у біохімічному відділі Центральної науково-дослідної лабораторії Харківського національного медичного університету.</w:t>
      </w:r>
    </w:p>
    <w:p w:rsidR="009C7F6B" w:rsidRPr="007F5722" w:rsidRDefault="009C7F6B" w:rsidP="009C7F6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lastRenderedPageBreak/>
        <w:t>Рівень загального холестерину (ЗХС, ммоль/л), холестерину ліпопротеїдів високої щільності (ХС ЛПВЩ, ммоль/л) і тригліцеридів</w:t>
      </w:r>
      <w:r w:rsidR="00476D8E" w:rsidRPr="007F5722">
        <w:rPr>
          <w:rFonts w:ascii="Times New Roman" w:eastAsia="Times New Roman" w:hAnsi="Times New Roman" w:cs="Times New Roman"/>
          <w:color w:val="000000"/>
          <w:sz w:val="28"/>
          <w:szCs w:val="28"/>
        </w:rPr>
        <w:t xml:space="preserve"> (ТГ, ммоль/л) визначалися </w:t>
      </w:r>
      <w:r w:rsidRPr="007F5722">
        <w:rPr>
          <w:rFonts w:ascii="Times New Roman" w:eastAsia="Times New Roman" w:hAnsi="Times New Roman" w:cs="Times New Roman"/>
          <w:color w:val="000000"/>
          <w:sz w:val="28"/>
          <w:szCs w:val="28"/>
        </w:rPr>
        <w:t>фермент</w:t>
      </w:r>
      <w:r w:rsidR="00476D8E" w:rsidRPr="007F5722">
        <w:rPr>
          <w:rFonts w:ascii="Times New Roman" w:eastAsia="Times New Roman" w:hAnsi="Times New Roman" w:cs="Times New Roman"/>
          <w:color w:val="000000"/>
          <w:sz w:val="28"/>
          <w:szCs w:val="28"/>
        </w:rPr>
        <w:t>атив</w:t>
      </w:r>
      <w:r w:rsidRPr="007F5722">
        <w:rPr>
          <w:rFonts w:ascii="Times New Roman" w:eastAsia="Times New Roman" w:hAnsi="Times New Roman" w:cs="Times New Roman"/>
          <w:color w:val="000000"/>
          <w:sz w:val="28"/>
          <w:szCs w:val="28"/>
        </w:rPr>
        <w:t xml:space="preserve">ним методом з використанням стандартних наборів. Рівень холестерину ліпопротеїдів дуже низької щільності (ХС ЛПДНЩ, ммоль/л) розраховували за формулою: </w:t>
      </w:r>
    </w:p>
    <w:p w:rsidR="009C7F6B" w:rsidRPr="007F5722" w:rsidRDefault="009C7F6B" w:rsidP="009C7F6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ХС ЛПДНЩ = ТГ/2,2</w:t>
      </w:r>
    </w:p>
    <w:p w:rsidR="009C7F6B" w:rsidRPr="007F5722" w:rsidRDefault="009C7F6B" w:rsidP="009C7F6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 xml:space="preserve">Холестерин ліпопротеїдів низької щільності (ХС ЛПНЩ, ммоль/л) визначали за формулою: </w:t>
      </w:r>
    </w:p>
    <w:p w:rsidR="009C7F6B" w:rsidRPr="007F5722" w:rsidRDefault="009C7F6B" w:rsidP="009C7F6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 xml:space="preserve">ХС ЛПНЩ = ХС - (ХС ЛПВЩ + ХС ЛПДНЩ) </w:t>
      </w:r>
    </w:p>
    <w:p w:rsidR="009C7F6B" w:rsidRPr="007F5722" w:rsidRDefault="009C7F6B" w:rsidP="009C7F6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Коефіцієнт атерогенності (КА) розраховували за формулою Клімова:</w:t>
      </w:r>
    </w:p>
    <w:p w:rsidR="00476D8E" w:rsidRPr="007F5722" w:rsidRDefault="009C7F6B" w:rsidP="009C7F6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КА = (ХС - ХС ЛПВЩ) / ХСЛПВЩ</w:t>
      </w:r>
    </w:p>
    <w:p w:rsidR="00476D8E" w:rsidRPr="007F5722" w:rsidRDefault="00476D8E" w:rsidP="009C7F6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 xml:space="preserve">ХС не ЛПВЩ розраховувався за формулою: </w:t>
      </w:r>
    </w:p>
    <w:p w:rsidR="00476D8E" w:rsidRPr="007F5722" w:rsidRDefault="00476D8E" w:rsidP="009C7F6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ХС не - ЛПВЩ = ЗХС – ХС ЛПВЩ.</w:t>
      </w:r>
    </w:p>
    <w:p w:rsidR="009C7F6B" w:rsidRPr="007F5722" w:rsidRDefault="00476D8E" w:rsidP="009C7F6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 xml:space="preserve"> </w:t>
      </w:r>
      <w:r w:rsidR="009C7F6B" w:rsidRPr="007F5722">
        <w:rPr>
          <w:rFonts w:ascii="Times New Roman" w:eastAsia="Times New Roman" w:hAnsi="Times New Roman" w:cs="Times New Roman"/>
          <w:color w:val="000000"/>
          <w:sz w:val="28"/>
          <w:szCs w:val="28"/>
        </w:rPr>
        <w:t>Згідно рекомендацій European Society of Cardiology (ESC) 2016 року, дисліпідемією вважається підвищення ХС &gt; 4,9 ммоль/л та/або підвищення ХС ЛПНЩ &gt; 3,0 ммоль/л та/або зниження ХС ЛПВЩ &lt; 1,0 ммоль/л у чоловіків та &lt; 1,2 ммоль/л у жінок та/або підвищення ТГ &gt; 1,7 ммоль/л. [</w:t>
      </w:r>
      <w:r w:rsidR="00D03D0B" w:rsidRPr="007F5722">
        <w:rPr>
          <w:rFonts w:ascii="Times New Roman" w:eastAsia="Times New Roman" w:hAnsi="Times New Roman" w:cs="Times New Roman"/>
          <w:color w:val="000000"/>
          <w:sz w:val="28"/>
          <w:szCs w:val="28"/>
        </w:rPr>
        <w:t>194</w:t>
      </w:r>
      <w:r w:rsidR="009C7F6B" w:rsidRPr="007F5722">
        <w:rPr>
          <w:rFonts w:ascii="Times New Roman" w:eastAsia="Times New Roman" w:hAnsi="Times New Roman" w:cs="Times New Roman"/>
          <w:color w:val="000000"/>
          <w:sz w:val="28"/>
          <w:szCs w:val="28"/>
        </w:rPr>
        <w:t>]</w:t>
      </w:r>
      <w:r w:rsidRPr="007F5722">
        <w:rPr>
          <w:rFonts w:ascii="Times New Roman" w:eastAsia="Times New Roman" w:hAnsi="Times New Roman" w:cs="Times New Roman"/>
          <w:color w:val="000000"/>
          <w:sz w:val="28"/>
          <w:szCs w:val="28"/>
        </w:rPr>
        <w:t>.</w:t>
      </w:r>
    </w:p>
    <w:p w:rsidR="00476D8E" w:rsidRPr="007F5722" w:rsidRDefault="00476D8E" w:rsidP="009C7F6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Рівень інтерлейкіну-22 визначався імуноферментним методом з використанням набору «BenderMedsystems® Human IL-22 Platinum ELISA», рівень аполіпопротеїну В з використанням набору виробництва «AssayMax® HumanApolipoprotein B ELISA Kit».</w:t>
      </w:r>
    </w:p>
    <w:p w:rsidR="00B94190" w:rsidRPr="007F5722" w:rsidRDefault="00B94190" w:rsidP="009C7F6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 xml:space="preserve">Ліпідний профіль натще був визначений у 133 обстежених. Тест з жировим навантаженням був виконаний у 29 осіб. Рівень ІЛ-22 та Апо В був визначений у 95 обстежених осіб. Ультразвукове дослідження ЗСА було виконане 72 пацієнтам. </w:t>
      </w:r>
    </w:p>
    <w:p w:rsidR="00476D8E" w:rsidRPr="007F5722" w:rsidRDefault="00476D8E" w:rsidP="00476D8E">
      <w:pPr>
        <w:shd w:val="clear" w:color="auto" w:fill="FFFFFF"/>
        <w:spacing w:after="0" w:line="360" w:lineRule="auto"/>
        <w:ind w:firstLine="709"/>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Критерії включення/виключення пацієнтів</w:t>
      </w:r>
    </w:p>
    <w:p w:rsidR="00476D8E" w:rsidRPr="007F5722" w:rsidRDefault="00476D8E" w:rsidP="00FD01E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 xml:space="preserve">Критеріями включення в дослідження були: вік від 30 до 80 років; ессенціальна ГХ І–ІІІ стадії, рівень офісного АТ на момент включення &gt; 140 але &lt; 220 мм рт.ст та ДАТ &gt; 90 але &lt; 120 мм рт.ст.; наявність супутнього ожиріння або надмірної маси тіла, хронічна серцева недостатність (ХСН) 0–ІІІ </w:t>
      </w:r>
      <w:r w:rsidRPr="007F5722">
        <w:rPr>
          <w:rFonts w:ascii="Times New Roman" w:eastAsia="Times New Roman" w:hAnsi="Times New Roman" w:cs="Times New Roman"/>
          <w:color w:val="000000"/>
          <w:sz w:val="28"/>
          <w:szCs w:val="28"/>
        </w:rPr>
        <w:lastRenderedPageBreak/>
        <w:t>функціонального класу (ФК); нормальна швидкість клубочкової фільтрації (ШКФ); нормокреатинінемія; відсутність протеїнурії (допустима лише мікроальбумінурія); фракція викиду (ФВ) &gt; 50%.</w:t>
      </w:r>
    </w:p>
    <w:p w:rsidR="00476D8E" w:rsidRPr="007F5722" w:rsidRDefault="00476D8E" w:rsidP="00476D8E">
      <w:pPr>
        <w:spacing w:after="0" w:line="360" w:lineRule="auto"/>
        <w:ind w:firstLine="709"/>
        <w:jc w:val="both"/>
        <w:rPr>
          <w:rFonts w:ascii="Times New Roman" w:hAnsi="Times New Roman"/>
          <w:sz w:val="28"/>
          <w:szCs w:val="28"/>
        </w:rPr>
      </w:pPr>
      <w:r w:rsidRPr="007F5722">
        <w:rPr>
          <w:rFonts w:ascii="Times New Roman" w:hAnsi="Times New Roman"/>
          <w:sz w:val="28"/>
          <w:szCs w:val="28"/>
        </w:rPr>
        <w:t>Критеріями виключення хворих із дослідження були: симптоматичний характер артеріальної гіпертензії; наявна патологія щитоподібної залози; аутоімунні захворювання; онкологічна патологія; загострення хронічних запальних процесів чи наявність гострих запальних захворювань; гострий інфаркт міокарда чи інсульт, гостра ліво- чи правошлуночкова недостатність; травматичні ушкодження центральної нервової системи; супутні психічні захворювання, а також дифузні захворювання сполучної тканини.</w:t>
      </w:r>
    </w:p>
    <w:p w:rsidR="00476D8E" w:rsidRPr="007F5722" w:rsidRDefault="00476D8E" w:rsidP="00476D8E">
      <w:pPr>
        <w:spacing w:after="0" w:line="360" w:lineRule="auto"/>
        <w:ind w:firstLine="709"/>
        <w:jc w:val="both"/>
        <w:rPr>
          <w:rFonts w:ascii="Times New Roman" w:hAnsi="Times New Roman"/>
          <w:b/>
          <w:sz w:val="28"/>
          <w:szCs w:val="28"/>
        </w:rPr>
      </w:pPr>
      <w:r w:rsidRPr="007F5722">
        <w:rPr>
          <w:rFonts w:ascii="Times New Roman" w:hAnsi="Times New Roman"/>
          <w:b/>
          <w:sz w:val="28"/>
          <w:szCs w:val="28"/>
        </w:rPr>
        <w:t>Інструмент</w:t>
      </w:r>
      <w:r w:rsidRPr="007F5722">
        <w:rPr>
          <w:rFonts w:ascii="Times New Roman" w:hAnsi="Times New Roman"/>
          <w:b/>
          <w:sz w:val="28"/>
          <w:szCs w:val="28"/>
          <w:lang w:val="ru-RU"/>
        </w:rPr>
        <w:t>a</w:t>
      </w:r>
      <w:r w:rsidRPr="007F5722">
        <w:rPr>
          <w:rFonts w:ascii="Times New Roman" w:hAnsi="Times New Roman"/>
          <w:b/>
          <w:sz w:val="28"/>
          <w:szCs w:val="28"/>
        </w:rPr>
        <w:t>льні методи дослідження</w:t>
      </w:r>
    </w:p>
    <w:p w:rsidR="00FD01EB" w:rsidRPr="007F5722" w:rsidRDefault="00FD01EB" w:rsidP="00FD01E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 xml:space="preserve">Вимірювання АТ проводилось аускультативним сфігмоманометром </w:t>
      </w:r>
      <w:r w:rsidRPr="007F5722">
        <w:rPr>
          <w:rFonts w:ascii="Times New Roman" w:eastAsia="Times New Roman" w:hAnsi="Times New Roman" w:cs="Times New Roman"/>
          <w:bCs/>
          <w:color w:val="000000"/>
          <w:sz w:val="28"/>
          <w:szCs w:val="28"/>
        </w:rPr>
        <w:t xml:space="preserve">на обох верхніх кінцівках після відпочинку впродовж не менше ніж 5 хвилин з кратністю не менш ніж 3 вимірювання з інтервалом 5 хвилин і подальшим обчисленням середніх значень. </w:t>
      </w:r>
      <w:r w:rsidRPr="007F5722">
        <w:rPr>
          <w:rFonts w:ascii="Times New Roman" w:eastAsia="Times New Roman" w:hAnsi="Times New Roman" w:cs="Times New Roman"/>
          <w:color w:val="000000"/>
          <w:sz w:val="28"/>
          <w:szCs w:val="28"/>
        </w:rPr>
        <w:t>[</w:t>
      </w:r>
      <w:r w:rsidR="00D03D0B" w:rsidRPr="007F5722">
        <w:rPr>
          <w:rFonts w:ascii="Times New Roman" w:eastAsia="Times New Roman" w:hAnsi="Times New Roman" w:cs="Times New Roman"/>
          <w:color w:val="000000"/>
          <w:sz w:val="28"/>
          <w:szCs w:val="28"/>
        </w:rPr>
        <w:t>190, 191</w:t>
      </w:r>
      <w:r w:rsidRPr="007F5722">
        <w:rPr>
          <w:rFonts w:ascii="Times New Roman" w:eastAsia="Times New Roman" w:hAnsi="Times New Roman" w:cs="Times New Roman"/>
          <w:color w:val="000000"/>
          <w:sz w:val="28"/>
          <w:szCs w:val="28"/>
        </w:rPr>
        <w:t>].</w:t>
      </w:r>
    </w:p>
    <w:p w:rsidR="00FD01EB" w:rsidRPr="007F5722" w:rsidRDefault="00FD01EB" w:rsidP="00FD01EB">
      <w:pPr>
        <w:spacing w:after="0" w:line="360" w:lineRule="auto"/>
        <w:ind w:firstLine="709"/>
        <w:jc w:val="both"/>
        <w:rPr>
          <w:rFonts w:ascii="Times New Roman" w:eastAsia="Calibri" w:hAnsi="Times New Roman" w:cs="Times New Roman"/>
          <w:bCs/>
          <w:sz w:val="28"/>
          <w:szCs w:val="28"/>
        </w:rPr>
      </w:pPr>
      <w:r w:rsidRPr="007F5722">
        <w:rPr>
          <w:rFonts w:ascii="Times New Roman" w:eastAsia="Calibri" w:hAnsi="Times New Roman" w:cs="Times New Roman"/>
          <w:bCs/>
          <w:sz w:val="28"/>
          <w:szCs w:val="28"/>
        </w:rPr>
        <w:t>ЕКГ реєструвало</w:t>
      </w:r>
      <w:r w:rsidRPr="007F5722">
        <w:rPr>
          <w:rFonts w:ascii="Times New Roman" w:hAnsi="Times New Roman"/>
          <w:bCs/>
          <w:sz w:val="28"/>
          <w:szCs w:val="28"/>
        </w:rPr>
        <w:t>ся в 12 загальноприйнятих відвед</w:t>
      </w:r>
      <w:r w:rsidRPr="007F5722">
        <w:rPr>
          <w:rFonts w:ascii="Times New Roman" w:eastAsia="Calibri" w:hAnsi="Times New Roman" w:cs="Times New Roman"/>
          <w:bCs/>
          <w:sz w:val="28"/>
          <w:szCs w:val="28"/>
        </w:rPr>
        <w:t>еннях. Амплітуду і тривалість інтервалів та зубців ЕКГ вимірювали відповідно до рекомендацій Американської Асоціації серця та Американської колегії кардіологів.</w:t>
      </w:r>
    </w:p>
    <w:p w:rsidR="0000208A" w:rsidRPr="007F5722" w:rsidRDefault="00725CEE" w:rsidP="0000208A">
      <w:pPr>
        <w:spacing w:after="0" w:line="360" w:lineRule="auto"/>
        <w:ind w:firstLine="709"/>
        <w:jc w:val="both"/>
        <w:rPr>
          <w:rFonts w:ascii="Times New Roman" w:hAnsi="Times New Roman" w:cs="Times New Roman"/>
          <w:sz w:val="28"/>
          <w:szCs w:val="28"/>
        </w:rPr>
      </w:pPr>
      <w:r w:rsidRPr="007F5722">
        <w:rPr>
          <w:rFonts w:ascii="Times New Roman" w:hAnsi="Times New Roman"/>
          <w:bCs/>
          <w:sz w:val="28"/>
          <w:szCs w:val="28"/>
        </w:rPr>
        <w:t>Дослідження функціонального стану серця та його структурно-геометричних показників проводили за допомогою неінвазивного методу діагностики ремоделювання міокарда - ехокардіографії (ЕхоКГ), який включен</w:t>
      </w:r>
      <w:r w:rsidR="00901369" w:rsidRPr="007F5722">
        <w:rPr>
          <w:rFonts w:ascii="Times New Roman" w:hAnsi="Times New Roman"/>
          <w:bCs/>
          <w:sz w:val="28"/>
          <w:szCs w:val="28"/>
        </w:rPr>
        <w:t>о</w:t>
      </w:r>
      <w:r w:rsidRPr="007F5722">
        <w:rPr>
          <w:rFonts w:ascii="Times New Roman" w:hAnsi="Times New Roman"/>
          <w:bCs/>
          <w:sz w:val="28"/>
          <w:szCs w:val="28"/>
        </w:rPr>
        <w:t xml:space="preserve"> до переліку обов’язкових методів дослідження у хворих на ГХ </w:t>
      </w:r>
      <w:r w:rsidRPr="007F5722">
        <w:rPr>
          <w:rFonts w:ascii="Times New Roman" w:hAnsi="Times New Roman" w:cs="Times New Roman"/>
          <w:bCs/>
          <w:sz w:val="28"/>
          <w:szCs w:val="28"/>
        </w:rPr>
        <w:t>[</w:t>
      </w:r>
      <w:r w:rsidR="00D03D0B" w:rsidRPr="007F5722">
        <w:rPr>
          <w:rFonts w:ascii="Times New Roman" w:hAnsi="Times New Roman" w:cs="Times New Roman"/>
          <w:bCs/>
          <w:sz w:val="28"/>
          <w:szCs w:val="28"/>
        </w:rPr>
        <w:t>190</w:t>
      </w:r>
      <w:r w:rsidRPr="007F5722">
        <w:rPr>
          <w:rFonts w:ascii="Times New Roman" w:hAnsi="Times New Roman" w:cs="Times New Roman"/>
          <w:bCs/>
          <w:sz w:val="28"/>
          <w:szCs w:val="28"/>
        </w:rPr>
        <w:t xml:space="preserve">]. </w:t>
      </w:r>
      <w:r w:rsidRPr="007F5722">
        <w:rPr>
          <w:rFonts w:ascii="Times New Roman" w:hAnsi="Times New Roman" w:cs="Times New Roman"/>
          <w:sz w:val="28"/>
          <w:szCs w:val="28"/>
        </w:rPr>
        <w:t xml:space="preserve">Морфофункціональні показники серця оцінювали за даними двовимірної трансторакальної ЕхоКГ на медичному автоматизованому </w:t>
      </w:r>
      <w:r w:rsidR="0000208A" w:rsidRPr="007F5722">
        <w:rPr>
          <w:rFonts w:ascii="Times New Roman" w:hAnsi="Times New Roman" w:cs="Times New Roman"/>
          <w:sz w:val="28"/>
          <w:szCs w:val="28"/>
        </w:rPr>
        <w:t xml:space="preserve">діагностичному комплексі Radmir ТИ 628А </w:t>
      </w:r>
      <w:r w:rsidRPr="007F5722">
        <w:rPr>
          <w:rFonts w:ascii="Times New Roman" w:hAnsi="Times New Roman" w:cs="Times New Roman"/>
          <w:sz w:val="28"/>
          <w:szCs w:val="28"/>
        </w:rPr>
        <w:t>за загальновизнаною методикою в М- і В-режимах ехолокації з використанням фазованого датчика, відповідно до рекомендацій</w:t>
      </w:r>
      <w:r w:rsidR="0000208A" w:rsidRPr="007F5722">
        <w:rPr>
          <w:rFonts w:ascii="Times New Roman" w:hAnsi="Times New Roman" w:cs="Times New Roman"/>
          <w:bCs/>
          <w:sz w:val="28"/>
          <w:szCs w:val="28"/>
        </w:rPr>
        <w:t xml:space="preserve"> Американського ехокардіографічного товариства (</w:t>
      </w:r>
      <w:r w:rsidR="0000208A" w:rsidRPr="007F5722">
        <w:rPr>
          <w:rFonts w:ascii="Times New Roman" w:hAnsi="Times New Roman" w:cs="Times New Roman"/>
          <w:bCs/>
          <w:sz w:val="28"/>
          <w:szCs w:val="28"/>
          <w:lang w:val="en-US"/>
        </w:rPr>
        <w:t>American</w:t>
      </w:r>
      <w:r w:rsidR="00D230DA" w:rsidRPr="007F5722">
        <w:rPr>
          <w:rFonts w:ascii="Times New Roman" w:hAnsi="Times New Roman" w:cs="Times New Roman"/>
          <w:bCs/>
          <w:sz w:val="28"/>
          <w:szCs w:val="28"/>
        </w:rPr>
        <w:t xml:space="preserve"> </w:t>
      </w:r>
      <w:r w:rsidR="0000208A" w:rsidRPr="007F5722">
        <w:rPr>
          <w:rFonts w:ascii="Times New Roman" w:hAnsi="Times New Roman" w:cs="Times New Roman"/>
          <w:bCs/>
          <w:sz w:val="28"/>
          <w:szCs w:val="28"/>
          <w:lang w:val="en-US"/>
        </w:rPr>
        <w:t>Ssociety</w:t>
      </w:r>
      <w:r w:rsidR="0000208A" w:rsidRPr="007F5722">
        <w:rPr>
          <w:rFonts w:ascii="Times New Roman" w:hAnsi="Times New Roman" w:cs="Times New Roman"/>
          <w:bCs/>
          <w:sz w:val="28"/>
          <w:szCs w:val="28"/>
        </w:rPr>
        <w:t xml:space="preserve"> </w:t>
      </w:r>
      <w:r w:rsidR="0000208A" w:rsidRPr="007F5722">
        <w:rPr>
          <w:rFonts w:ascii="Times New Roman" w:hAnsi="Times New Roman" w:cs="Times New Roman"/>
          <w:bCs/>
          <w:sz w:val="28"/>
          <w:szCs w:val="28"/>
          <w:lang w:val="en-US"/>
        </w:rPr>
        <w:t>of</w:t>
      </w:r>
      <w:r w:rsidR="0000208A" w:rsidRPr="007F5722">
        <w:rPr>
          <w:rFonts w:ascii="Times New Roman" w:hAnsi="Times New Roman" w:cs="Times New Roman"/>
          <w:bCs/>
          <w:sz w:val="28"/>
          <w:szCs w:val="28"/>
        </w:rPr>
        <w:t xml:space="preserve"> </w:t>
      </w:r>
      <w:r w:rsidR="0000208A" w:rsidRPr="007F5722">
        <w:rPr>
          <w:rFonts w:ascii="Times New Roman" w:hAnsi="Times New Roman" w:cs="Times New Roman"/>
          <w:bCs/>
          <w:sz w:val="28"/>
          <w:szCs w:val="28"/>
          <w:lang w:val="en-US"/>
        </w:rPr>
        <w:t>Echocardiography</w:t>
      </w:r>
      <w:r w:rsidR="0000208A" w:rsidRPr="007F5722">
        <w:rPr>
          <w:rFonts w:ascii="Times New Roman" w:hAnsi="Times New Roman" w:cs="Times New Roman"/>
          <w:bCs/>
          <w:sz w:val="28"/>
          <w:szCs w:val="28"/>
        </w:rPr>
        <w:t xml:space="preserve"> - </w:t>
      </w:r>
      <w:r w:rsidR="0000208A" w:rsidRPr="007F5722">
        <w:rPr>
          <w:rFonts w:ascii="Times New Roman" w:hAnsi="Times New Roman" w:cs="Times New Roman"/>
          <w:bCs/>
          <w:sz w:val="28"/>
          <w:szCs w:val="28"/>
          <w:lang w:val="en-US"/>
        </w:rPr>
        <w:t>ASF</w:t>
      </w:r>
      <w:r w:rsidR="0000208A" w:rsidRPr="007F5722">
        <w:rPr>
          <w:rFonts w:ascii="Times New Roman" w:hAnsi="Times New Roman" w:cs="Times New Roman"/>
          <w:bCs/>
          <w:sz w:val="28"/>
          <w:szCs w:val="28"/>
        </w:rPr>
        <w:t xml:space="preserve">) </w:t>
      </w:r>
      <w:r w:rsidRPr="007F5722">
        <w:rPr>
          <w:rFonts w:ascii="Times New Roman" w:hAnsi="Times New Roman" w:cs="Times New Roman"/>
          <w:sz w:val="28"/>
          <w:szCs w:val="28"/>
        </w:rPr>
        <w:t>[</w:t>
      </w:r>
      <w:r w:rsidR="00840E75" w:rsidRPr="007F5722">
        <w:rPr>
          <w:rFonts w:ascii="Times New Roman" w:hAnsi="Times New Roman" w:cs="Times New Roman"/>
          <w:color w:val="000000"/>
          <w:sz w:val="28"/>
          <w:szCs w:val="28"/>
        </w:rPr>
        <w:t>195, 196, 197</w:t>
      </w:r>
      <w:r w:rsidRPr="007F5722">
        <w:rPr>
          <w:rFonts w:ascii="Times New Roman" w:hAnsi="Times New Roman" w:cs="Times New Roman"/>
          <w:sz w:val="28"/>
          <w:szCs w:val="28"/>
        </w:rPr>
        <w:t xml:space="preserve">]. </w:t>
      </w:r>
      <w:r w:rsidR="0000208A" w:rsidRPr="007F5722">
        <w:rPr>
          <w:rFonts w:ascii="Times New Roman" w:hAnsi="Times New Roman" w:cs="Times New Roman"/>
          <w:bCs/>
          <w:sz w:val="28"/>
          <w:szCs w:val="28"/>
        </w:rPr>
        <w:t>Вимірювання здійснювали в 3 послідовних серцевих циклах з подальшим усередненням отриманих даних</w:t>
      </w:r>
      <w:r w:rsidR="0000208A" w:rsidRPr="007F5722">
        <w:rPr>
          <w:rFonts w:ascii="Times New Roman" w:hAnsi="Times New Roman" w:cs="Times New Roman"/>
          <w:sz w:val="28"/>
          <w:szCs w:val="28"/>
        </w:rPr>
        <w:t xml:space="preserve">. </w:t>
      </w:r>
    </w:p>
    <w:p w:rsidR="0000208A" w:rsidRPr="007F5722" w:rsidRDefault="0000208A" w:rsidP="0000208A">
      <w:pPr>
        <w:spacing w:after="0" w:line="360" w:lineRule="auto"/>
        <w:ind w:firstLine="709"/>
        <w:jc w:val="both"/>
        <w:rPr>
          <w:rFonts w:ascii="Times New Roman" w:hAnsi="Times New Roman" w:cs="Times New Roman"/>
          <w:sz w:val="28"/>
          <w:szCs w:val="28"/>
        </w:rPr>
      </w:pPr>
      <w:r w:rsidRPr="007F5722">
        <w:rPr>
          <w:rFonts w:ascii="Times New Roman" w:hAnsi="Times New Roman" w:cs="Times New Roman"/>
          <w:sz w:val="28"/>
          <w:szCs w:val="28"/>
        </w:rPr>
        <w:lastRenderedPageBreak/>
        <w:t>Н</w:t>
      </w:r>
      <w:r w:rsidRPr="007F5722">
        <w:rPr>
          <w:rFonts w:ascii="Times New Roman" w:hAnsi="Times New Roman" w:cs="Times New Roman"/>
          <w:sz w:val="28"/>
          <w:szCs w:val="28"/>
          <w:lang w:val="ru-RU"/>
        </w:rPr>
        <w:t>a</w:t>
      </w:r>
      <w:r w:rsidRPr="007F5722">
        <w:rPr>
          <w:rFonts w:ascii="Times New Roman" w:hAnsi="Times New Roman" w:cs="Times New Roman"/>
          <w:sz w:val="28"/>
          <w:szCs w:val="28"/>
        </w:rPr>
        <w:t xml:space="preserve"> підст</w:t>
      </w:r>
      <w:r w:rsidRPr="007F5722">
        <w:rPr>
          <w:rFonts w:ascii="Times New Roman" w:hAnsi="Times New Roman" w:cs="Times New Roman"/>
          <w:sz w:val="28"/>
          <w:szCs w:val="28"/>
          <w:lang w:val="ru-RU"/>
        </w:rPr>
        <w:t>a</w:t>
      </w:r>
      <w:r w:rsidRPr="007F5722">
        <w:rPr>
          <w:rFonts w:ascii="Times New Roman" w:hAnsi="Times New Roman" w:cs="Times New Roman"/>
          <w:sz w:val="28"/>
          <w:szCs w:val="28"/>
        </w:rPr>
        <w:t>ві ЕхоКГ визн</w:t>
      </w:r>
      <w:r w:rsidRPr="007F5722">
        <w:rPr>
          <w:rFonts w:ascii="Times New Roman" w:hAnsi="Times New Roman" w:cs="Times New Roman"/>
          <w:sz w:val="28"/>
          <w:szCs w:val="28"/>
          <w:lang w:val="ru-RU"/>
        </w:rPr>
        <w:t>a</w:t>
      </w:r>
      <w:r w:rsidRPr="007F5722">
        <w:rPr>
          <w:rFonts w:ascii="Times New Roman" w:hAnsi="Times New Roman" w:cs="Times New Roman"/>
          <w:sz w:val="28"/>
          <w:szCs w:val="28"/>
        </w:rPr>
        <w:t>ч</w:t>
      </w:r>
      <w:r w:rsidRPr="007F5722">
        <w:rPr>
          <w:rFonts w:ascii="Times New Roman" w:hAnsi="Times New Roman" w:cs="Times New Roman"/>
          <w:sz w:val="28"/>
          <w:szCs w:val="28"/>
          <w:lang w:val="ru-RU"/>
        </w:rPr>
        <w:t>a</w:t>
      </w:r>
      <w:r w:rsidRPr="007F5722">
        <w:rPr>
          <w:rFonts w:ascii="Times New Roman" w:hAnsi="Times New Roman" w:cs="Times New Roman"/>
          <w:sz w:val="28"/>
          <w:szCs w:val="28"/>
        </w:rPr>
        <w:t>вся х</w:t>
      </w:r>
      <w:r w:rsidRPr="007F5722">
        <w:rPr>
          <w:rFonts w:ascii="Times New Roman" w:hAnsi="Times New Roman" w:cs="Times New Roman"/>
          <w:sz w:val="28"/>
          <w:szCs w:val="28"/>
          <w:lang w:val="ru-RU"/>
        </w:rPr>
        <w:t>a</w:t>
      </w:r>
      <w:r w:rsidRPr="007F5722">
        <w:rPr>
          <w:rFonts w:ascii="Times New Roman" w:hAnsi="Times New Roman" w:cs="Times New Roman"/>
          <w:sz w:val="28"/>
          <w:szCs w:val="28"/>
        </w:rPr>
        <w:t>р</w:t>
      </w:r>
      <w:r w:rsidRPr="007F5722">
        <w:rPr>
          <w:rFonts w:ascii="Times New Roman" w:hAnsi="Times New Roman" w:cs="Times New Roman"/>
          <w:sz w:val="28"/>
          <w:szCs w:val="28"/>
          <w:lang w:val="ru-RU"/>
        </w:rPr>
        <w:t>a</w:t>
      </w:r>
      <w:r w:rsidRPr="007F5722">
        <w:rPr>
          <w:rFonts w:ascii="Times New Roman" w:hAnsi="Times New Roman" w:cs="Times New Roman"/>
          <w:sz w:val="28"/>
          <w:szCs w:val="28"/>
        </w:rPr>
        <w:t>ктер ремоделюв</w:t>
      </w:r>
      <w:r w:rsidRPr="007F5722">
        <w:rPr>
          <w:rFonts w:ascii="Times New Roman" w:hAnsi="Times New Roman" w:cs="Times New Roman"/>
          <w:sz w:val="28"/>
          <w:szCs w:val="28"/>
          <w:lang w:val="ru-RU"/>
        </w:rPr>
        <w:t>a</w:t>
      </w:r>
      <w:r w:rsidRPr="007F5722">
        <w:rPr>
          <w:rFonts w:ascii="Times New Roman" w:hAnsi="Times New Roman" w:cs="Times New Roman"/>
          <w:sz w:val="28"/>
          <w:szCs w:val="28"/>
        </w:rPr>
        <w:t>ння</w:t>
      </w:r>
      <w:r w:rsidR="007E28C0">
        <w:rPr>
          <w:rFonts w:ascii="Times New Roman" w:hAnsi="Times New Roman" w:cs="Times New Roman"/>
          <w:sz w:val="28"/>
          <w:szCs w:val="28"/>
        </w:rPr>
        <w:t xml:space="preserve"> лівого шлуночка</w:t>
      </w:r>
      <w:r w:rsidRPr="007F5722">
        <w:rPr>
          <w:rFonts w:ascii="Times New Roman" w:hAnsi="Times New Roman" w:cs="Times New Roman"/>
          <w:sz w:val="28"/>
          <w:szCs w:val="28"/>
        </w:rPr>
        <w:t xml:space="preserve"> </w:t>
      </w:r>
      <w:r w:rsidR="007E28C0">
        <w:rPr>
          <w:rFonts w:ascii="Times New Roman" w:hAnsi="Times New Roman" w:cs="Times New Roman"/>
          <w:sz w:val="28"/>
          <w:szCs w:val="28"/>
        </w:rPr>
        <w:t>(</w:t>
      </w:r>
      <w:r w:rsidRPr="007F5722">
        <w:rPr>
          <w:rFonts w:ascii="Times New Roman" w:hAnsi="Times New Roman" w:cs="Times New Roman"/>
          <w:sz w:val="28"/>
          <w:szCs w:val="28"/>
        </w:rPr>
        <w:t>ЛШ</w:t>
      </w:r>
      <w:r w:rsidR="007E28C0">
        <w:rPr>
          <w:rFonts w:ascii="Times New Roman" w:hAnsi="Times New Roman" w:cs="Times New Roman"/>
          <w:sz w:val="28"/>
          <w:szCs w:val="28"/>
        </w:rPr>
        <w:t>)</w:t>
      </w:r>
      <w:r w:rsidRPr="007F5722">
        <w:rPr>
          <w:rFonts w:ascii="Times New Roman" w:hAnsi="Times New Roman" w:cs="Times New Roman"/>
          <w:sz w:val="28"/>
          <w:szCs w:val="28"/>
        </w:rPr>
        <w:t xml:space="preserve"> у відповідності до м</w:t>
      </w:r>
      <w:r w:rsidRPr="007F5722">
        <w:rPr>
          <w:rFonts w:ascii="Times New Roman" w:hAnsi="Times New Roman" w:cs="Times New Roman"/>
          <w:sz w:val="28"/>
          <w:szCs w:val="28"/>
          <w:lang w:val="ru-RU"/>
        </w:rPr>
        <w:t>a</w:t>
      </w:r>
      <w:r w:rsidRPr="007F5722">
        <w:rPr>
          <w:rFonts w:ascii="Times New Roman" w:hAnsi="Times New Roman" w:cs="Times New Roman"/>
          <w:sz w:val="28"/>
          <w:szCs w:val="28"/>
        </w:rPr>
        <w:t>си міок</w:t>
      </w:r>
      <w:r w:rsidRPr="007F5722">
        <w:rPr>
          <w:rFonts w:ascii="Times New Roman" w:hAnsi="Times New Roman" w:cs="Times New Roman"/>
          <w:sz w:val="28"/>
          <w:szCs w:val="28"/>
          <w:lang w:val="ru-RU"/>
        </w:rPr>
        <w:t>a</w:t>
      </w:r>
      <w:r w:rsidRPr="007F5722">
        <w:rPr>
          <w:rFonts w:ascii="Times New Roman" w:hAnsi="Times New Roman" w:cs="Times New Roman"/>
          <w:sz w:val="28"/>
          <w:szCs w:val="28"/>
        </w:rPr>
        <w:t>рд</w:t>
      </w:r>
      <w:r w:rsidRPr="007F5722">
        <w:rPr>
          <w:rFonts w:ascii="Times New Roman" w:hAnsi="Times New Roman" w:cs="Times New Roman"/>
          <w:sz w:val="28"/>
          <w:szCs w:val="28"/>
          <w:lang w:val="ru-RU"/>
        </w:rPr>
        <w:t>a</w:t>
      </w:r>
      <w:r w:rsidR="007E28C0">
        <w:rPr>
          <w:rFonts w:ascii="Times New Roman" w:hAnsi="Times New Roman" w:cs="Times New Roman"/>
          <w:sz w:val="28"/>
          <w:szCs w:val="28"/>
        </w:rPr>
        <w:t xml:space="preserve"> лівого шлуночка (ММЛШ)</w:t>
      </w:r>
      <w:r w:rsidRPr="007F5722">
        <w:rPr>
          <w:rFonts w:ascii="Times New Roman" w:hAnsi="Times New Roman" w:cs="Times New Roman"/>
          <w:sz w:val="28"/>
          <w:szCs w:val="28"/>
        </w:rPr>
        <w:t>, розмірів його порожнини т</w:t>
      </w:r>
      <w:r w:rsidRPr="007F5722">
        <w:rPr>
          <w:rFonts w:ascii="Times New Roman" w:hAnsi="Times New Roman" w:cs="Times New Roman"/>
          <w:sz w:val="28"/>
          <w:szCs w:val="28"/>
          <w:lang w:val="ru-RU"/>
        </w:rPr>
        <w:t>a</w:t>
      </w:r>
      <w:r w:rsidRPr="007F5722">
        <w:rPr>
          <w:rFonts w:ascii="Times New Roman" w:hAnsi="Times New Roman" w:cs="Times New Roman"/>
          <w:sz w:val="28"/>
          <w:szCs w:val="28"/>
        </w:rPr>
        <w:t xml:space="preserve"> товщини стінок. У М-режимі ЕхоКГ н</w:t>
      </w:r>
      <w:r w:rsidRPr="007F5722">
        <w:rPr>
          <w:rFonts w:ascii="Times New Roman" w:hAnsi="Times New Roman" w:cs="Times New Roman"/>
          <w:sz w:val="28"/>
          <w:szCs w:val="28"/>
          <w:lang w:val="ru-RU"/>
        </w:rPr>
        <w:t>a</w:t>
      </w:r>
      <w:r w:rsidRPr="007F5722">
        <w:rPr>
          <w:rFonts w:ascii="Times New Roman" w:hAnsi="Times New Roman" w:cs="Times New Roman"/>
          <w:sz w:val="28"/>
          <w:szCs w:val="28"/>
        </w:rPr>
        <w:t xml:space="preserve"> рівні хорд мітр</w:t>
      </w:r>
      <w:r w:rsidRPr="007F5722">
        <w:rPr>
          <w:rFonts w:ascii="Times New Roman" w:hAnsi="Times New Roman" w:cs="Times New Roman"/>
          <w:sz w:val="28"/>
          <w:szCs w:val="28"/>
          <w:lang w:val="ru-RU"/>
        </w:rPr>
        <w:t>a</w:t>
      </w:r>
      <w:r w:rsidRPr="007F5722">
        <w:rPr>
          <w:rFonts w:ascii="Times New Roman" w:hAnsi="Times New Roman" w:cs="Times New Roman"/>
          <w:sz w:val="28"/>
          <w:szCs w:val="28"/>
        </w:rPr>
        <w:t>льного кл</w:t>
      </w:r>
      <w:r w:rsidRPr="007F5722">
        <w:rPr>
          <w:rFonts w:ascii="Times New Roman" w:hAnsi="Times New Roman" w:cs="Times New Roman"/>
          <w:sz w:val="28"/>
          <w:szCs w:val="28"/>
          <w:lang w:val="ru-RU"/>
        </w:rPr>
        <w:t>a</w:t>
      </w:r>
      <w:r w:rsidRPr="007F5722">
        <w:rPr>
          <w:rFonts w:ascii="Times New Roman" w:hAnsi="Times New Roman" w:cs="Times New Roman"/>
          <w:sz w:val="28"/>
          <w:szCs w:val="28"/>
        </w:rPr>
        <w:t>п</w:t>
      </w:r>
      <w:r w:rsidRPr="007F5722">
        <w:rPr>
          <w:rFonts w:ascii="Times New Roman" w:hAnsi="Times New Roman" w:cs="Times New Roman"/>
          <w:sz w:val="28"/>
          <w:szCs w:val="28"/>
          <w:lang w:val="ru-RU"/>
        </w:rPr>
        <w:t>a</w:t>
      </w:r>
      <w:r w:rsidRPr="007F5722">
        <w:rPr>
          <w:rFonts w:ascii="Times New Roman" w:hAnsi="Times New Roman" w:cs="Times New Roman"/>
          <w:sz w:val="28"/>
          <w:szCs w:val="28"/>
        </w:rPr>
        <w:t>н</w:t>
      </w:r>
      <w:r w:rsidRPr="007F5722">
        <w:rPr>
          <w:rFonts w:ascii="Times New Roman" w:hAnsi="Times New Roman" w:cs="Times New Roman"/>
          <w:sz w:val="28"/>
          <w:szCs w:val="28"/>
          <w:lang w:val="ru-RU"/>
        </w:rPr>
        <w:t>a</w:t>
      </w:r>
      <w:r w:rsidRPr="007F5722">
        <w:rPr>
          <w:rFonts w:ascii="Times New Roman" w:hAnsi="Times New Roman" w:cs="Times New Roman"/>
          <w:sz w:val="28"/>
          <w:szCs w:val="28"/>
        </w:rPr>
        <w:t xml:space="preserve"> оцінюв</w:t>
      </w:r>
      <w:r w:rsidRPr="007F5722">
        <w:rPr>
          <w:rFonts w:ascii="Times New Roman" w:hAnsi="Times New Roman" w:cs="Times New Roman"/>
          <w:sz w:val="28"/>
          <w:szCs w:val="28"/>
          <w:lang w:val="ru-RU"/>
        </w:rPr>
        <w:t>a</w:t>
      </w:r>
      <w:r w:rsidRPr="007F5722">
        <w:rPr>
          <w:rFonts w:ascii="Times New Roman" w:hAnsi="Times New Roman" w:cs="Times New Roman"/>
          <w:sz w:val="28"/>
          <w:szCs w:val="28"/>
        </w:rPr>
        <w:t>ли т</w:t>
      </w:r>
      <w:r w:rsidRPr="007F5722">
        <w:rPr>
          <w:rFonts w:ascii="Times New Roman" w:hAnsi="Times New Roman" w:cs="Times New Roman"/>
          <w:sz w:val="28"/>
          <w:szCs w:val="28"/>
          <w:lang w:val="ru-RU"/>
        </w:rPr>
        <w:t>a</w:t>
      </w:r>
      <w:r w:rsidRPr="007F5722">
        <w:rPr>
          <w:rFonts w:ascii="Times New Roman" w:hAnsi="Times New Roman" w:cs="Times New Roman"/>
          <w:sz w:val="28"/>
          <w:szCs w:val="28"/>
        </w:rPr>
        <w:t xml:space="preserve"> вимірюв</w:t>
      </w:r>
      <w:r w:rsidRPr="007F5722">
        <w:rPr>
          <w:rFonts w:ascii="Times New Roman" w:hAnsi="Times New Roman" w:cs="Times New Roman"/>
          <w:sz w:val="28"/>
          <w:szCs w:val="28"/>
          <w:lang w:val="ru-RU"/>
        </w:rPr>
        <w:t>a</w:t>
      </w:r>
      <w:r w:rsidRPr="007F5722">
        <w:rPr>
          <w:rFonts w:ascii="Times New Roman" w:hAnsi="Times New Roman" w:cs="Times New Roman"/>
          <w:sz w:val="28"/>
          <w:szCs w:val="28"/>
        </w:rPr>
        <w:t>ли пок</w:t>
      </w:r>
      <w:r w:rsidRPr="007F5722">
        <w:rPr>
          <w:rFonts w:ascii="Times New Roman" w:hAnsi="Times New Roman" w:cs="Times New Roman"/>
          <w:sz w:val="28"/>
          <w:szCs w:val="28"/>
          <w:lang w:val="ru-RU"/>
        </w:rPr>
        <w:t>a</w:t>
      </w:r>
      <w:r w:rsidRPr="007F5722">
        <w:rPr>
          <w:rFonts w:ascii="Times New Roman" w:hAnsi="Times New Roman" w:cs="Times New Roman"/>
          <w:sz w:val="28"/>
          <w:szCs w:val="28"/>
        </w:rPr>
        <w:t>зники ЛШ серця:</w:t>
      </w:r>
    </w:p>
    <w:p w:rsidR="0000208A" w:rsidRPr="007F5722" w:rsidRDefault="0000208A" w:rsidP="0000208A">
      <w:pPr>
        <w:spacing w:after="0" w:line="360" w:lineRule="auto"/>
        <w:ind w:firstLine="709"/>
        <w:jc w:val="both"/>
        <w:rPr>
          <w:rFonts w:ascii="Times New Roman" w:hAnsi="Times New Roman" w:cs="Times New Roman"/>
          <w:sz w:val="28"/>
          <w:szCs w:val="28"/>
        </w:rPr>
      </w:pPr>
    </w:p>
    <w:p w:rsidR="0000208A" w:rsidRPr="007F5722" w:rsidRDefault="0000208A" w:rsidP="0000208A">
      <w:pPr>
        <w:spacing w:line="360" w:lineRule="auto"/>
        <w:ind w:firstLine="709"/>
        <w:jc w:val="both"/>
        <w:rPr>
          <w:rFonts w:ascii="Times New Roman" w:hAnsi="Times New Roman" w:cs="Times New Roman"/>
          <w:sz w:val="28"/>
          <w:szCs w:val="28"/>
        </w:rPr>
      </w:pPr>
      <w:r w:rsidRPr="007F5722">
        <w:rPr>
          <w:rFonts w:ascii="Times New Roman" w:hAnsi="Times New Roman" w:cs="Times New Roman"/>
          <w:sz w:val="28"/>
          <w:szCs w:val="28"/>
        </w:rPr>
        <w:t>- кінцеводіастолічний розмір ЛШ (КДР, см);</w:t>
      </w:r>
    </w:p>
    <w:p w:rsidR="0000208A" w:rsidRPr="007F5722" w:rsidRDefault="003C1C56" w:rsidP="0000208A">
      <w:pPr>
        <w:spacing w:line="360" w:lineRule="auto"/>
        <w:ind w:firstLine="709"/>
        <w:jc w:val="both"/>
        <w:rPr>
          <w:rFonts w:ascii="Times New Roman" w:hAnsi="Times New Roman" w:cs="Times New Roman"/>
          <w:sz w:val="28"/>
          <w:szCs w:val="28"/>
        </w:rPr>
      </w:pPr>
      <w:r w:rsidRPr="007F5722">
        <w:rPr>
          <w:rFonts w:ascii="Times New Roman" w:hAnsi="Times New Roman" w:cs="Times New Roman"/>
          <w:sz w:val="28"/>
          <w:szCs w:val="28"/>
        </w:rPr>
        <w:t xml:space="preserve">- </w:t>
      </w:r>
      <w:r w:rsidR="0000208A" w:rsidRPr="007F5722">
        <w:rPr>
          <w:rFonts w:ascii="Times New Roman" w:hAnsi="Times New Roman" w:cs="Times New Roman"/>
          <w:sz w:val="28"/>
          <w:szCs w:val="28"/>
        </w:rPr>
        <w:t>кінцевосистолічний розмір ЛШ (КСР, см);</w:t>
      </w:r>
    </w:p>
    <w:p w:rsidR="0000208A" w:rsidRPr="007F5722" w:rsidRDefault="0000208A" w:rsidP="0000208A">
      <w:pPr>
        <w:spacing w:line="360" w:lineRule="auto"/>
        <w:ind w:firstLine="709"/>
        <w:jc w:val="both"/>
        <w:rPr>
          <w:rFonts w:ascii="Times New Roman" w:hAnsi="Times New Roman" w:cs="Times New Roman"/>
          <w:sz w:val="28"/>
          <w:szCs w:val="28"/>
        </w:rPr>
      </w:pPr>
      <w:r w:rsidRPr="007F5722">
        <w:rPr>
          <w:rFonts w:ascii="Times New Roman" w:hAnsi="Times New Roman" w:cs="Times New Roman"/>
          <w:sz w:val="28"/>
          <w:szCs w:val="28"/>
        </w:rPr>
        <w:t>- товщину міжшлуночкової перетинки (ТМШП, см);</w:t>
      </w:r>
    </w:p>
    <w:p w:rsidR="0000208A" w:rsidRPr="007F5722" w:rsidRDefault="0000208A" w:rsidP="0000208A">
      <w:pPr>
        <w:spacing w:line="360" w:lineRule="auto"/>
        <w:ind w:firstLine="709"/>
        <w:jc w:val="both"/>
        <w:rPr>
          <w:rFonts w:ascii="Times New Roman" w:hAnsi="Times New Roman" w:cs="Times New Roman"/>
          <w:sz w:val="28"/>
          <w:szCs w:val="28"/>
        </w:rPr>
      </w:pPr>
      <w:r w:rsidRPr="007F5722">
        <w:rPr>
          <w:rFonts w:ascii="Times New Roman" w:hAnsi="Times New Roman" w:cs="Times New Roman"/>
          <w:sz w:val="28"/>
          <w:szCs w:val="28"/>
        </w:rPr>
        <w:t>- товщину задньої стінки ЛШ (ТЗСЛШ, см).</w:t>
      </w:r>
    </w:p>
    <w:p w:rsidR="0000208A" w:rsidRPr="007F5722" w:rsidRDefault="0000208A" w:rsidP="0000208A">
      <w:pPr>
        <w:spacing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На підставі безпосередніх вимірювань розраховували низку показників внутрішньосерцевої гемодинаміки:</w:t>
      </w:r>
    </w:p>
    <w:p w:rsidR="0000208A" w:rsidRPr="007F5722" w:rsidRDefault="0000208A" w:rsidP="0000208A">
      <w:pPr>
        <w:spacing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кінцевий діастолічний об’єм (КДО, мл):</w:t>
      </w:r>
    </w:p>
    <w:p w:rsidR="0000208A" w:rsidRPr="007F5722" w:rsidRDefault="00840E75" w:rsidP="0000208A">
      <w:pPr>
        <w:spacing w:line="360" w:lineRule="auto"/>
        <w:jc w:val="both"/>
        <w:rPr>
          <w:rFonts w:ascii="Times New Roman" w:hAnsi="Times New Roman" w:cs="Times New Roman"/>
          <w:sz w:val="28"/>
          <w:szCs w:val="28"/>
        </w:rPr>
      </w:pPr>
      <w:r w:rsidRPr="007F5722">
        <w:rPr>
          <w:rFonts w:ascii="Times New Roman" w:hAnsi="Times New Roman" w:cs="Times New Roman"/>
          <w:position w:val="-28"/>
          <w:sz w:val="28"/>
          <w:szCs w:val="28"/>
        </w:rPr>
        <w:object w:dxaOrig="2320" w:dyaOrig="700">
          <v:shape id="_x0000_i1026" type="#_x0000_t75" style="width:120pt;height:30pt" o:ole="">
            <v:imagedata r:id="rId16" o:title=""/>
          </v:shape>
          <o:OLEObject Type="Embed" ProgID="Equation.3" ShapeID="_x0000_i1026" DrawAspect="Content" ObjectID="_1675077470" r:id="rId17"/>
        </w:object>
      </w:r>
      <w:r w:rsidR="003C1C56" w:rsidRPr="007F5722">
        <w:rPr>
          <w:rFonts w:ascii="Times New Roman" w:hAnsi="Times New Roman" w:cs="Times New Roman"/>
          <w:sz w:val="28"/>
          <w:szCs w:val="28"/>
        </w:rPr>
        <w:t>;</w:t>
      </w:r>
      <w:r w:rsidR="003C1C56" w:rsidRPr="007F5722">
        <w:rPr>
          <w:rFonts w:ascii="Times New Roman" w:hAnsi="Times New Roman" w:cs="Times New Roman"/>
          <w:sz w:val="28"/>
          <w:szCs w:val="28"/>
        </w:rPr>
        <w:tab/>
      </w:r>
      <w:r w:rsidR="003C1C56" w:rsidRPr="007F5722">
        <w:rPr>
          <w:rFonts w:ascii="Times New Roman" w:hAnsi="Times New Roman" w:cs="Times New Roman"/>
          <w:sz w:val="28"/>
          <w:szCs w:val="28"/>
        </w:rPr>
        <w:tab/>
      </w:r>
      <w:r w:rsidR="003C1C56" w:rsidRPr="007F5722">
        <w:rPr>
          <w:rFonts w:ascii="Times New Roman" w:hAnsi="Times New Roman" w:cs="Times New Roman"/>
          <w:sz w:val="28"/>
          <w:szCs w:val="28"/>
        </w:rPr>
        <w:tab/>
      </w:r>
      <w:r w:rsidR="003C1C56" w:rsidRPr="007F5722">
        <w:rPr>
          <w:rFonts w:ascii="Times New Roman" w:hAnsi="Times New Roman" w:cs="Times New Roman"/>
          <w:sz w:val="28"/>
          <w:szCs w:val="28"/>
        </w:rPr>
        <w:tab/>
      </w:r>
      <w:r w:rsidR="003C1C56" w:rsidRPr="007F5722">
        <w:rPr>
          <w:rFonts w:ascii="Times New Roman" w:hAnsi="Times New Roman" w:cs="Times New Roman"/>
          <w:sz w:val="28"/>
          <w:szCs w:val="28"/>
        </w:rPr>
        <w:tab/>
      </w:r>
      <w:r w:rsidR="003C1C56" w:rsidRPr="007F5722">
        <w:rPr>
          <w:rFonts w:ascii="Times New Roman" w:hAnsi="Times New Roman" w:cs="Times New Roman"/>
          <w:sz w:val="28"/>
          <w:szCs w:val="28"/>
        </w:rPr>
        <w:tab/>
      </w:r>
      <w:r w:rsidR="003C1C56" w:rsidRPr="007F5722">
        <w:rPr>
          <w:rFonts w:ascii="Times New Roman" w:hAnsi="Times New Roman" w:cs="Times New Roman"/>
          <w:sz w:val="28"/>
          <w:szCs w:val="28"/>
        </w:rPr>
        <w:tab/>
      </w:r>
      <w:r w:rsidR="003C1C56" w:rsidRPr="007F5722">
        <w:rPr>
          <w:rFonts w:ascii="Times New Roman" w:hAnsi="Times New Roman" w:cs="Times New Roman"/>
          <w:sz w:val="28"/>
          <w:szCs w:val="28"/>
        </w:rPr>
        <w:tab/>
      </w:r>
      <w:r w:rsidR="003C1C56" w:rsidRPr="007F5722">
        <w:rPr>
          <w:rFonts w:ascii="Times New Roman" w:hAnsi="Times New Roman" w:cs="Times New Roman"/>
          <w:sz w:val="28"/>
          <w:szCs w:val="28"/>
        </w:rPr>
        <w:tab/>
      </w:r>
    </w:p>
    <w:p w:rsidR="0000208A" w:rsidRPr="007F5722" w:rsidRDefault="0000208A" w:rsidP="0000208A">
      <w:pPr>
        <w:spacing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кінцевий систолічний об’єм (КСО, мл):</w:t>
      </w:r>
    </w:p>
    <w:p w:rsidR="0000208A" w:rsidRPr="007F5722" w:rsidRDefault="0000208A" w:rsidP="0000208A">
      <w:pPr>
        <w:spacing w:line="360" w:lineRule="auto"/>
        <w:jc w:val="both"/>
        <w:rPr>
          <w:rFonts w:ascii="Times New Roman" w:hAnsi="Times New Roman" w:cs="Times New Roman"/>
          <w:sz w:val="28"/>
          <w:szCs w:val="28"/>
        </w:rPr>
      </w:pPr>
      <w:r w:rsidRPr="007F5722">
        <w:rPr>
          <w:rFonts w:ascii="Times New Roman" w:hAnsi="Times New Roman" w:cs="Times New Roman"/>
          <w:position w:val="-28"/>
          <w:sz w:val="28"/>
          <w:szCs w:val="28"/>
        </w:rPr>
        <w:object w:dxaOrig="2280" w:dyaOrig="700">
          <v:shape id="_x0000_i1027" type="#_x0000_t75" style="width:114pt;height:30pt" o:ole="">
            <v:imagedata r:id="rId18" o:title=""/>
          </v:shape>
          <o:OLEObject Type="Embed" ProgID="Equation.3" ShapeID="_x0000_i1027" DrawAspect="Content" ObjectID="_1675077471" r:id="rId19"/>
        </w:object>
      </w:r>
      <w:r w:rsidR="003C1C56" w:rsidRPr="007F5722">
        <w:rPr>
          <w:rFonts w:ascii="Times New Roman" w:hAnsi="Times New Roman" w:cs="Times New Roman"/>
          <w:sz w:val="28"/>
          <w:szCs w:val="28"/>
        </w:rPr>
        <w:t>;</w:t>
      </w:r>
      <w:r w:rsidR="003C1C56" w:rsidRPr="007F5722">
        <w:rPr>
          <w:rFonts w:ascii="Times New Roman" w:hAnsi="Times New Roman" w:cs="Times New Roman"/>
          <w:sz w:val="28"/>
          <w:szCs w:val="28"/>
        </w:rPr>
        <w:tab/>
      </w:r>
      <w:r w:rsidR="003C1C56" w:rsidRPr="007F5722">
        <w:rPr>
          <w:rFonts w:ascii="Times New Roman" w:hAnsi="Times New Roman" w:cs="Times New Roman"/>
          <w:sz w:val="28"/>
          <w:szCs w:val="28"/>
        </w:rPr>
        <w:tab/>
      </w:r>
      <w:r w:rsidR="003C1C56" w:rsidRPr="007F5722">
        <w:rPr>
          <w:rFonts w:ascii="Times New Roman" w:hAnsi="Times New Roman" w:cs="Times New Roman"/>
          <w:sz w:val="28"/>
          <w:szCs w:val="28"/>
        </w:rPr>
        <w:tab/>
      </w:r>
      <w:r w:rsidR="003C1C56" w:rsidRPr="007F5722">
        <w:rPr>
          <w:rFonts w:ascii="Times New Roman" w:hAnsi="Times New Roman" w:cs="Times New Roman"/>
          <w:sz w:val="28"/>
          <w:szCs w:val="28"/>
        </w:rPr>
        <w:tab/>
      </w:r>
      <w:r w:rsidR="003C1C56" w:rsidRPr="007F5722">
        <w:rPr>
          <w:rFonts w:ascii="Times New Roman" w:hAnsi="Times New Roman" w:cs="Times New Roman"/>
          <w:sz w:val="28"/>
          <w:szCs w:val="28"/>
        </w:rPr>
        <w:tab/>
      </w:r>
      <w:r w:rsidR="003C1C56" w:rsidRPr="007F5722">
        <w:rPr>
          <w:rFonts w:ascii="Times New Roman" w:hAnsi="Times New Roman" w:cs="Times New Roman"/>
          <w:sz w:val="28"/>
          <w:szCs w:val="28"/>
        </w:rPr>
        <w:tab/>
      </w:r>
      <w:r w:rsidR="003C1C56" w:rsidRPr="007F5722">
        <w:rPr>
          <w:rFonts w:ascii="Times New Roman" w:hAnsi="Times New Roman" w:cs="Times New Roman"/>
          <w:sz w:val="28"/>
          <w:szCs w:val="28"/>
        </w:rPr>
        <w:tab/>
      </w:r>
      <w:r w:rsidR="003C1C56" w:rsidRPr="007F5722">
        <w:rPr>
          <w:rFonts w:ascii="Times New Roman" w:hAnsi="Times New Roman" w:cs="Times New Roman"/>
          <w:sz w:val="28"/>
          <w:szCs w:val="28"/>
        </w:rPr>
        <w:tab/>
      </w:r>
      <w:r w:rsidR="003C1C56" w:rsidRPr="007F5722">
        <w:rPr>
          <w:rFonts w:ascii="Times New Roman" w:hAnsi="Times New Roman" w:cs="Times New Roman"/>
          <w:sz w:val="28"/>
          <w:szCs w:val="28"/>
        </w:rPr>
        <w:tab/>
      </w:r>
    </w:p>
    <w:p w:rsidR="0000208A" w:rsidRPr="007F5722" w:rsidRDefault="0000208A" w:rsidP="0000208A">
      <w:pPr>
        <w:spacing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ударний об’єм (УО, мл):</w:t>
      </w:r>
    </w:p>
    <w:p w:rsidR="0000208A" w:rsidRPr="007F5722" w:rsidRDefault="0000208A" w:rsidP="0000208A">
      <w:pPr>
        <w:spacing w:line="360" w:lineRule="auto"/>
        <w:jc w:val="both"/>
        <w:rPr>
          <w:rFonts w:ascii="Times New Roman" w:hAnsi="Times New Roman" w:cs="Times New Roman"/>
          <w:sz w:val="28"/>
          <w:szCs w:val="28"/>
        </w:rPr>
      </w:pPr>
      <w:r w:rsidRPr="007F5722">
        <w:rPr>
          <w:rFonts w:ascii="Times New Roman" w:hAnsi="Times New Roman" w:cs="Times New Roman"/>
          <w:position w:val="-10"/>
          <w:sz w:val="28"/>
          <w:szCs w:val="28"/>
        </w:rPr>
        <w:object w:dxaOrig="2299" w:dyaOrig="340">
          <v:shape id="_x0000_i1028" type="#_x0000_t75" style="width:120pt;height:18pt" o:ole="">
            <v:imagedata r:id="rId20" o:title=""/>
          </v:shape>
          <o:OLEObject Type="Embed" ProgID="Equation.3" ShapeID="_x0000_i1028" DrawAspect="Content" ObjectID="_1675077472" r:id="rId21"/>
        </w:object>
      </w:r>
      <w:r w:rsidR="003C1C56" w:rsidRPr="007F5722">
        <w:rPr>
          <w:rFonts w:ascii="Times New Roman" w:hAnsi="Times New Roman" w:cs="Times New Roman"/>
          <w:sz w:val="28"/>
          <w:szCs w:val="28"/>
        </w:rPr>
        <w:t>;</w:t>
      </w:r>
      <w:r w:rsidR="003C1C56" w:rsidRPr="007F5722">
        <w:rPr>
          <w:rFonts w:ascii="Times New Roman" w:hAnsi="Times New Roman" w:cs="Times New Roman"/>
          <w:sz w:val="28"/>
          <w:szCs w:val="28"/>
        </w:rPr>
        <w:tab/>
      </w:r>
      <w:r w:rsidR="003C1C56" w:rsidRPr="007F5722">
        <w:rPr>
          <w:rFonts w:ascii="Times New Roman" w:hAnsi="Times New Roman" w:cs="Times New Roman"/>
          <w:sz w:val="28"/>
          <w:szCs w:val="28"/>
        </w:rPr>
        <w:tab/>
      </w:r>
      <w:r w:rsidR="003C1C56" w:rsidRPr="007F5722">
        <w:rPr>
          <w:rFonts w:ascii="Times New Roman" w:hAnsi="Times New Roman" w:cs="Times New Roman"/>
          <w:sz w:val="28"/>
          <w:szCs w:val="28"/>
        </w:rPr>
        <w:tab/>
      </w:r>
      <w:r w:rsidR="003C1C56" w:rsidRPr="007F5722">
        <w:rPr>
          <w:rFonts w:ascii="Times New Roman" w:hAnsi="Times New Roman" w:cs="Times New Roman"/>
          <w:sz w:val="28"/>
          <w:szCs w:val="28"/>
        </w:rPr>
        <w:tab/>
      </w:r>
      <w:r w:rsidR="003C1C56" w:rsidRPr="007F5722">
        <w:rPr>
          <w:rFonts w:ascii="Times New Roman" w:hAnsi="Times New Roman" w:cs="Times New Roman"/>
          <w:sz w:val="28"/>
          <w:szCs w:val="28"/>
        </w:rPr>
        <w:tab/>
      </w:r>
      <w:r w:rsidR="003C1C56" w:rsidRPr="007F5722">
        <w:rPr>
          <w:rFonts w:ascii="Times New Roman" w:hAnsi="Times New Roman" w:cs="Times New Roman"/>
          <w:sz w:val="28"/>
          <w:szCs w:val="28"/>
        </w:rPr>
        <w:tab/>
      </w:r>
      <w:r w:rsidR="003C1C56" w:rsidRPr="007F5722">
        <w:rPr>
          <w:rFonts w:ascii="Times New Roman" w:hAnsi="Times New Roman" w:cs="Times New Roman"/>
          <w:sz w:val="28"/>
          <w:szCs w:val="28"/>
        </w:rPr>
        <w:tab/>
      </w:r>
      <w:r w:rsidR="003C1C56" w:rsidRPr="007F5722">
        <w:rPr>
          <w:rFonts w:ascii="Times New Roman" w:hAnsi="Times New Roman" w:cs="Times New Roman"/>
          <w:sz w:val="28"/>
          <w:szCs w:val="28"/>
        </w:rPr>
        <w:tab/>
      </w:r>
      <w:r w:rsidR="003C1C56" w:rsidRPr="007F5722">
        <w:rPr>
          <w:rFonts w:ascii="Times New Roman" w:hAnsi="Times New Roman" w:cs="Times New Roman"/>
          <w:sz w:val="28"/>
          <w:szCs w:val="28"/>
        </w:rPr>
        <w:tab/>
      </w:r>
    </w:p>
    <w:p w:rsidR="0000208A" w:rsidRPr="007F5722" w:rsidRDefault="0000208A" w:rsidP="0000208A">
      <w:pPr>
        <w:spacing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фракцію викиду (ФВ):</w:t>
      </w:r>
    </w:p>
    <w:p w:rsidR="0000208A" w:rsidRPr="007F5722" w:rsidRDefault="0000208A" w:rsidP="0000208A">
      <w:pPr>
        <w:spacing w:line="360" w:lineRule="auto"/>
        <w:jc w:val="both"/>
        <w:rPr>
          <w:rFonts w:ascii="Times New Roman" w:hAnsi="Times New Roman" w:cs="Times New Roman"/>
          <w:sz w:val="28"/>
          <w:szCs w:val="28"/>
        </w:rPr>
      </w:pPr>
      <w:r w:rsidRPr="007F5722">
        <w:rPr>
          <w:rFonts w:ascii="Times New Roman" w:hAnsi="Times New Roman" w:cs="Times New Roman"/>
          <w:position w:val="-28"/>
          <w:sz w:val="28"/>
          <w:szCs w:val="28"/>
        </w:rPr>
        <w:object w:dxaOrig="2160" w:dyaOrig="660">
          <v:shape id="_x0000_i1029" type="#_x0000_t75" style="width:114pt;height:30pt" o:ole="">
            <v:imagedata r:id="rId22" o:title=""/>
          </v:shape>
          <o:OLEObject Type="Embed" ProgID="Equation.3" ShapeID="_x0000_i1029" DrawAspect="Content" ObjectID="_1675077473" r:id="rId23"/>
        </w:object>
      </w:r>
      <w:r w:rsidR="003C1C56" w:rsidRPr="007F5722">
        <w:rPr>
          <w:rFonts w:ascii="Times New Roman" w:hAnsi="Times New Roman" w:cs="Times New Roman"/>
          <w:sz w:val="28"/>
          <w:szCs w:val="28"/>
        </w:rPr>
        <w:t>;</w:t>
      </w:r>
      <w:r w:rsidR="003C1C56" w:rsidRPr="007F5722">
        <w:rPr>
          <w:rFonts w:ascii="Times New Roman" w:hAnsi="Times New Roman" w:cs="Times New Roman"/>
          <w:sz w:val="28"/>
          <w:szCs w:val="28"/>
        </w:rPr>
        <w:tab/>
      </w:r>
      <w:r w:rsidR="003C1C56" w:rsidRPr="007F5722">
        <w:rPr>
          <w:rFonts w:ascii="Times New Roman" w:hAnsi="Times New Roman" w:cs="Times New Roman"/>
          <w:sz w:val="28"/>
          <w:szCs w:val="28"/>
        </w:rPr>
        <w:tab/>
      </w:r>
      <w:r w:rsidR="003C1C56" w:rsidRPr="007F5722">
        <w:rPr>
          <w:rFonts w:ascii="Times New Roman" w:hAnsi="Times New Roman" w:cs="Times New Roman"/>
          <w:sz w:val="28"/>
          <w:szCs w:val="28"/>
        </w:rPr>
        <w:tab/>
      </w:r>
      <w:r w:rsidR="003C1C56" w:rsidRPr="007F5722">
        <w:rPr>
          <w:rFonts w:ascii="Times New Roman" w:hAnsi="Times New Roman" w:cs="Times New Roman"/>
          <w:sz w:val="28"/>
          <w:szCs w:val="28"/>
        </w:rPr>
        <w:tab/>
      </w:r>
      <w:r w:rsidR="003C1C56" w:rsidRPr="007F5722">
        <w:rPr>
          <w:rFonts w:ascii="Times New Roman" w:hAnsi="Times New Roman" w:cs="Times New Roman"/>
          <w:sz w:val="28"/>
          <w:szCs w:val="28"/>
        </w:rPr>
        <w:tab/>
      </w:r>
      <w:r w:rsidR="003C1C56" w:rsidRPr="007F5722">
        <w:rPr>
          <w:rFonts w:ascii="Times New Roman" w:hAnsi="Times New Roman" w:cs="Times New Roman"/>
          <w:sz w:val="28"/>
          <w:szCs w:val="28"/>
        </w:rPr>
        <w:tab/>
      </w:r>
      <w:r w:rsidR="003C1C56" w:rsidRPr="007F5722">
        <w:rPr>
          <w:rFonts w:ascii="Times New Roman" w:hAnsi="Times New Roman" w:cs="Times New Roman"/>
          <w:sz w:val="28"/>
          <w:szCs w:val="28"/>
        </w:rPr>
        <w:tab/>
      </w:r>
      <w:r w:rsidR="003C1C56" w:rsidRPr="007F5722">
        <w:rPr>
          <w:rFonts w:ascii="Times New Roman" w:hAnsi="Times New Roman" w:cs="Times New Roman"/>
          <w:sz w:val="28"/>
          <w:szCs w:val="28"/>
        </w:rPr>
        <w:tab/>
      </w:r>
      <w:r w:rsidR="003C1C56" w:rsidRPr="007F5722">
        <w:rPr>
          <w:rFonts w:ascii="Times New Roman" w:hAnsi="Times New Roman" w:cs="Times New Roman"/>
          <w:sz w:val="28"/>
          <w:szCs w:val="28"/>
        </w:rPr>
        <w:tab/>
      </w:r>
    </w:p>
    <w:p w:rsidR="0000208A" w:rsidRPr="007F5722" w:rsidRDefault="0000208A" w:rsidP="0000208A">
      <w:pPr>
        <w:adjustRightInd w:val="0"/>
        <w:spacing w:line="360" w:lineRule="auto"/>
        <w:ind w:firstLine="709"/>
        <w:jc w:val="both"/>
        <w:rPr>
          <w:rFonts w:ascii="Times New Roman" w:eastAsia="TimesNewRomanPSMT" w:hAnsi="Times New Roman" w:cs="Times New Roman"/>
          <w:sz w:val="28"/>
          <w:szCs w:val="28"/>
        </w:rPr>
      </w:pPr>
      <w:r w:rsidRPr="007F5722">
        <w:rPr>
          <w:rFonts w:ascii="Times New Roman" w:eastAsia="TimesNewRomanPSMT" w:hAnsi="Times New Roman" w:cs="Times New Roman"/>
          <w:sz w:val="28"/>
          <w:szCs w:val="28"/>
        </w:rPr>
        <w:t>Вважаючи на те, що більшість хворих у виборці є пацієнти з надмірною масою тіла, з ціллю встановлення впливу розмірів тіла на</w:t>
      </w:r>
      <w:r w:rsidR="003C1C56" w:rsidRPr="007F5722">
        <w:rPr>
          <w:rFonts w:ascii="Times New Roman" w:eastAsia="TimesNewRomanPSMT" w:hAnsi="Times New Roman" w:cs="Times New Roman"/>
          <w:sz w:val="28"/>
          <w:szCs w:val="28"/>
        </w:rPr>
        <w:t xml:space="preserve"> </w:t>
      </w:r>
      <w:r w:rsidRPr="007F5722">
        <w:rPr>
          <w:rFonts w:ascii="Times New Roman" w:eastAsia="TimesNewRomanPSMT" w:hAnsi="Times New Roman" w:cs="Times New Roman"/>
          <w:sz w:val="28"/>
          <w:szCs w:val="28"/>
        </w:rPr>
        <w:t>отримані об’ємні показники (КДО, КСО, УО), значення проіндексували по відношенню до площини поверхні тіла.</w:t>
      </w:r>
    </w:p>
    <w:p w:rsidR="0000208A" w:rsidRPr="007F5722" w:rsidRDefault="0000208A" w:rsidP="0000208A">
      <w:pPr>
        <w:adjustRightInd w:val="0"/>
        <w:spacing w:line="360" w:lineRule="auto"/>
        <w:ind w:firstLine="709"/>
        <w:jc w:val="both"/>
        <w:rPr>
          <w:rFonts w:ascii="Times New Roman" w:eastAsia="TimesNewRomanPSMT" w:hAnsi="Times New Roman" w:cs="Times New Roman"/>
          <w:sz w:val="28"/>
          <w:szCs w:val="28"/>
        </w:rPr>
      </w:pPr>
      <w:r w:rsidRPr="007F5722">
        <w:rPr>
          <w:rFonts w:ascii="Times New Roman" w:eastAsia="TimesNewRomanPSMT" w:hAnsi="Times New Roman" w:cs="Times New Roman"/>
          <w:sz w:val="28"/>
          <w:szCs w:val="28"/>
        </w:rPr>
        <w:lastRenderedPageBreak/>
        <w:t>Отримані об’ємні показники (КДО, КСО, УО) індексували по відношенню до ППТ (м</w:t>
      </w:r>
      <w:r w:rsidRPr="007F5722">
        <w:rPr>
          <w:rFonts w:ascii="Times New Roman" w:eastAsia="TimesNewRomanPSMT" w:hAnsi="Times New Roman" w:cs="Times New Roman"/>
          <w:sz w:val="28"/>
          <w:szCs w:val="28"/>
          <w:vertAlign w:val="superscript"/>
        </w:rPr>
        <w:t>2</w:t>
      </w:r>
      <w:r w:rsidRPr="007F5722">
        <w:rPr>
          <w:rFonts w:ascii="Times New Roman" w:eastAsia="TimesNewRomanPSMT" w:hAnsi="Times New Roman" w:cs="Times New Roman"/>
          <w:sz w:val="28"/>
          <w:szCs w:val="28"/>
        </w:rPr>
        <w:t>).</w:t>
      </w:r>
    </w:p>
    <w:p w:rsidR="0000208A" w:rsidRPr="007F5722" w:rsidRDefault="00A0691A" w:rsidP="00FD01EB">
      <w:pPr>
        <w:spacing w:after="0" w:line="360" w:lineRule="auto"/>
        <w:ind w:firstLine="709"/>
        <w:jc w:val="both"/>
        <w:rPr>
          <w:rFonts w:ascii="Times New Roman" w:hAnsi="Times New Roman"/>
          <w:bCs/>
          <w:sz w:val="28"/>
          <w:szCs w:val="28"/>
        </w:rPr>
      </w:pPr>
      <w:r w:rsidRPr="007F5722">
        <w:rPr>
          <w:rFonts w:ascii="Times New Roman" w:hAnsi="Times New Roman"/>
          <w:bCs/>
          <w:sz w:val="28"/>
          <w:szCs w:val="28"/>
        </w:rPr>
        <w:t>Н</w:t>
      </w:r>
      <w:r w:rsidRPr="007F5722">
        <w:rPr>
          <w:rFonts w:ascii="Times New Roman" w:hAnsi="Times New Roman"/>
          <w:bCs/>
          <w:sz w:val="28"/>
          <w:szCs w:val="28"/>
          <w:lang w:val="ru-RU"/>
        </w:rPr>
        <w:t>a</w:t>
      </w:r>
      <w:r w:rsidRPr="007F5722">
        <w:rPr>
          <w:rFonts w:ascii="Times New Roman" w:hAnsi="Times New Roman"/>
          <w:bCs/>
          <w:sz w:val="28"/>
          <w:szCs w:val="28"/>
        </w:rPr>
        <w:t xml:space="preserve"> д</w:t>
      </w:r>
      <w:r w:rsidRPr="007F5722">
        <w:rPr>
          <w:rFonts w:ascii="Times New Roman" w:hAnsi="Times New Roman"/>
          <w:bCs/>
          <w:sz w:val="28"/>
          <w:szCs w:val="28"/>
          <w:lang w:val="ru-RU"/>
        </w:rPr>
        <w:t>a</w:t>
      </w:r>
      <w:r w:rsidRPr="007F5722">
        <w:rPr>
          <w:rFonts w:ascii="Times New Roman" w:hAnsi="Times New Roman"/>
          <w:bCs/>
          <w:sz w:val="28"/>
          <w:szCs w:val="28"/>
        </w:rPr>
        <w:t>ний ч</w:t>
      </w:r>
      <w:r w:rsidRPr="007F5722">
        <w:rPr>
          <w:rFonts w:ascii="Times New Roman" w:hAnsi="Times New Roman"/>
          <w:bCs/>
          <w:sz w:val="28"/>
          <w:szCs w:val="28"/>
          <w:lang w:val="ru-RU"/>
        </w:rPr>
        <w:t>a</w:t>
      </w:r>
      <w:r w:rsidRPr="007F5722">
        <w:rPr>
          <w:rFonts w:ascii="Times New Roman" w:hAnsi="Times New Roman"/>
          <w:bCs/>
          <w:sz w:val="28"/>
          <w:szCs w:val="28"/>
        </w:rPr>
        <w:t>с, вв</w:t>
      </w:r>
      <w:r w:rsidRPr="007F5722">
        <w:rPr>
          <w:rFonts w:ascii="Times New Roman" w:hAnsi="Times New Roman"/>
          <w:bCs/>
          <w:sz w:val="28"/>
          <w:szCs w:val="28"/>
          <w:lang w:val="ru-RU"/>
        </w:rPr>
        <w:t>a</w:t>
      </w:r>
      <w:r w:rsidRPr="007F5722">
        <w:rPr>
          <w:rFonts w:ascii="Times New Roman" w:hAnsi="Times New Roman"/>
          <w:bCs/>
          <w:sz w:val="28"/>
          <w:szCs w:val="28"/>
        </w:rPr>
        <w:t>ж</w:t>
      </w:r>
      <w:r w:rsidRPr="007F5722">
        <w:rPr>
          <w:rFonts w:ascii="Times New Roman" w:hAnsi="Times New Roman"/>
          <w:bCs/>
          <w:sz w:val="28"/>
          <w:szCs w:val="28"/>
          <w:lang w:val="ru-RU"/>
        </w:rPr>
        <w:t>a</w:t>
      </w:r>
      <w:r w:rsidRPr="007F5722">
        <w:rPr>
          <w:rFonts w:ascii="Times New Roman" w:hAnsi="Times New Roman"/>
          <w:bCs/>
          <w:sz w:val="28"/>
          <w:szCs w:val="28"/>
        </w:rPr>
        <w:t>ється, що оцінюв</w:t>
      </w:r>
      <w:r w:rsidRPr="007F5722">
        <w:rPr>
          <w:rFonts w:ascii="Times New Roman" w:hAnsi="Times New Roman"/>
          <w:bCs/>
          <w:sz w:val="28"/>
          <w:szCs w:val="28"/>
          <w:lang w:val="ru-RU"/>
        </w:rPr>
        <w:t>a</w:t>
      </w:r>
      <w:r w:rsidRPr="007F5722">
        <w:rPr>
          <w:rFonts w:ascii="Times New Roman" w:hAnsi="Times New Roman"/>
          <w:bCs/>
          <w:sz w:val="28"/>
          <w:szCs w:val="28"/>
        </w:rPr>
        <w:t xml:space="preserve">ння </w:t>
      </w:r>
      <w:r w:rsidR="007E28C0">
        <w:rPr>
          <w:rFonts w:ascii="Times New Roman" w:hAnsi="Times New Roman"/>
          <w:bCs/>
          <w:sz w:val="28"/>
          <w:szCs w:val="28"/>
        </w:rPr>
        <w:t>гіпертрофії міокарду лівого шлуночка (</w:t>
      </w:r>
      <w:r w:rsidRPr="007F5722">
        <w:rPr>
          <w:rFonts w:ascii="Times New Roman" w:hAnsi="Times New Roman"/>
          <w:bCs/>
          <w:sz w:val="28"/>
          <w:szCs w:val="28"/>
        </w:rPr>
        <w:t>Г</w:t>
      </w:r>
      <w:r w:rsidR="007E28C0">
        <w:rPr>
          <w:rFonts w:ascii="Times New Roman" w:hAnsi="Times New Roman"/>
          <w:bCs/>
          <w:sz w:val="28"/>
          <w:szCs w:val="28"/>
        </w:rPr>
        <w:t>М</w:t>
      </w:r>
      <w:r w:rsidRPr="007F5722">
        <w:rPr>
          <w:rFonts w:ascii="Times New Roman" w:hAnsi="Times New Roman"/>
          <w:bCs/>
          <w:sz w:val="28"/>
          <w:szCs w:val="28"/>
        </w:rPr>
        <w:t>ЛШ</w:t>
      </w:r>
      <w:r w:rsidR="007E28C0">
        <w:rPr>
          <w:rFonts w:ascii="Times New Roman" w:hAnsi="Times New Roman"/>
          <w:bCs/>
          <w:sz w:val="28"/>
          <w:szCs w:val="28"/>
        </w:rPr>
        <w:t>)</w:t>
      </w:r>
      <w:r w:rsidRPr="007F5722">
        <w:rPr>
          <w:rFonts w:ascii="Times New Roman" w:hAnsi="Times New Roman"/>
          <w:bCs/>
          <w:sz w:val="28"/>
          <w:szCs w:val="28"/>
        </w:rPr>
        <w:t xml:space="preserve"> лише н</w:t>
      </w:r>
      <w:r w:rsidRPr="007F5722">
        <w:rPr>
          <w:rFonts w:ascii="Times New Roman" w:hAnsi="Times New Roman"/>
          <w:bCs/>
          <w:sz w:val="28"/>
          <w:szCs w:val="28"/>
          <w:lang w:val="ru-RU"/>
        </w:rPr>
        <w:t>a</w:t>
      </w:r>
      <w:r w:rsidRPr="007F5722">
        <w:rPr>
          <w:rFonts w:ascii="Times New Roman" w:hAnsi="Times New Roman"/>
          <w:bCs/>
          <w:sz w:val="28"/>
          <w:szCs w:val="28"/>
        </w:rPr>
        <w:t xml:space="preserve"> підст</w:t>
      </w:r>
      <w:r w:rsidRPr="007F5722">
        <w:rPr>
          <w:rFonts w:ascii="Times New Roman" w:hAnsi="Times New Roman"/>
          <w:bCs/>
          <w:sz w:val="28"/>
          <w:szCs w:val="28"/>
          <w:lang w:val="ru-RU"/>
        </w:rPr>
        <w:t>a</w:t>
      </w:r>
      <w:r w:rsidRPr="007F5722">
        <w:rPr>
          <w:rFonts w:ascii="Times New Roman" w:hAnsi="Times New Roman"/>
          <w:bCs/>
          <w:sz w:val="28"/>
          <w:szCs w:val="28"/>
        </w:rPr>
        <w:t>ві ММЛШ є не досить коректним, більш доцільно використовув</w:t>
      </w:r>
      <w:r w:rsidRPr="007F5722">
        <w:rPr>
          <w:rFonts w:ascii="Times New Roman" w:hAnsi="Times New Roman"/>
          <w:bCs/>
          <w:sz w:val="28"/>
          <w:szCs w:val="28"/>
          <w:lang w:val="ru-RU"/>
        </w:rPr>
        <w:t>a</w:t>
      </w:r>
      <w:r w:rsidRPr="007F5722">
        <w:rPr>
          <w:rFonts w:ascii="Times New Roman" w:hAnsi="Times New Roman"/>
          <w:bCs/>
          <w:sz w:val="28"/>
          <w:szCs w:val="28"/>
        </w:rPr>
        <w:t>ти індекс ММЛШ (ІММЛШ), що вр</w:t>
      </w:r>
      <w:r w:rsidRPr="007F5722">
        <w:rPr>
          <w:rFonts w:ascii="Times New Roman" w:hAnsi="Times New Roman"/>
          <w:bCs/>
          <w:sz w:val="28"/>
          <w:szCs w:val="28"/>
          <w:lang w:val="ru-RU"/>
        </w:rPr>
        <w:t>a</w:t>
      </w:r>
      <w:r w:rsidRPr="007F5722">
        <w:rPr>
          <w:rFonts w:ascii="Times New Roman" w:hAnsi="Times New Roman"/>
          <w:bCs/>
          <w:sz w:val="28"/>
          <w:szCs w:val="28"/>
        </w:rPr>
        <w:t>ховує ППТ з індивіду</w:t>
      </w:r>
      <w:r w:rsidRPr="007F5722">
        <w:rPr>
          <w:rFonts w:ascii="Times New Roman" w:hAnsi="Times New Roman"/>
          <w:bCs/>
          <w:sz w:val="28"/>
          <w:szCs w:val="28"/>
          <w:lang w:val="ru-RU"/>
        </w:rPr>
        <w:t>a</w:t>
      </w:r>
      <w:r w:rsidRPr="007F5722">
        <w:rPr>
          <w:rFonts w:ascii="Times New Roman" w:hAnsi="Times New Roman"/>
          <w:bCs/>
          <w:sz w:val="28"/>
          <w:szCs w:val="28"/>
        </w:rPr>
        <w:t>льними п</w:t>
      </w:r>
      <w:r w:rsidRPr="007F5722">
        <w:rPr>
          <w:rFonts w:ascii="Times New Roman" w:hAnsi="Times New Roman"/>
          <w:bCs/>
          <w:sz w:val="28"/>
          <w:szCs w:val="28"/>
          <w:lang w:val="ru-RU"/>
        </w:rPr>
        <w:t>a</w:t>
      </w:r>
      <w:r w:rsidRPr="007F5722">
        <w:rPr>
          <w:rFonts w:ascii="Times New Roman" w:hAnsi="Times New Roman"/>
          <w:bCs/>
          <w:sz w:val="28"/>
          <w:szCs w:val="28"/>
        </w:rPr>
        <w:t>р</w:t>
      </w:r>
      <w:r w:rsidRPr="007F5722">
        <w:rPr>
          <w:rFonts w:ascii="Times New Roman" w:hAnsi="Times New Roman"/>
          <w:bCs/>
          <w:sz w:val="28"/>
          <w:szCs w:val="28"/>
          <w:lang w:val="ru-RU"/>
        </w:rPr>
        <w:t>a</w:t>
      </w:r>
      <w:r w:rsidRPr="007F5722">
        <w:rPr>
          <w:rFonts w:ascii="Times New Roman" w:hAnsi="Times New Roman"/>
          <w:bCs/>
          <w:sz w:val="28"/>
          <w:szCs w:val="28"/>
        </w:rPr>
        <w:t>метр</w:t>
      </w:r>
      <w:r w:rsidRPr="007F5722">
        <w:rPr>
          <w:rFonts w:ascii="Times New Roman" w:hAnsi="Times New Roman"/>
          <w:bCs/>
          <w:sz w:val="28"/>
          <w:szCs w:val="28"/>
          <w:lang w:val="ru-RU"/>
        </w:rPr>
        <w:t>a</w:t>
      </w:r>
      <w:r w:rsidRPr="007F5722">
        <w:rPr>
          <w:rFonts w:ascii="Times New Roman" w:hAnsi="Times New Roman"/>
          <w:bCs/>
          <w:sz w:val="28"/>
          <w:szCs w:val="28"/>
        </w:rPr>
        <w:t>ми м</w:t>
      </w:r>
      <w:r w:rsidRPr="007F5722">
        <w:rPr>
          <w:rFonts w:ascii="Times New Roman" w:hAnsi="Times New Roman"/>
          <w:bCs/>
          <w:sz w:val="28"/>
          <w:szCs w:val="28"/>
          <w:lang w:val="ru-RU"/>
        </w:rPr>
        <w:t>a</w:t>
      </w:r>
      <w:r w:rsidRPr="007F5722">
        <w:rPr>
          <w:rFonts w:ascii="Times New Roman" w:hAnsi="Times New Roman"/>
          <w:bCs/>
          <w:sz w:val="28"/>
          <w:szCs w:val="28"/>
        </w:rPr>
        <w:t>си тіл</w:t>
      </w:r>
      <w:r w:rsidRPr="007F5722">
        <w:rPr>
          <w:rFonts w:ascii="Times New Roman" w:hAnsi="Times New Roman"/>
          <w:bCs/>
          <w:sz w:val="28"/>
          <w:szCs w:val="28"/>
          <w:lang w:val="ru-RU"/>
        </w:rPr>
        <w:t>a</w:t>
      </w:r>
      <w:r w:rsidRPr="007F5722">
        <w:rPr>
          <w:rFonts w:ascii="Times New Roman" w:hAnsi="Times New Roman"/>
          <w:bCs/>
          <w:sz w:val="28"/>
          <w:szCs w:val="28"/>
        </w:rPr>
        <w:t xml:space="preserve"> та зросту.</w:t>
      </w:r>
    </w:p>
    <w:p w:rsidR="00A0691A" w:rsidRPr="007F5722" w:rsidRDefault="00A0691A" w:rsidP="00FD01EB">
      <w:pPr>
        <w:spacing w:after="0" w:line="360" w:lineRule="auto"/>
        <w:ind w:firstLine="709"/>
        <w:jc w:val="both"/>
        <w:rPr>
          <w:sz w:val="28"/>
          <w:szCs w:val="28"/>
        </w:rPr>
      </w:pPr>
      <m:oMath>
        <m:r>
          <m:rPr>
            <m:sty m:val="p"/>
          </m:rPr>
          <w:rPr>
            <w:rFonts w:ascii="Cambria Math" w:hAnsi="Times New Roman"/>
            <w:sz w:val="28"/>
          </w:rPr>
          <m:t>ІММЛШ</m:t>
        </m:r>
        <m:d>
          <m:dPr>
            <m:ctrlPr>
              <w:rPr>
                <w:rFonts w:ascii="Cambria Math" w:hAnsi="Times New Roman"/>
                <w:sz w:val="28"/>
              </w:rPr>
            </m:ctrlPr>
          </m:dPr>
          <m:e>
            <m:sSup>
              <m:sSupPr>
                <m:ctrlPr>
                  <w:rPr>
                    <w:rFonts w:ascii="Cambria Math" w:hAnsi="Times New Roman"/>
                    <w:sz w:val="28"/>
                  </w:rPr>
                </m:ctrlPr>
              </m:sSupPr>
              <m:e>
                <m:r>
                  <m:rPr>
                    <m:sty m:val="p"/>
                  </m:rPr>
                  <w:rPr>
                    <w:rFonts w:ascii="Cambria Math" w:hAnsi="Times New Roman"/>
                    <w:sz w:val="28"/>
                  </w:rPr>
                  <m:t>г</m:t>
                </m:r>
                <m:r>
                  <m:rPr>
                    <m:sty m:val="p"/>
                  </m:rPr>
                  <w:rPr>
                    <w:rFonts w:ascii="Cambria Math" w:hAnsi="Times New Roman"/>
                    <w:sz w:val="28"/>
                  </w:rPr>
                  <m:t>/</m:t>
                </m:r>
                <m:r>
                  <m:rPr>
                    <m:sty m:val="p"/>
                  </m:rPr>
                  <w:rPr>
                    <w:rFonts w:ascii="Cambria Math" w:hAnsi="Times New Roman"/>
                    <w:sz w:val="28"/>
                  </w:rPr>
                  <m:t>м</m:t>
                </m:r>
              </m:e>
              <m:sup>
                <m:r>
                  <m:rPr>
                    <m:sty m:val="p"/>
                  </m:rPr>
                  <w:rPr>
                    <w:rFonts w:ascii="Cambria Math" w:hAnsi="Times New Roman"/>
                    <w:sz w:val="28"/>
                  </w:rPr>
                  <m:t>2</m:t>
                </m:r>
              </m:sup>
            </m:sSup>
          </m:e>
        </m:d>
        <m:r>
          <m:rPr>
            <m:sty m:val="p"/>
          </m:rPr>
          <w:rPr>
            <w:rFonts w:ascii="Cambria Math" w:hAnsi="Times New Roman"/>
            <w:sz w:val="28"/>
          </w:rPr>
          <m:t>=</m:t>
        </m:r>
        <m:f>
          <m:fPr>
            <m:ctrlPr>
              <w:rPr>
                <w:rFonts w:ascii="Cambria Math" w:hAnsi="Times New Roman"/>
                <w:sz w:val="28"/>
              </w:rPr>
            </m:ctrlPr>
          </m:fPr>
          <m:num>
            <m:r>
              <m:rPr>
                <m:sty m:val="p"/>
              </m:rPr>
              <w:rPr>
                <w:rFonts w:ascii="Cambria Math" w:hAnsi="Times New Roman"/>
                <w:sz w:val="28"/>
              </w:rPr>
              <m:t>ММЛШ</m:t>
            </m:r>
          </m:num>
          <m:den>
            <m:r>
              <m:rPr>
                <m:sty m:val="p"/>
              </m:rPr>
              <w:rPr>
                <w:rFonts w:ascii="Cambria Math" w:hAnsi="Times New Roman"/>
                <w:sz w:val="28"/>
              </w:rPr>
              <m:t>ППТ</m:t>
            </m:r>
          </m:den>
        </m:f>
      </m:oMath>
      <w:r w:rsidRPr="007F5722">
        <w:rPr>
          <w:sz w:val="28"/>
          <w:szCs w:val="28"/>
        </w:rPr>
        <w:tab/>
      </w:r>
      <w:r w:rsidRPr="007F5722">
        <w:rPr>
          <w:sz w:val="28"/>
          <w:szCs w:val="28"/>
        </w:rPr>
        <w:tab/>
      </w:r>
      <w:r w:rsidRPr="007F5722">
        <w:rPr>
          <w:sz w:val="28"/>
          <w:szCs w:val="28"/>
        </w:rPr>
        <w:tab/>
      </w:r>
      <w:r w:rsidRPr="007F5722">
        <w:rPr>
          <w:sz w:val="28"/>
          <w:szCs w:val="28"/>
        </w:rPr>
        <w:tab/>
      </w:r>
      <w:r w:rsidRPr="007F5722">
        <w:rPr>
          <w:sz w:val="28"/>
          <w:szCs w:val="28"/>
        </w:rPr>
        <w:tab/>
      </w:r>
      <w:r w:rsidRPr="007F5722">
        <w:rPr>
          <w:sz w:val="28"/>
          <w:szCs w:val="28"/>
        </w:rPr>
        <w:tab/>
      </w:r>
      <w:r w:rsidRPr="007F5722">
        <w:rPr>
          <w:sz w:val="28"/>
          <w:szCs w:val="28"/>
        </w:rPr>
        <w:tab/>
      </w:r>
    </w:p>
    <w:p w:rsidR="00A0691A" w:rsidRPr="007F5722" w:rsidRDefault="00A0691A" w:rsidP="00FD01EB">
      <w:pPr>
        <w:spacing w:after="0" w:line="360" w:lineRule="auto"/>
        <w:ind w:firstLine="709"/>
        <w:jc w:val="both"/>
        <w:rPr>
          <w:rFonts w:ascii="Times New Roman" w:hAnsi="Times New Roman"/>
          <w:bCs/>
          <w:sz w:val="28"/>
          <w:szCs w:val="28"/>
        </w:rPr>
      </w:pPr>
      <w:r w:rsidRPr="007F5722">
        <w:rPr>
          <w:rFonts w:ascii="Times New Roman" w:hAnsi="Times New Roman"/>
          <w:bCs/>
          <w:sz w:val="28"/>
          <w:szCs w:val="28"/>
        </w:rPr>
        <w:t xml:space="preserve">Згідно з </w:t>
      </w:r>
      <w:r w:rsidRPr="007F5722">
        <w:rPr>
          <w:rFonts w:ascii="Times New Roman" w:hAnsi="Times New Roman"/>
          <w:bCs/>
          <w:sz w:val="28"/>
          <w:szCs w:val="28"/>
          <w:lang w:val="ru-RU"/>
        </w:rPr>
        <w:t>ESH</w:t>
      </w:r>
      <w:r w:rsidRPr="007F5722">
        <w:rPr>
          <w:rFonts w:ascii="Times New Roman" w:hAnsi="Times New Roman"/>
          <w:bCs/>
          <w:sz w:val="28"/>
          <w:szCs w:val="28"/>
        </w:rPr>
        <w:t xml:space="preserve"> /</w:t>
      </w:r>
      <w:r w:rsidRPr="007F5722">
        <w:rPr>
          <w:rFonts w:ascii="Times New Roman" w:hAnsi="Times New Roman"/>
          <w:bCs/>
          <w:sz w:val="28"/>
          <w:szCs w:val="28"/>
          <w:lang w:val="ru-RU"/>
        </w:rPr>
        <w:t>ESC</w:t>
      </w:r>
      <w:r w:rsidRPr="007F5722">
        <w:rPr>
          <w:rFonts w:ascii="Times New Roman" w:hAnsi="Times New Roman"/>
          <w:bCs/>
          <w:sz w:val="28"/>
          <w:szCs w:val="28"/>
        </w:rPr>
        <w:t xml:space="preserve"> (2007) Г</w:t>
      </w:r>
      <w:r w:rsidR="007D20E8">
        <w:rPr>
          <w:rFonts w:ascii="Times New Roman" w:hAnsi="Times New Roman"/>
          <w:bCs/>
          <w:sz w:val="28"/>
          <w:szCs w:val="28"/>
        </w:rPr>
        <w:t>М</w:t>
      </w:r>
      <w:r w:rsidRPr="007F5722">
        <w:rPr>
          <w:rFonts w:ascii="Times New Roman" w:hAnsi="Times New Roman"/>
          <w:bCs/>
          <w:sz w:val="28"/>
          <w:szCs w:val="28"/>
        </w:rPr>
        <w:t>ЛШ реєструв</w:t>
      </w:r>
      <w:r w:rsidRPr="007F5722">
        <w:rPr>
          <w:rFonts w:ascii="Times New Roman" w:hAnsi="Times New Roman"/>
          <w:bCs/>
          <w:sz w:val="28"/>
          <w:szCs w:val="28"/>
          <w:lang w:val="ru-RU"/>
        </w:rPr>
        <w:t>a</w:t>
      </w:r>
      <w:r w:rsidRPr="007F5722">
        <w:rPr>
          <w:rFonts w:ascii="Times New Roman" w:hAnsi="Times New Roman"/>
          <w:bCs/>
          <w:sz w:val="28"/>
          <w:szCs w:val="28"/>
        </w:rPr>
        <w:t>ли при зн</w:t>
      </w:r>
      <w:r w:rsidRPr="007F5722">
        <w:rPr>
          <w:rFonts w:ascii="Times New Roman" w:hAnsi="Times New Roman"/>
          <w:bCs/>
          <w:sz w:val="28"/>
          <w:szCs w:val="28"/>
          <w:lang w:val="ru-RU"/>
        </w:rPr>
        <w:t>a</w:t>
      </w:r>
      <w:r w:rsidRPr="007F5722">
        <w:rPr>
          <w:rFonts w:ascii="Times New Roman" w:hAnsi="Times New Roman"/>
          <w:bCs/>
          <w:sz w:val="28"/>
          <w:szCs w:val="28"/>
        </w:rPr>
        <w:t>ченнях ІММЛШ пон</w:t>
      </w:r>
      <w:r w:rsidRPr="007F5722">
        <w:rPr>
          <w:rFonts w:ascii="Times New Roman" w:hAnsi="Times New Roman"/>
          <w:bCs/>
          <w:sz w:val="28"/>
          <w:szCs w:val="28"/>
          <w:lang w:val="ru-RU"/>
        </w:rPr>
        <w:t>a</w:t>
      </w:r>
      <w:r w:rsidRPr="007F5722">
        <w:rPr>
          <w:rFonts w:ascii="Times New Roman" w:hAnsi="Times New Roman"/>
          <w:bCs/>
          <w:sz w:val="28"/>
          <w:szCs w:val="28"/>
        </w:rPr>
        <w:t>д 125г/м</w:t>
      </w:r>
      <w:r w:rsidRPr="007F5722">
        <w:rPr>
          <w:rFonts w:ascii="Times New Roman" w:hAnsi="Times New Roman"/>
          <w:bCs/>
          <w:sz w:val="28"/>
          <w:szCs w:val="28"/>
          <w:vertAlign w:val="superscript"/>
        </w:rPr>
        <w:t>2</w:t>
      </w:r>
      <w:r w:rsidRPr="007F5722">
        <w:rPr>
          <w:rFonts w:ascii="Times New Roman" w:hAnsi="Times New Roman"/>
          <w:bCs/>
          <w:sz w:val="28"/>
          <w:szCs w:val="28"/>
        </w:rPr>
        <w:t xml:space="preserve"> для чоловіків т</w:t>
      </w:r>
      <w:r w:rsidRPr="007F5722">
        <w:rPr>
          <w:rFonts w:ascii="Times New Roman" w:hAnsi="Times New Roman"/>
          <w:bCs/>
          <w:sz w:val="28"/>
          <w:szCs w:val="28"/>
          <w:lang w:val="ru-RU"/>
        </w:rPr>
        <w:t>a</w:t>
      </w:r>
      <w:r w:rsidRPr="007F5722">
        <w:rPr>
          <w:rFonts w:ascii="Times New Roman" w:hAnsi="Times New Roman"/>
          <w:bCs/>
          <w:sz w:val="28"/>
          <w:szCs w:val="28"/>
        </w:rPr>
        <w:t xml:space="preserve"> пон</w:t>
      </w:r>
      <w:r w:rsidRPr="007F5722">
        <w:rPr>
          <w:rFonts w:ascii="Times New Roman" w:hAnsi="Times New Roman"/>
          <w:bCs/>
          <w:sz w:val="28"/>
          <w:szCs w:val="28"/>
          <w:lang w:val="ru-RU"/>
        </w:rPr>
        <w:t>a</w:t>
      </w:r>
      <w:r w:rsidRPr="007F5722">
        <w:rPr>
          <w:rFonts w:ascii="Times New Roman" w:hAnsi="Times New Roman"/>
          <w:bCs/>
          <w:sz w:val="28"/>
          <w:szCs w:val="28"/>
        </w:rPr>
        <w:t>д 110 г/м</w:t>
      </w:r>
      <w:r w:rsidRPr="007F5722">
        <w:rPr>
          <w:rFonts w:ascii="Times New Roman" w:hAnsi="Times New Roman"/>
          <w:bCs/>
          <w:sz w:val="28"/>
          <w:szCs w:val="28"/>
          <w:vertAlign w:val="superscript"/>
        </w:rPr>
        <w:t>2</w:t>
      </w:r>
      <w:r w:rsidRPr="007F5722">
        <w:rPr>
          <w:rFonts w:ascii="Times New Roman" w:hAnsi="Times New Roman"/>
          <w:bCs/>
          <w:sz w:val="28"/>
          <w:szCs w:val="28"/>
        </w:rPr>
        <w:t xml:space="preserve"> для жінок. Для н</w:t>
      </w:r>
      <w:r w:rsidRPr="007F5722">
        <w:rPr>
          <w:rFonts w:ascii="Times New Roman" w:hAnsi="Times New Roman"/>
          <w:bCs/>
          <w:sz w:val="28"/>
          <w:szCs w:val="28"/>
          <w:lang w:val="ru-RU"/>
        </w:rPr>
        <w:t>a</w:t>
      </w:r>
      <w:r w:rsidRPr="007F5722">
        <w:rPr>
          <w:rFonts w:ascii="Times New Roman" w:hAnsi="Times New Roman"/>
          <w:bCs/>
          <w:sz w:val="28"/>
          <w:szCs w:val="28"/>
        </w:rPr>
        <w:t>ступного визн</w:t>
      </w:r>
      <w:r w:rsidRPr="007F5722">
        <w:rPr>
          <w:rFonts w:ascii="Times New Roman" w:hAnsi="Times New Roman"/>
          <w:bCs/>
          <w:sz w:val="28"/>
          <w:szCs w:val="28"/>
          <w:lang w:val="ru-RU"/>
        </w:rPr>
        <w:t>a</w:t>
      </w:r>
      <w:r w:rsidRPr="007F5722">
        <w:rPr>
          <w:rFonts w:ascii="Times New Roman" w:hAnsi="Times New Roman"/>
          <w:bCs/>
          <w:sz w:val="28"/>
          <w:szCs w:val="28"/>
        </w:rPr>
        <w:t>чення типу ремоделюв</w:t>
      </w:r>
      <w:r w:rsidRPr="007F5722">
        <w:rPr>
          <w:rFonts w:ascii="Times New Roman" w:hAnsi="Times New Roman"/>
          <w:bCs/>
          <w:sz w:val="28"/>
          <w:szCs w:val="28"/>
          <w:lang w:val="ru-RU"/>
        </w:rPr>
        <w:t>a</w:t>
      </w:r>
      <w:r w:rsidRPr="007F5722">
        <w:rPr>
          <w:rFonts w:ascii="Times New Roman" w:hAnsi="Times New Roman"/>
          <w:bCs/>
          <w:sz w:val="28"/>
          <w:szCs w:val="28"/>
        </w:rPr>
        <w:t>ння ЛШ в</w:t>
      </w:r>
      <w:r w:rsidRPr="007F5722">
        <w:rPr>
          <w:rFonts w:ascii="Times New Roman" w:hAnsi="Times New Roman"/>
          <w:bCs/>
          <w:sz w:val="28"/>
          <w:szCs w:val="28"/>
          <w:lang w:val="ru-RU"/>
        </w:rPr>
        <w:t>a</w:t>
      </w:r>
      <w:r w:rsidRPr="007F5722">
        <w:rPr>
          <w:rFonts w:ascii="Times New Roman" w:hAnsi="Times New Roman"/>
          <w:bCs/>
          <w:sz w:val="28"/>
          <w:szCs w:val="28"/>
        </w:rPr>
        <w:t>жливо обчислення відносних пок</w:t>
      </w:r>
      <w:r w:rsidRPr="007F5722">
        <w:rPr>
          <w:rFonts w:ascii="Times New Roman" w:hAnsi="Times New Roman"/>
          <w:bCs/>
          <w:sz w:val="28"/>
          <w:szCs w:val="28"/>
          <w:lang w:val="ru-RU"/>
        </w:rPr>
        <w:t>a</w:t>
      </w:r>
      <w:r w:rsidRPr="007F5722">
        <w:rPr>
          <w:rFonts w:ascii="Times New Roman" w:hAnsi="Times New Roman"/>
          <w:bCs/>
          <w:sz w:val="28"/>
          <w:szCs w:val="28"/>
        </w:rPr>
        <w:t xml:space="preserve">зників стінок ЛШ, </w:t>
      </w:r>
      <w:r w:rsidRPr="007F5722">
        <w:rPr>
          <w:rFonts w:ascii="Times New Roman" w:hAnsi="Times New Roman"/>
          <w:bCs/>
          <w:sz w:val="28"/>
          <w:szCs w:val="28"/>
          <w:lang w:val="ru-RU"/>
        </w:rPr>
        <w:t>a</w:t>
      </w:r>
      <w:r w:rsidRPr="007F5722">
        <w:rPr>
          <w:rFonts w:ascii="Times New Roman" w:hAnsi="Times New Roman"/>
          <w:bCs/>
          <w:sz w:val="28"/>
          <w:szCs w:val="28"/>
        </w:rPr>
        <w:t xml:space="preserve"> с</w:t>
      </w:r>
      <w:r w:rsidRPr="007F5722">
        <w:rPr>
          <w:rFonts w:ascii="Times New Roman" w:hAnsi="Times New Roman"/>
          <w:bCs/>
          <w:sz w:val="28"/>
          <w:szCs w:val="28"/>
          <w:lang w:val="ru-RU"/>
        </w:rPr>
        <w:t>a</w:t>
      </w:r>
      <w:r w:rsidRPr="007F5722">
        <w:rPr>
          <w:rFonts w:ascii="Times New Roman" w:hAnsi="Times New Roman"/>
          <w:bCs/>
          <w:sz w:val="28"/>
          <w:szCs w:val="28"/>
        </w:rPr>
        <w:t>ме:</w:t>
      </w:r>
    </w:p>
    <w:p w:rsidR="00A0691A" w:rsidRPr="00310757" w:rsidRDefault="00A0691A" w:rsidP="00310757">
      <w:pPr>
        <w:numPr>
          <w:ilvl w:val="0"/>
          <w:numId w:val="41"/>
        </w:numPr>
        <w:spacing w:after="0" w:line="360" w:lineRule="auto"/>
        <w:jc w:val="both"/>
        <w:rPr>
          <w:rFonts w:ascii="Times New Roman" w:hAnsi="Times New Roman"/>
          <w:bCs/>
          <w:sz w:val="28"/>
          <w:szCs w:val="28"/>
        </w:rPr>
      </w:pPr>
      <w:r w:rsidRPr="007F5722">
        <w:rPr>
          <w:rFonts w:ascii="Times New Roman" w:hAnsi="Times New Roman"/>
          <w:bCs/>
          <w:sz w:val="28"/>
          <w:szCs w:val="28"/>
        </w:rPr>
        <w:t>відносн</w:t>
      </w:r>
      <w:r w:rsidRPr="007F5722">
        <w:rPr>
          <w:rFonts w:ascii="Times New Roman" w:hAnsi="Times New Roman"/>
          <w:bCs/>
          <w:sz w:val="28"/>
          <w:szCs w:val="28"/>
          <w:lang w:val="ru-RU"/>
        </w:rPr>
        <w:t>a</w:t>
      </w:r>
      <w:r w:rsidRPr="007F5722">
        <w:rPr>
          <w:rFonts w:ascii="Times New Roman" w:hAnsi="Times New Roman"/>
          <w:bCs/>
          <w:sz w:val="28"/>
          <w:szCs w:val="28"/>
        </w:rPr>
        <w:t xml:space="preserve"> товщин</w:t>
      </w:r>
      <w:r w:rsidRPr="007F5722">
        <w:rPr>
          <w:rFonts w:ascii="Times New Roman" w:hAnsi="Times New Roman"/>
          <w:bCs/>
          <w:sz w:val="28"/>
          <w:szCs w:val="28"/>
          <w:lang w:val="ru-RU"/>
        </w:rPr>
        <w:t>a</w:t>
      </w:r>
      <w:r w:rsidRPr="007F5722">
        <w:rPr>
          <w:rFonts w:ascii="Times New Roman" w:hAnsi="Times New Roman"/>
          <w:bCs/>
          <w:sz w:val="28"/>
          <w:szCs w:val="28"/>
        </w:rPr>
        <w:t xml:space="preserve"> стінок лівого шлуночк</w:t>
      </w:r>
      <w:r w:rsidRPr="007F5722">
        <w:rPr>
          <w:rFonts w:ascii="Times New Roman" w:hAnsi="Times New Roman"/>
          <w:bCs/>
          <w:sz w:val="28"/>
          <w:szCs w:val="28"/>
          <w:lang w:val="ru-RU"/>
        </w:rPr>
        <w:t>a</w:t>
      </w:r>
      <w:r w:rsidRPr="007F5722">
        <w:rPr>
          <w:rFonts w:ascii="Times New Roman" w:hAnsi="Times New Roman"/>
          <w:bCs/>
          <w:sz w:val="28"/>
          <w:szCs w:val="28"/>
        </w:rPr>
        <w:t xml:space="preserve"> (ВТСЛШ):</w:t>
      </w:r>
    </w:p>
    <w:p w:rsidR="00A0691A" w:rsidRPr="007F5722" w:rsidRDefault="00A0691A" w:rsidP="00310757">
      <w:pPr>
        <w:spacing w:after="0" w:line="360" w:lineRule="auto"/>
        <w:ind w:firstLine="709"/>
        <w:jc w:val="both"/>
        <w:rPr>
          <w:rFonts w:ascii="Times New Roman" w:hAnsi="Times New Roman"/>
          <w:bCs/>
          <w:sz w:val="28"/>
          <w:szCs w:val="28"/>
        </w:rPr>
      </w:pPr>
      <m:oMath>
        <m:r>
          <m:rPr>
            <m:sty m:val="p"/>
          </m:rPr>
          <w:rPr>
            <w:rFonts w:ascii="Cambria Math" w:hAnsi="Cambria Math"/>
            <w:sz w:val="28"/>
            <w:szCs w:val="28"/>
          </w:rPr>
          <m:t>ВТСЛШ=</m:t>
        </m:r>
        <m:f>
          <m:fPr>
            <m:ctrlPr>
              <w:rPr>
                <w:rFonts w:ascii="Cambria Math" w:hAnsi="Cambria Math"/>
                <w:bCs/>
                <w:sz w:val="28"/>
                <w:szCs w:val="28"/>
              </w:rPr>
            </m:ctrlPr>
          </m:fPr>
          <m:num>
            <m:r>
              <m:rPr>
                <m:sty m:val="p"/>
              </m:rPr>
              <w:rPr>
                <w:rFonts w:ascii="Cambria Math" w:hAnsi="Cambria Math"/>
                <w:sz w:val="28"/>
                <w:szCs w:val="28"/>
              </w:rPr>
              <m:t>ТЗСЛШ×ТМШП</m:t>
            </m:r>
          </m:num>
          <m:den>
            <m:r>
              <m:rPr>
                <m:sty m:val="p"/>
              </m:rPr>
              <w:rPr>
                <w:rFonts w:ascii="Cambria Math" w:hAnsi="Cambria Math"/>
                <w:sz w:val="28"/>
                <w:szCs w:val="28"/>
              </w:rPr>
              <m:t>КДР</m:t>
            </m:r>
          </m:den>
        </m:f>
      </m:oMath>
      <w:r w:rsidR="00310757">
        <w:rPr>
          <w:rFonts w:ascii="Times New Roman" w:hAnsi="Times New Roman"/>
          <w:bCs/>
          <w:sz w:val="28"/>
          <w:szCs w:val="28"/>
        </w:rPr>
        <w:t xml:space="preserve"> </w:t>
      </w:r>
      <w:r w:rsidR="00310757">
        <w:rPr>
          <w:rFonts w:ascii="Times New Roman" w:hAnsi="Times New Roman"/>
          <w:bCs/>
          <w:sz w:val="28"/>
          <w:szCs w:val="28"/>
        </w:rPr>
        <w:tab/>
      </w:r>
    </w:p>
    <w:p w:rsidR="00A0691A" w:rsidRPr="007F5722" w:rsidRDefault="00A0691A" w:rsidP="00AB6B67">
      <w:pPr>
        <w:spacing w:after="0" w:line="360" w:lineRule="auto"/>
        <w:jc w:val="both"/>
        <w:rPr>
          <w:rFonts w:ascii="Times New Roman" w:hAnsi="Times New Roman"/>
          <w:bCs/>
          <w:sz w:val="28"/>
          <w:szCs w:val="28"/>
        </w:rPr>
      </w:pPr>
      <w:r w:rsidRPr="007F5722">
        <w:rPr>
          <w:rFonts w:ascii="Times New Roman" w:hAnsi="Times New Roman"/>
          <w:bCs/>
          <w:sz w:val="28"/>
          <w:szCs w:val="28"/>
        </w:rPr>
        <w:tab/>
        <w:t>відносн</w:t>
      </w:r>
      <w:r w:rsidRPr="007F5722">
        <w:rPr>
          <w:rFonts w:ascii="Times New Roman" w:hAnsi="Times New Roman"/>
          <w:bCs/>
          <w:sz w:val="28"/>
          <w:szCs w:val="28"/>
          <w:lang w:val="ru-RU"/>
        </w:rPr>
        <w:t>a</w:t>
      </w:r>
      <w:r w:rsidRPr="007F5722">
        <w:rPr>
          <w:rFonts w:ascii="Times New Roman" w:hAnsi="Times New Roman"/>
          <w:bCs/>
          <w:sz w:val="28"/>
          <w:szCs w:val="28"/>
        </w:rPr>
        <w:t xml:space="preserve"> товщин</w:t>
      </w:r>
      <w:r w:rsidRPr="007F5722">
        <w:rPr>
          <w:rFonts w:ascii="Times New Roman" w:hAnsi="Times New Roman"/>
          <w:bCs/>
          <w:sz w:val="28"/>
          <w:szCs w:val="28"/>
          <w:lang w:val="ru-RU"/>
        </w:rPr>
        <w:t>a</w:t>
      </w:r>
      <w:r w:rsidRPr="007F5722">
        <w:rPr>
          <w:rFonts w:ascii="Times New Roman" w:hAnsi="Times New Roman"/>
          <w:bCs/>
          <w:sz w:val="28"/>
          <w:szCs w:val="28"/>
        </w:rPr>
        <w:t xml:space="preserve"> з</w:t>
      </w:r>
      <w:r w:rsidRPr="007F5722">
        <w:rPr>
          <w:rFonts w:ascii="Times New Roman" w:hAnsi="Times New Roman"/>
          <w:bCs/>
          <w:sz w:val="28"/>
          <w:szCs w:val="28"/>
          <w:lang w:val="ru-RU"/>
        </w:rPr>
        <w:t>a</w:t>
      </w:r>
      <w:r w:rsidRPr="007F5722">
        <w:rPr>
          <w:rFonts w:ascii="Times New Roman" w:hAnsi="Times New Roman"/>
          <w:bCs/>
          <w:sz w:val="28"/>
          <w:szCs w:val="28"/>
        </w:rPr>
        <w:t>дньої с</w:t>
      </w:r>
      <w:r w:rsidR="00310757">
        <w:rPr>
          <w:rFonts w:ascii="Times New Roman" w:hAnsi="Times New Roman"/>
          <w:bCs/>
          <w:sz w:val="28"/>
          <w:szCs w:val="28"/>
        </w:rPr>
        <w:t>тінки лівого шлуночку (ВТЗСЛШ):</w:t>
      </w:r>
    </w:p>
    <w:p w:rsidR="00A0691A" w:rsidRPr="007F5722" w:rsidRDefault="00A0691A" w:rsidP="00310757">
      <w:pPr>
        <w:spacing w:after="0" w:line="360" w:lineRule="auto"/>
        <w:ind w:firstLine="709"/>
        <w:jc w:val="both"/>
        <w:rPr>
          <w:rFonts w:ascii="Times New Roman" w:hAnsi="Times New Roman"/>
          <w:bCs/>
          <w:sz w:val="28"/>
          <w:szCs w:val="28"/>
        </w:rPr>
      </w:pPr>
      <m:oMath>
        <m:r>
          <m:rPr>
            <m:sty m:val="p"/>
          </m:rPr>
          <w:rPr>
            <w:rFonts w:ascii="Cambria Math" w:hAnsi="Cambria Math"/>
            <w:sz w:val="28"/>
            <w:szCs w:val="28"/>
          </w:rPr>
          <m:t>ВТЗСЛШ=</m:t>
        </m:r>
        <m:f>
          <m:fPr>
            <m:ctrlPr>
              <w:rPr>
                <w:rFonts w:ascii="Cambria Math" w:hAnsi="Cambria Math"/>
                <w:bCs/>
                <w:sz w:val="28"/>
                <w:szCs w:val="28"/>
              </w:rPr>
            </m:ctrlPr>
          </m:fPr>
          <m:num>
            <m:r>
              <m:rPr>
                <m:sty m:val="p"/>
              </m:rPr>
              <w:rPr>
                <w:rFonts w:ascii="Cambria Math" w:hAnsi="Cambria Math"/>
                <w:sz w:val="28"/>
                <w:szCs w:val="28"/>
              </w:rPr>
              <m:t>2×ТЗСЛШ</m:t>
            </m:r>
          </m:num>
          <m:den>
            <m:r>
              <m:rPr>
                <m:sty m:val="p"/>
              </m:rPr>
              <w:rPr>
                <w:rFonts w:ascii="Cambria Math" w:hAnsi="Cambria Math"/>
                <w:sz w:val="28"/>
                <w:szCs w:val="28"/>
              </w:rPr>
              <m:t>КДР</m:t>
            </m:r>
          </m:den>
        </m:f>
      </m:oMath>
      <w:r w:rsidRPr="007F5722">
        <w:rPr>
          <w:rFonts w:ascii="Times New Roman" w:hAnsi="Times New Roman"/>
          <w:bCs/>
          <w:sz w:val="28"/>
          <w:szCs w:val="28"/>
          <w:lang w:val="ru-RU"/>
        </w:rPr>
        <w:tab/>
      </w:r>
    </w:p>
    <w:p w:rsidR="00A0691A" w:rsidRPr="00310757" w:rsidRDefault="00A0691A" w:rsidP="00310757">
      <w:pPr>
        <w:numPr>
          <w:ilvl w:val="0"/>
          <w:numId w:val="41"/>
        </w:numPr>
        <w:spacing w:after="0" w:line="360" w:lineRule="auto"/>
        <w:jc w:val="both"/>
        <w:rPr>
          <w:rFonts w:ascii="Times New Roman" w:hAnsi="Times New Roman"/>
          <w:bCs/>
          <w:sz w:val="28"/>
          <w:szCs w:val="28"/>
        </w:rPr>
      </w:pPr>
      <w:r w:rsidRPr="007F5722">
        <w:rPr>
          <w:rFonts w:ascii="Times New Roman" w:hAnsi="Times New Roman"/>
          <w:bCs/>
          <w:sz w:val="28"/>
          <w:szCs w:val="28"/>
        </w:rPr>
        <w:t>відносн</w:t>
      </w:r>
      <w:r w:rsidRPr="007F5722">
        <w:rPr>
          <w:rFonts w:ascii="Times New Roman" w:hAnsi="Times New Roman"/>
          <w:bCs/>
          <w:sz w:val="28"/>
          <w:szCs w:val="28"/>
          <w:lang w:val="ru-RU"/>
        </w:rPr>
        <w:t>a</w:t>
      </w:r>
      <w:r w:rsidRPr="007F5722">
        <w:rPr>
          <w:rFonts w:ascii="Times New Roman" w:hAnsi="Times New Roman"/>
          <w:bCs/>
          <w:sz w:val="28"/>
          <w:szCs w:val="28"/>
        </w:rPr>
        <w:t xml:space="preserve"> товщин</w:t>
      </w:r>
      <w:r w:rsidRPr="007F5722">
        <w:rPr>
          <w:rFonts w:ascii="Times New Roman" w:hAnsi="Times New Roman"/>
          <w:bCs/>
          <w:sz w:val="28"/>
          <w:szCs w:val="28"/>
          <w:lang w:val="ru-RU"/>
        </w:rPr>
        <w:t>a</w:t>
      </w:r>
      <w:r w:rsidRPr="007F5722">
        <w:rPr>
          <w:rFonts w:ascii="Times New Roman" w:hAnsi="Times New Roman"/>
          <w:bCs/>
          <w:sz w:val="28"/>
          <w:szCs w:val="28"/>
        </w:rPr>
        <w:t xml:space="preserve"> міжшлуночкової перетинки (ВТМШП):</w:t>
      </w:r>
      <w:r w:rsidRPr="00310757">
        <w:rPr>
          <w:rFonts w:ascii="Times New Roman" w:hAnsi="Times New Roman"/>
          <w:bCs/>
          <w:sz w:val="28"/>
          <w:szCs w:val="28"/>
        </w:rPr>
        <w:br/>
      </w:r>
      <m:oMath>
        <m:r>
          <m:rPr>
            <m:sty m:val="p"/>
          </m:rPr>
          <w:rPr>
            <w:rFonts w:ascii="Cambria Math" w:hAnsi="Cambria Math"/>
            <w:sz w:val="28"/>
            <w:szCs w:val="28"/>
          </w:rPr>
          <m:t>ВТМШП=</m:t>
        </m:r>
        <m:f>
          <m:fPr>
            <m:ctrlPr>
              <w:rPr>
                <w:rFonts w:ascii="Cambria Math" w:hAnsi="Cambria Math"/>
                <w:bCs/>
                <w:sz w:val="28"/>
                <w:szCs w:val="28"/>
              </w:rPr>
            </m:ctrlPr>
          </m:fPr>
          <m:num>
            <m:r>
              <m:rPr>
                <m:sty m:val="p"/>
              </m:rPr>
              <w:rPr>
                <w:rFonts w:ascii="Cambria Math" w:hAnsi="Cambria Math"/>
                <w:sz w:val="28"/>
                <w:szCs w:val="28"/>
              </w:rPr>
              <m:t>2×ТМШП</m:t>
            </m:r>
          </m:num>
          <m:den>
            <m:r>
              <m:rPr>
                <m:sty m:val="p"/>
              </m:rPr>
              <w:rPr>
                <w:rFonts w:ascii="Cambria Math" w:hAnsi="Cambria Math"/>
                <w:sz w:val="28"/>
                <w:szCs w:val="28"/>
              </w:rPr>
              <m:t>КДР</m:t>
            </m:r>
          </m:den>
        </m:f>
      </m:oMath>
      <w:r w:rsidRPr="00310757">
        <w:rPr>
          <w:rFonts w:ascii="Times New Roman" w:hAnsi="Times New Roman"/>
          <w:bCs/>
          <w:sz w:val="28"/>
          <w:szCs w:val="28"/>
        </w:rPr>
        <w:tab/>
      </w:r>
    </w:p>
    <w:p w:rsidR="00FD01EB" w:rsidRPr="007F5722" w:rsidRDefault="00FD01EB" w:rsidP="00FD01EB">
      <w:pPr>
        <w:spacing w:after="0" w:line="360" w:lineRule="auto"/>
        <w:ind w:firstLine="709"/>
        <w:jc w:val="both"/>
        <w:rPr>
          <w:rFonts w:ascii="Times New Roman" w:hAnsi="Times New Roman"/>
          <w:sz w:val="28"/>
          <w:szCs w:val="28"/>
        </w:rPr>
      </w:pPr>
      <w:r w:rsidRPr="007F5722">
        <w:rPr>
          <w:rFonts w:ascii="Times New Roman" w:hAnsi="Times New Roman"/>
          <w:bCs/>
          <w:sz w:val="28"/>
          <w:szCs w:val="28"/>
        </w:rPr>
        <w:t>Дослідження екстракраніальних судин проводилось методом дуплексного сканування 7,</w:t>
      </w:r>
      <w:r w:rsidR="005D27C2" w:rsidRPr="007F5722">
        <w:rPr>
          <w:rFonts w:ascii="Times New Roman" w:hAnsi="Times New Roman"/>
          <w:bCs/>
          <w:sz w:val="28"/>
          <w:szCs w:val="28"/>
        </w:rPr>
        <w:t xml:space="preserve">5 МГц на апараті Radmir </w:t>
      </w:r>
      <w:r w:rsidR="005D27C2" w:rsidRPr="007F5722">
        <w:rPr>
          <w:rFonts w:ascii="Times New Roman" w:hAnsi="Times New Roman" w:cs="Times New Roman"/>
          <w:sz w:val="28"/>
          <w:szCs w:val="28"/>
        </w:rPr>
        <w:t>ТИ 628А</w:t>
      </w:r>
      <w:r w:rsidRPr="007F5722">
        <w:rPr>
          <w:rFonts w:ascii="Times New Roman" w:hAnsi="Times New Roman"/>
          <w:bCs/>
          <w:sz w:val="28"/>
          <w:szCs w:val="28"/>
        </w:rPr>
        <w:t>. Датчик встановлюють по черзі на кожній стороні шиї в області грудино-ключично-соскоподібного м'яза у проекції загальної сонної артерії. При цьому візуа</w:t>
      </w:r>
      <w:r w:rsidR="005D27C2" w:rsidRPr="007F5722">
        <w:rPr>
          <w:rFonts w:ascii="Times New Roman" w:hAnsi="Times New Roman"/>
          <w:bCs/>
          <w:sz w:val="28"/>
          <w:szCs w:val="28"/>
        </w:rPr>
        <w:t>лізуються ЗСА</w:t>
      </w:r>
      <w:r w:rsidRPr="007F5722">
        <w:rPr>
          <w:rFonts w:ascii="Times New Roman" w:hAnsi="Times New Roman"/>
          <w:bCs/>
          <w:sz w:val="28"/>
          <w:szCs w:val="28"/>
        </w:rPr>
        <w:t xml:space="preserve">, їх біфуркації, внутрішні яремні вени. Аналізуються прохідність судин, їх геометрію, товщину комплексу інтима-медіа (мм) загальної сонної артерії. </w:t>
      </w:r>
      <w:r w:rsidRPr="007F5722">
        <w:rPr>
          <w:rFonts w:ascii="Times New Roman" w:hAnsi="Times New Roman"/>
          <w:sz w:val="28"/>
          <w:szCs w:val="28"/>
        </w:rPr>
        <w:t xml:space="preserve">Товщину комплексу інтима-медіа (КІМ) вимірювали в середній третині ЗСА по задній стінці за методикою </w:t>
      </w:r>
      <w:r w:rsidRPr="007F5722">
        <w:rPr>
          <w:rFonts w:ascii="Times New Roman" w:hAnsi="Times New Roman"/>
          <w:sz w:val="28"/>
          <w:szCs w:val="28"/>
          <w:lang w:val="en-US"/>
        </w:rPr>
        <w:t>P</w:t>
      </w:r>
      <w:r w:rsidRPr="007F5722">
        <w:rPr>
          <w:rFonts w:ascii="Times New Roman" w:hAnsi="Times New Roman"/>
          <w:sz w:val="28"/>
          <w:szCs w:val="28"/>
        </w:rPr>
        <w:t xml:space="preserve">. </w:t>
      </w:r>
      <w:r w:rsidRPr="007F5722">
        <w:rPr>
          <w:rFonts w:ascii="Times New Roman" w:hAnsi="Times New Roman"/>
          <w:sz w:val="28"/>
          <w:szCs w:val="28"/>
          <w:lang w:val="en-US"/>
        </w:rPr>
        <w:t>Pignoli</w:t>
      </w:r>
      <w:r w:rsidRPr="007F5722">
        <w:rPr>
          <w:rFonts w:ascii="Times New Roman" w:hAnsi="Times New Roman"/>
          <w:sz w:val="28"/>
          <w:szCs w:val="28"/>
        </w:rPr>
        <w:t>, як відстань між характерною ехозоною, що утворена поверхнями просвіт-інтима та медіа-адвентиція у поперечному перетині [</w:t>
      </w:r>
      <w:r w:rsidR="00840E75" w:rsidRPr="007F5722">
        <w:rPr>
          <w:rFonts w:ascii="Times New Roman" w:hAnsi="Times New Roman"/>
          <w:sz w:val="28"/>
          <w:szCs w:val="28"/>
        </w:rPr>
        <w:t>198</w:t>
      </w:r>
      <w:r w:rsidRPr="007F5722">
        <w:rPr>
          <w:rFonts w:ascii="Times New Roman" w:hAnsi="Times New Roman"/>
          <w:sz w:val="28"/>
          <w:szCs w:val="28"/>
        </w:rPr>
        <w:t xml:space="preserve">]. Там же вимірювали діаметр просвіту ЗСА, а також оцінювали швидкісні характеристики кровотоку. </w:t>
      </w:r>
      <w:r w:rsidRPr="007F5722">
        <w:rPr>
          <w:rFonts w:ascii="Times New Roman" w:hAnsi="Times New Roman"/>
          <w:sz w:val="28"/>
          <w:szCs w:val="28"/>
        </w:rPr>
        <w:lastRenderedPageBreak/>
        <w:t>Розраховували відносну товщину стінок та масу артеріального сегменту, згідно з рекомендаціями Європейського товариства кардіологів [</w:t>
      </w:r>
      <w:r w:rsidR="00840E75" w:rsidRPr="007F5722">
        <w:rPr>
          <w:rFonts w:ascii="Times New Roman" w:hAnsi="Times New Roman"/>
          <w:sz w:val="28"/>
          <w:szCs w:val="28"/>
        </w:rPr>
        <w:t>199</w:t>
      </w:r>
      <w:r w:rsidRPr="007F5722">
        <w:rPr>
          <w:rFonts w:ascii="Times New Roman" w:hAnsi="Times New Roman"/>
          <w:sz w:val="28"/>
          <w:szCs w:val="28"/>
        </w:rPr>
        <w:t>]. Тип ремоделювання ЗСА оцінювався згідно класифікації, яка була запропонована О.В. Агафоновим та співавт. [</w:t>
      </w:r>
      <w:r w:rsidR="00840E75" w:rsidRPr="007F5722">
        <w:rPr>
          <w:rFonts w:ascii="Times New Roman" w:hAnsi="Times New Roman"/>
          <w:sz w:val="28"/>
          <w:szCs w:val="28"/>
        </w:rPr>
        <w:t>200</w:t>
      </w:r>
      <w:r w:rsidRPr="007F5722">
        <w:rPr>
          <w:rFonts w:ascii="Times New Roman" w:hAnsi="Times New Roman"/>
          <w:sz w:val="28"/>
          <w:szCs w:val="28"/>
        </w:rPr>
        <w:t>].</w:t>
      </w:r>
    </w:p>
    <w:p w:rsidR="00FD01EB" w:rsidRPr="007F5722" w:rsidRDefault="00FD01EB" w:rsidP="00FD01EB">
      <w:pPr>
        <w:spacing w:after="0" w:line="360" w:lineRule="auto"/>
        <w:ind w:firstLine="709"/>
        <w:jc w:val="both"/>
        <w:rPr>
          <w:rFonts w:ascii="Times New Roman" w:hAnsi="Times New Roman"/>
          <w:b/>
          <w:bCs/>
          <w:sz w:val="28"/>
          <w:szCs w:val="28"/>
        </w:rPr>
      </w:pPr>
      <w:r w:rsidRPr="007F5722">
        <w:rPr>
          <w:rFonts w:ascii="Times New Roman" w:hAnsi="Times New Roman"/>
          <w:b/>
          <w:bCs/>
          <w:iCs/>
          <w:sz w:val="28"/>
          <w:szCs w:val="28"/>
        </w:rPr>
        <w:t>Методи статистичного аналізу даних</w:t>
      </w:r>
    </w:p>
    <w:p w:rsidR="00FD01EB" w:rsidRPr="007F5722" w:rsidRDefault="00FD01EB" w:rsidP="00FD01E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Усі дані, що були отримані в результаті дослідження оброблено на персональному комп’ютері за допомогою Microsoft Excel та професійного пакету програм обробки даних загального призначення Statistica for Windows, версії 10.0 з використанням параметричних та непараметричних методів аналізу. Статистичний аналіз даних проводили методами непараметричної статистики. У вибірках з непараметричним розподілом даних результати представлені у вигляді Ме (Q</w:t>
      </w:r>
      <w:r w:rsidRPr="007F5722">
        <w:rPr>
          <w:rFonts w:ascii="Times New Roman" w:eastAsia="Times New Roman" w:hAnsi="Times New Roman" w:cs="Times New Roman"/>
          <w:color w:val="000000"/>
          <w:sz w:val="28"/>
          <w:szCs w:val="28"/>
          <w:vertAlign w:val="subscript"/>
        </w:rPr>
        <w:t>25</w:t>
      </w:r>
      <w:r w:rsidRPr="007F5722">
        <w:rPr>
          <w:rFonts w:ascii="Times New Roman" w:eastAsia="Times New Roman" w:hAnsi="Times New Roman" w:cs="Times New Roman"/>
          <w:color w:val="000000"/>
          <w:sz w:val="28"/>
          <w:szCs w:val="28"/>
        </w:rPr>
        <w:t>; Q</w:t>
      </w:r>
      <w:r w:rsidRPr="007F5722">
        <w:rPr>
          <w:rFonts w:ascii="Times New Roman" w:eastAsia="Times New Roman" w:hAnsi="Times New Roman" w:cs="Times New Roman"/>
          <w:color w:val="000000"/>
          <w:sz w:val="28"/>
          <w:szCs w:val="28"/>
          <w:vertAlign w:val="subscript"/>
        </w:rPr>
        <w:t>75</w:t>
      </w:r>
      <w:r w:rsidRPr="007F5722">
        <w:rPr>
          <w:rFonts w:ascii="Times New Roman" w:eastAsia="Times New Roman" w:hAnsi="Times New Roman" w:cs="Times New Roman"/>
          <w:color w:val="000000"/>
          <w:sz w:val="28"/>
          <w:szCs w:val="28"/>
        </w:rPr>
        <w:t>), де Ме – медіана (50-й процентіль), Q</w:t>
      </w:r>
      <w:r w:rsidRPr="007F5722">
        <w:rPr>
          <w:rFonts w:ascii="Times New Roman" w:eastAsia="Times New Roman" w:hAnsi="Times New Roman" w:cs="Times New Roman"/>
          <w:color w:val="000000"/>
          <w:sz w:val="28"/>
          <w:szCs w:val="28"/>
          <w:vertAlign w:val="subscript"/>
        </w:rPr>
        <w:t>25</w:t>
      </w:r>
      <w:r w:rsidRPr="007F5722">
        <w:rPr>
          <w:rFonts w:ascii="Times New Roman" w:eastAsia="Times New Roman" w:hAnsi="Times New Roman" w:cs="Times New Roman"/>
          <w:color w:val="000000"/>
          <w:sz w:val="28"/>
          <w:szCs w:val="28"/>
        </w:rPr>
        <w:t xml:space="preserve"> та Q</w:t>
      </w:r>
      <w:r w:rsidRPr="007F5722">
        <w:rPr>
          <w:rFonts w:ascii="Times New Roman" w:eastAsia="Times New Roman" w:hAnsi="Times New Roman" w:cs="Times New Roman"/>
          <w:color w:val="000000"/>
          <w:sz w:val="28"/>
          <w:szCs w:val="28"/>
          <w:vertAlign w:val="subscript"/>
        </w:rPr>
        <w:t>75</w:t>
      </w:r>
      <w:r w:rsidRPr="007F5722">
        <w:rPr>
          <w:rFonts w:ascii="Times New Roman" w:eastAsia="Times New Roman" w:hAnsi="Times New Roman" w:cs="Times New Roman"/>
          <w:color w:val="000000"/>
          <w:sz w:val="28"/>
          <w:szCs w:val="28"/>
        </w:rPr>
        <w:t xml:space="preserve"> – 25-й і 75-й процентилі відповідно (верхній і нижній квартилі). Для порівняння результатів використовували критерій Манна-Уітні, ранговий дисперсійний аналіз Краскела-Уолліса, медіанний тест. Для оцінки міри залежності використовували коефіцієнт рангової кореляції Спірмена. Нульову гіпотезу відкидали при рівні достовірності (р &lt; 0,05). </w:t>
      </w:r>
    </w:p>
    <w:p w:rsidR="00242BAA" w:rsidRPr="007F5722" w:rsidRDefault="00242BAA" w:rsidP="009C7F6B">
      <w:pPr>
        <w:shd w:val="clear" w:color="auto" w:fill="FFFFFF"/>
        <w:spacing w:after="0" w:line="360" w:lineRule="auto"/>
        <w:ind w:firstLine="709"/>
        <w:jc w:val="both"/>
        <w:rPr>
          <w:rFonts w:ascii="Times New Roman" w:eastAsia="Times New Roman" w:hAnsi="Times New Roman" w:cs="Times New Roman"/>
          <w:color w:val="000000"/>
          <w:sz w:val="28"/>
          <w:szCs w:val="28"/>
        </w:rPr>
        <w:sectPr w:rsidR="00242BAA" w:rsidRPr="007F5722" w:rsidSect="007C0B93">
          <w:pgSz w:w="11906" w:h="16838"/>
          <w:pgMar w:top="1134" w:right="850" w:bottom="1134" w:left="1701" w:header="708" w:footer="708" w:gutter="0"/>
          <w:cols w:space="708"/>
          <w:docGrid w:linePitch="360"/>
        </w:sectPr>
      </w:pPr>
    </w:p>
    <w:p w:rsidR="000E61B9" w:rsidRPr="007F5722" w:rsidRDefault="000E61B9" w:rsidP="000E61B9">
      <w:pPr>
        <w:spacing w:after="0" w:line="360" w:lineRule="auto"/>
        <w:jc w:val="center"/>
        <w:rPr>
          <w:rFonts w:ascii="Times New Roman" w:eastAsia="Times New Roman" w:hAnsi="Times New Roman" w:cs="Times New Roman"/>
          <w:b/>
          <w:sz w:val="28"/>
          <w:szCs w:val="28"/>
        </w:rPr>
      </w:pPr>
      <w:r w:rsidRPr="007F5722">
        <w:rPr>
          <w:rFonts w:ascii="Times New Roman" w:eastAsia="Times New Roman" w:hAnsi="Times New Roman" w:cs="Times New Roman"/>
          <w:b/>
          <w:sz w:val="28"/>
          <w:szCs w:val="28"/>
        </w:rPr>
        <w:lastRenderedPageBreak/>
        <w:t>РОЗДІЛ 3</w:t>
      </w:r>
    </w:p>
    <w:p w:rsidR="000E61B9" w:rsidRPr="007F5722" w:rsidRDefault="000E61B9" w:rsidP="000E61B9">
      <w:pPr>
        <w:spacing w:after="0" w:line="360" w:lineRule="auto"/>
        <w:jc w:val="center"/>
        <w:rPr>
          <w:rFonts w:ascii="Times New Roman" w:eastAsia="Times New Roman" w:hAnsi="Times New Roman" w:cs="Times New Roman"/>
          <w:b/>
          <w:sz w:val="28"/>
          <w:szCs w:val="28"/>
        </w:rPr>
      </w:pPr>
      <w:r w:rsidRPr="007F5722">
        <w:rPr>
          <w:rFonts w:ascii="Times New Roman" w:eastAsia="Times New Roman" w:hAnsi="Times New Roman" w:cs="Times New Roman"/>
          <w:b/>
          <w:sz w:val="28"/>
          <w:szCs w:val="28"/>
        </w:rPr>
        <w:t>ВЛАСНІ ДОСЛІДЖЕННЯ</w:t>
      </w:r>
    </w:p>
    <w:p w:rsidR="000E61B9" w:rsidRPr="007F5722" w:rsidRDefault="000E61B9" w:rsidP="000E61B9">
      <w:pPr>
        <w:shd w:val="clear" w:color="auto" w:fill="FFFFFF"/>
        <w:spacing w:after="0" w:line="360" w:lineRule="auto"/>
        <w:ind w:firstLine="709"/>
        <w:jc w:val="center"/>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3.1. Інтерлейкін-22 у пацієнтів хворих на гіпертонічну хворобу з коморбідним ожирінням</w:t>
      </w:r>
    </w:p>
    <w:p w:rsidR="006E72AD" w:rsidRPr="007F5722" w:rsidRDefault="006E72AD" w:rsidP="006E72A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Надмірна маса тіла та ожиріння вважаються важливими чинниками ризику виникнення ГХ. Наявність ожиріння тісно асоційована з формуванням дисліпідемії та активацією запального компоненту імунної реакції у цих хворих [</w:t>
      </w:r>
      <w:r w:rsidR="00133129" w:rsidRPr="007F5722">
        <w:rPr>
          <w:rFonts w:ascii="Times New Roman" w:eastAsia="Times New Roman" w:hAnsi="Times New Roman" w:cs="Times New Roman"/>
          <w:color w:val="000000"/>
          <w:sz w:val="28"/>
          <w:szCs w:val="28"/>
        </w:rPr>
        <w:t>20</w:t>
      </w:r>
      <w:r w:rsidRPr="007F5722">
        <w:rPr>
          <w:rFonts w:ascii="Times New Roman" w:eastAsia="Times New Roman" w:hAnsi="Times New Roman" w:cs="Times New Roman"/>
          <w:color w:val="000000"/>
          <w:sz w:val="28"/>
          <w:szCs w:val="28"/>
        </w:rPr>
        <w:t>1]. У зв’язку з цим, хворих на ГХ бул</w:t>
      </w:r>
      <w:r w:rsidR="00FE51FE" w:rsidRPr="007F5722">
        <w:rPr>
          <w:rFonts w:ascii="Times New Roman" w:eastAsia="Times New Roman" w:hAnsi="Times New Roman" w:cs="Times New Roman"/>
          <w:color w:val="000000"/>
          <w:sz w:val="28"/>
          <w:szCs w:val="28"/>
        </w:rPr>
        <w:t>о розділено на 3 г</w:t>
      </w:r>
      <w:r w:rsidRPr="007F5722">
        <w:rPr>
          <w:rFonts w:ascii="Times New Roman" w:eastAsia="Times New Roman" w:hAnsi="Times New Roman" w:cs="Times New Roman"/>
          <w:color w:val="000000"/>
          <w:sz w:val="28"/>
          <w:szCs w:val="28"/>
        </w:rPr>
        <w:t>рупи залежно від наявності надмірної мас</w:t>
      </w:r>
      <w:r w:rsidR="00FE51FE" w:rsidRPr="007F5722">
        <w:rPr>
          <w:rFonts w:ascii="Times New Roman" w:eastAsia="Times New Roman" w:hAnsi="Times New Roman" w:cs="Times New Roman"/>
          <w:color w:val="000000"/>
          <w:sz w:val="28"/>
          <w:szCs w:val="28"/>
        </w:rPr>
        <w:t>и тіла або ожиріння: до першої г</w:t>
      </w:r>
      <w:r w:rsidRPr="007F5722">
        <w:rPr>
          <w:rFonts w:ascii="Times New Roman" w:eastAsia="Times New Roman" w:hAnsi="Times New Roman" w:cs="Times New Roman"/>
          <w:color w:val="000000"/>
          <w:sz w:val="28"/>
          <w:szCs w:val="28"/>
        </w:rPr>
        <w:t xml:space="preserve">рупи увійшли </w:t>
      </w:r>
      <w:r w:rsidR="00B94190" w:rsidRPr="007F5722">
        <w:rPr>
          <w:rFonts w:ascii="Times New Roman" w:eastAsia="Times New Roman" w:hAnsi="Times New Roman" w:cs="Times New Roman"/>
          <w:color w:val="000000"/>
          <w:sz w:val="28"/>
          <w:szCs w:val="28"/>
        </w:rPr>
        <w:t>25 хворих (20</w:t>
      </w:r>
      <w:r w:rsidR="00FE51FE" w:rsidRPr="007F5722">
        <w:rPr>
          <w:rFonts w:ascii="Times New Roman" w:eastAsia="Times New Roman" w:hAnsi="Times New Roman" w:cs="Times New Roman"/>
          <w:color w:val="000000"/>
          <w:sz w:val="28"/>
          <w:szCs w:val="28"/>
        </w:rPr>
        <w:t>,7</w:t>
      </w:r>
      <w:r w:rsidRPr="007F5722">
        <w:rPr>
          <w:rFonts w:ascii="Times New Roman" w:eastAsia="Times New Roman" w:hAnsi="Times New Roman" w:cs="Times New Roman"/>
          <w:color w:val="000000"/>
          <w:sz w:val="28"/>
          <w:szCs w:val="28"/>
        </w:rPr>
        <w:t xml:space="preserve"> % від загальної кількості обстежених) на ГХ з </w:t>
      </w:r>
      <w:r w:rsidR="003E58E7" w:rsidRPr="007F5722">
        <w:rPr>
          <w:rFonts w:ascii="Times New Roman" w:eastAsia="Times New Roman" w:hAnsi="Times New Roman" w:cs="Times New Roman"/>
          <w:color w:val="000000"/>
          <w:sz w:val="28"/>
          <w:szCs w:val="28"/>
        </w:rPr>
        <w:t>нормальною масою тіла, із яких 12 (48%) чоловіків та 13 (52</w:t>
      </w:r>
      <w:r w:rsidRPr="007F5722">
        <w:rPr>
          <w:rFonts w:ascii="Times New Roman" w:eastAsia="Times New Roman" w:hAnsi="Times New Roman" w:cs="Times New Roman"/>
          <w:color w:val="000000"/>
          <w:sz w:val="28"/>
          <w:szCs w:val="28"/>
        </w:rPr>
        <w:t>%) жінок. Вік обстежених хвор</w:t>
      </w:r>
      <w:r w:rsidR="00FE51FE" w:rsidRPr="007F5722">
        <w:rPr>
          <w:rFonts w:ascii="Times New Roman" w:eastAsia="Times New Roman" w:hAnsi="Times New Roman" w:cs="Times New Roman"/>
          <w:color w:val="000000"/>
          <w:sz w:val="28"/>
          <w:szCs w:val="28"/>
        </w:rPr>
        <w:t>их цієї г</w:t>
      </w:r>
      <w:r w:rsidRPr="007F5722">
        <w:rPr>
          <w:rFonts w:ascii="Times New Roman" w:eastAsia="Times New Roman" w:hAnsi="Times New Roman" w:cs="Times New Roman"/>
          <w:color w:val="000000"/>
          <w:sz w:val="28"/>
          <w:szCs w:val="28"/>
        </w:rPr>
        <w:t xml:space="preserve">рупи коливався від 42 до 78 років, медіана </w:t>
      </w:r>
      <w:r w:rsidR="00FE51FE" w:rsidRPr="007F5722">
        <w:rPr>
          <w:rFonts w:ascii="Times New Roman" w:eastAsia="Times New Roman" w:hAnsi="Times New Roman" w:cs="Times New Roman"/>
          <w:color w:val="000000"/>
          <w:sz w:val="28"/>
          <w:szCs w:val="28"/>
        </w:rPr>
        <w:t>становить 62,0 р</w:t>
      </w:r>
      <w:r w:rsidR="003E58E7" w:rsidRPr="007F5722">
        <w:rPr>
          <w:rFonts w:ascii="Times New Roman" w:eastAsia="Times New Roman" w:hAnsi="Times New Roman" w:cs="Times New Roman"/>
          <w:color w:val="000000"/>
          <w:sz w:val="28"/>
          <w:szCs w:val="28"/>
        </w:rPr>
        <w:t>оки. До другої групи включено 47 хворих (38</w:t>
      </w:r>
      <w:r w:rsidR="00FE51FE" w:rsidRPr="007F5722">
        <w:rPr>
          <w:rFonts w:ascii="Times New Roman" w:eastAsia="Times New Roman" w:hAnsi="Times New Roman" w:cs="Times New Roman"/>
          <w:color w:val="000000"/>
          <w:sz w:val="28"/>
          <w:szCs w:val="28"/>
        </w:rPr>
        <w:t>,8</w:t>
      </w:r>
      <w:r w:rsidRPr="007F5722">
        <w:rPr>
          <w:rFonts w:ascii="Times New Roman" w:eastAsia="Times New Roman" w:hAnsi="Times New Roman" w:cs="Times New Roman"/>
          <w:color w:val="000000"/>
          <w:sz w:val="28"/>
          <w:szCs w:val="28"/>
        </w:rPr>
        <w:t xml:space="preserve"> %) на ГХ з </w:t>
      </w:r>
      <w:r w:rsidR="003E58E7" w:rsidRPr="007F5722">
        <w:rPr>
          <w:rFonts w:ascii="Times New Roman" w:eastAsia="Times New Roman" w:hAnsi="Times New Roman" w:cs="Times New Roman"/>
          <w:color w:val="000000"/>
          <w:sz w:val="28"/>
          <w:szCs w:val="28"/>
        </w:rPr>
        <w:t>надмірною масою тіла, із яких 18 (38,3%) чоловіків та 29 (61</w:t>
      </w:r>
      <w:r w:rsidRPr="007F5722">
        <w:rPr>
          <w:rFonts w:ascii="Times New Roman" w:eastAsia="Times New Roman" w:hAnsi="Times New Roman" w:cs="Times New Roman"/>
          <w:color w:val="000000"/>
          <w:sz w:val="28"/>
          <w:szCs w:val="28"/>
        </w:rPr>
        <w:t xml:space="preserve">,7%) жінок. Вік обстежених хворих коливався від 43 до 78 років, медіана становить 64,5 роки. Третю </w:t>
      </w:r>
      <w:r w:rsidR="00DF0C63" w:rsidRPr="007F5722">
        <w:rPr>
          <w:rFonts w:ascii="Times New Roman" w:eastAsia="Times New Roman" w:hAnsi="Times New Roman" w:cs="Times New Roman"/>
          <w:color w:val="000000"/>
          <w:sz w:val="28"/>
          <w:szCs w:val="28"/>
        </w:rPr>
        <w:t>групу склали 49 хворих</w:t>
      </w:r>
      <w:r w:rsidR="003E58E7" w:rsidRPr="007F5722">
        <w:rPr>
          <w:rFonts w:ascii="Times New Roman" w:eastAsia="Times New Roman" w:hAnsi="Times New Roman" w:cs="Times New Roman"/>
          <w:color w:val="000000"/>
          <w:sz w:val="28"/>
          <w:szCs w:val="28"/>
        </w:rPr>
        <w:t xml:space="preserve"> (40,5</w:t>
      </w:r>
      <w:r w:rsidR="00DF5550" w:rsidRPr="007F5722">
        <w:rPr>
          <w:rFonts w:ascii="Times New Roman" w:eastAsia="Times New Roman" w:hAnsi="Times New Roman" w:cs="Times New Roman"/>
          <w:color w:val="000000"/>
          <w:sz w:val="28"/>
          <w:szCs w:val="28"/>
        </w:rPr>
        <w:t>%) на ГХ з ожирінням 1-3</w:t>
      </w:r>
      <w:r w:rsidRPr="007F5722">
        <w:rPr>
          <w:rFonts w:ascii="Times New Roman" w:eastAsia="Times New Roman" w:hAnsi="Times New Roman" w:cs="Times New Roman"/>
          <w:color w:val="000000"/>
          <w:sz w:val="28"/>
          <w:szCs w:val="28"/>
        </w:rPr>
        <w:t xml:space="preserve"> ступенів. Вік обстежених хворих, із яких</w:t>
      </w:r>
      <w:r w:rsidR="00DF5550" w:rsidRPr="007F5722">
        <w:rPr>
          <w:rFonts w:ascii="Times New Roman" w:eastAsia="Times New Roman" w:hAnsi="Times New Roman" w:cs="Times New Roman"/>
          <w:color w:val="000000"/>
          <w:sz w:val="28"/>
          <w:szCs w:val="28"/>
        </w:rPr>
        <w:t xml:space="preserve"> </w:t>
      </w:r>
      <w:r w:rsidR="003E58E7" w:rsidRPr="007F5722">
        <w:rPr>
          <w:rFonts w:ascii="Times New Roman" w:eastAsia="Times New Roman" w:hAnsi="Times New Roman" w:cs="Times New Roman"/>
          <w:color w:val="000000"/>
          <w:sz w:val="28"/>
          <w:szCs w:val="28"/>
        </w:rPr>
        <w:t>16 (32,7%) чоловіків та 33 (67,3</w:t>
      </w:r>
      <w:r w:rsidRPr="007F5722">
        <w:rPr>
          <w:rFonts w:ascii="Times New Roman" w:eastAsia="Times New Roman" w:hAnsi="Times New Roman" w:cs="Times New Roman"/>
          <w:color w:val="000000"/>
          <w:sz w:val="28"/>
          <w:szCs w:val="28"/>
        </w:rPr>
        <w:t>%) жінок, коливався від</w:t>
      </w:r>
      <w:r w:rsidR="00DF5550" w:rsidRPr="007F5722">
        <w:rPr>
          <w:rFonts w:ascii="Times New Roman" w:eastAsia="Times New Roman" w:hAnsi="Times New Roman" w:cs="Times New Roman"/>
          <w:color w:val="000000"/>
          <w:sz w:val="28"/>
          <w:szCs w:val="28"/>
        </w:rPr>
        <w:t xml:space="preserve"> 42 до 78 років. Медіана склала</w:t>
      </w:r>
      <w:r w:rsidRPr="007F5722">
        <w:rPr>
          <w:rFonts w:ascii="Times New Roman" w:eastAsia="Times New Roman" w:hAnsi="Times New Roman" w:cs="Times New Roman"/>
          <w:color w:val="000000"/>
          <w:sz w:val="28"/>
          <w:szCs w:val="28"/>
        </w:rPr>
        <w:t xml:space="preserve"> 58,0 років.</w:t>
      </w:r>
    </w:p>
    <w:p w:rsidR="006E72AD" w:rsidRPr="007F5722" w:rsidRDefault="00DF5550" w:rsidP="006E72A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В г</w:t>
      </w:r>
      <w:r w:rsidR="006E72AD" w:rsidRPr="007F5722">
        <w:rPr>
          <w:rFonts w:ascii="Times New Roman" w:eastAsia="Times New Roman" w:hAnsi="Times New Roman" w:cs="Times New Roman"/>
          <w:color w:val="000000"/>
          <w:sz w:val="28"/>
          <w:szCs w:val="28"/>
        </w:rPr>
        <w:t>рупу контролю увійшли 12 практично здорових осіб, з них 4 (33,3%) чоловіків та 8</w:t>
      </w:r>
      <w:r w:rsidRPr="007F5722">
        <w:rPr>
          <w:rFonts w:ascii="Times New Roman" w:eastAsia="Times New Roman" w:hAnsi="Times New Roman" w:cs="Times New Roman"/>
          <w:color w:val="000000"/>
          <w:sz w:val="28"/>
          <w:szCs w:val="28"/>
        </w:rPr>
        <w:t xml:space="preserve"> (66,7%) жінок. Вік осіб у цій групі коливав</w:t>
      </w:r>
      <w:r w:rsidR="006E72AD" w:rsidRPr="007F5722">
        <w:rPr>
          <w:rFonts w:ascii="Times New Roman" w:eastAsia="Times New Roman" w:hAnsi="Times New Roman" w:cs="Times New Roman"/>
          <w:color w:val="000000"/>
          <w:sz w:val="28"/>
          <w:szCs w:val="28"/>
        </w:rPr>
        <w:t>ся ві</w:t>
      </w:r>
      <w:r w:rsidRPr="007F5722">
        <w:rPr>
          <w:rFonts w:ascii="Times New Roman" w:eastAsia="Times New Roman" w:hAnsi="Times New Roman" w:cs="Times New Roman"/>
          <w:color w:val="000000"/>
          <w:sz w:val="28"/>
          <w:szCs w:val="28"/>
        </w:rPr>
        <w:t>д 41 до 60 років, медіана склала</w:t>
      </w:r>
      <w:r w:rsidR="006E72AD" w:rsidRPr="007F5722">
        <w:rPr>
          <w:rFonts w:ascii="Times New Roman" w:eastAsia="Times New Roman" w:hAnsi="Times New Roman" w:cs="Times New Roman"/>
          <w:color w:val="000000"/>
          <w:sz w:val="28"/>
          <w:szCs w:val="28"/>
        </w:rPr>
        <w:t xml:space="preserve"> 52,5 років.</w:t>
      </w:r>
    </w:p>
    <w:p w:rsidR="006E72AD" w:rsidRPr="007F5722" w:rsidRDefault="006E72AD" w:rsidP="006E72A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Ми проаналізува</w:t>
      </w:r>
      <w:r w:rsidR="00DF5550" w:rsidRPr="007F5722">
        <w:rPr>
          <w:rFonts w:ascii="Times New Roman" w:eastAsia="Times New Roman" w:hAnsi="Times New Roman" w:cs="Times New Roman"/>
          <w:color w:val="000000"/>
          <w:sz w:val="28"/>
          <w:szCs w:val="28"/>
        </w:rPr>
        <w:t>ли антропометричні показники у г</w:t>
      </w:r>
      <w:r w:rsidRPr="007F5722">
        <w:rPr>
          <w:rFonts w:ascii="Times New Roman" w:eastAsia="Times New Roman" w:hAnsi="Times New Roman" w:cs="Times New Roman"/>
          <w:color w:val="000000"/>
          <w:sz w:val="28"/>
          <w:szCs w:val="28"/>
        </w:rPr>
        <w:t>рупах пацієнтів, порівняльну характеристику котрих наведено у таблиці 3.1.1.</w:t>
      </w:r>
    </w:p>
    <w:p w:rsidR="006E72AD" w:rsidRPr="007F5722" w:rsidRDefault="006E72AD" w:rsidP="006E72AD">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DF5550" w:rsidRPr="007F5722" w:rsidRDefault="00DF5550" w:rsidP="006E72AD">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DF5550" w:rsidRPr="007F5722" w:rsidRDefault="00DF5550" w:rsidP="006E72AD">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DF5550" w:rsidRPr="007F5722" w:rsidRDefault="00DF5550" w:rsidP="006E72AD">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DF5550" w:rsidRPr="007F5722" w:rsidRDefault="00DF5550" w:rsidP="006E72AD">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DF5550" w:rsidRPr="007F5722" w:rsidRDefault="00DF5550" w:rsidP="006E72AD">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DF5550" w:rsidRPr="007F5722" w:rsidRDefault="00DF5550" w:rsidP="005F5E33">
      <w:pPr>
        <w:shd w:val="clear" w:color="auto" w:fill="FFFFFF"/>
        <w:spacing w:after="0" w:line="360" w:lineRule="auto"/>
        <w:jc w:val="both"/>
        <w:rPr>
          <w:rFonts w:ascii="Times New Roman" w:eastAsia="Times New Roman" w:hAnsi="Times New Roman" w:cs="Times New Roman"/>
          <w:color w:val="000000"/>
          <w:sz w:val="28"/>
          <w:szCs w:val="28"/>
        </w:rPr>
      </w:pPr>
    </w:p>
    <w:p w:rsidR="006E72AD" w:rsidRPr="007F5722" w:rsidRDefault="006E72AD" w:rsidP="00DF5550">
      <w:pPr>
        <w:shd w:val="clear" w:color="auto" w:fill="FFFFFF"/>
        <w:spacing w:after="0" w:line="360" w:lineRule="auto"/>
        <w:ind w:firstLine="709"/>
        <w:jc w:val="right"/>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Таблиця 3.1.1</w:t>
      </w:r>
    </w:p>
    <w:p w:rsidR="006E72AD" w:rsidRPr="007F5722" w:rsidRDefault="006E72AD" w:rsidP="006E72A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Характеристика обстежених за антропометричними</w:t>
      </w:r>
      <w:r w:rsidR="00DF0C63" w:rsidRPr="007F5722">
        <w:rPr>
          <w:rFonts w:ascii="Times New Roman" w:eastAsia="Times New Roman" w:hAnsi="Times New Roman" w:cs="Times New Roman"/>
          <w:color w:val="000000"/>
          <w:sz w:val="28"/>
          <w:szCs w:val="28"/>
          <w:lang w:val="ru-RU"/>
        </w:rPr>
        <w:t xml:space="preserve"> та </w:t>
      </w:r>
      <w:r w:rsidR="00DF0C63" w:rsidRPr="007F5722">
        <w:rPr>
          <w:rFonts w:ascii="Times New Roman" w:eastAsia="Times New Roman" w:hAnsi="Times New Roman" w:cs="Times New Roman"/>
          <w:color w:val="000000"/>
          <w:sz w:val="28"/>
          <w:szCs w:val="28"/>
        </w:rPr>
        <w:t>гемодинамічними</w:t>
      </w:r>
      <w:r w:rsidRPr="007F5722">
        <w:rPr>
          <w:rFonts w:ascii="Times New Roman" w:eastAsia="Times New Roman" w:hAnsi="Times New Roman" w:cs="Times New Roman"/>
          <w:color w:val="000000"/>
          <w:sz w:val="28"/>
          <w:szCs w:val="28"/>
        </w:rPr>
        <w:t xml:space="preserve"> показниками, Ме (Q</w:t>
      </w:r>
      <w:r w:rsidRPr="007F5722">
        <w:rPr>
          <w:rFonts w:ascii="Times New Roman" w:eastAsia="Times New Roman" w:hAnsi="Times New Roman" w:cs="Times New Roman"/>
          <w:color w:val="000000"/>
          <w:sz w:val="28"/>
          <w:szCs w:val="28"/>
          <w:vertAlign w:val="subscript"/>
        </w:rPr>
        <w:t>25</w:t>
      </w:r>
      <w:r w:rsidRPr="007F5722">
        <w:rPr>
          <w:rFonts w:ascii="Times New Roman" w:eastAsia="Times New Roman" w:hAnsi="Times New Roman" w:cs="Times New Roman"/>
          <w:color w:val="000000"/>
          <w:sz w:val="28"/>
          <w:szCs w:val="28"/>
        </w:rPr>
        <w:t>;Q</w:t>
      </w:r>
      <w:r w:rsidRPr="007F5722">
        <w:rPr>
          <w:rFonts w:ascii="Times New Roman" w:eastAsia="Times New Roman" w:hAnsi="Times New Roman" w:cs="Times New Roman"/>
          <w:color w:val="000000"/>
          <w:sz w:val="28"/>
          <w:szCs w:val="28"/>
          <w:vertAlign w:val="subscript"/>
        </w:rPr>
        <w:t>75</w:t>
      </w:r>
      <w:r w:rsidRPr="007F5722">
        <w:rPr>
          <w:rFonts w:ascii="Times New Roman" w:eastAsia="Times New Roman" w:hAnsi="Times New Roman" w:cs="Times New Roman"/>
          <w:color w:val="000000"/>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1830"/>
        <w:gridCol w:w="1841"/>
        <w:gridCol w:w="1841"/>
        <w:gridCol w:w="1839"/>
      </w:tblGrid>
      <w:tr w:rsidR="005461FF" w:rsidRPr="007F5722" w:rsidTr="005461FF">
        <w:tc>
          <w:tcPr>
            <w:tcW w:w="934" w:type="pct"/>
            <w:tcBorders>
              <w:top w:val="single" w:sz="4" w:space="0" w:color="auto"/>
              <w:left w:val="single" w:sz="4" w:space="0" w:color="auto"/>
              <w:bottom w:val="single" w:sz="4" w:space="0" w:color="auto"/>
              <w:right w:val="single" w:sz="4" w:space="0" w:color="auto"/>
              <w:tl2br w:val="single" w:sz="4" w:space="0" w:color="auto"/>
            </w:tcBorders>
          </w:tcPr>
          <w:p w:rsidR="005461FF" w:rsidRPr="007F5722" w:rsidRDefault="005461FF" w:rsidP="00DF0C63">
            <w:pPr>
              <w:shd w:val="clear" w:color="auto" w:fill="FFFFFF"/>
              <w:spacing w:after="0" w:line="360" w:lineRule="auto"/>
              <w:jc w:val="right"/>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Груп</w:t>
            </w:r>
            <w:r w:rsidR="00DF0C63" w:rsidRPr="007F5722">
              <w:rPr>
                <w:rFonts w:ascii="Times New Roman" w:eastAsia="Times New Roman" w:hAnsi="Times New Roman" w:cs="Times New Roman"/>
                <w:color w:val="000000"/>
                <w:sz w:val="28"/>
                <w:szCs w:val="28"/>
              </w:rPr>
              <w:t>а</w:t>
            </w:r>
          </w:p>
          <w:p w:rsidR="005461FF" w:rsidRPr="007F5722" w:rsidRDefault="005461FF" w:rsidP="00DF5550">
            <w:pPr>
              <w:shd w:val="clear" w:color="auto" w:fill="FFFFFF"/>
              <w:spacing w:after="0" w:line="360" w:lineRule="auto"/>
              <w:rPr>
                <w:rFonts w:ascii="Times New Roman" w:eastAsia="Times New Roman" w:hAnsi="Times New Roman" w:cs="Times New Roman"/>
                <w:color w:val="000000"/>
                <w:sz w:val="28"/>
                <w:szCs w:val="28"/>
              </w:rPr>
            </w:pPr>
          </w:p>
          <w:p w:rsidR="005461FF" w:rsidRPr="007F5722" w:rsidRDefault="005461FF" w:rsidP="00DF5550">
            <w:pPr>
              <w:shd w:val="clear" w:color="auto" w:fill="FFFFFF"/>
              <w:spacing w:after="0" w:line="360" w:lineRule="auto"/>
              <w:rPr>
                <w:rFonts w:ascii="Times New Roman" w:eastAsia="Times New Roman" w:hAnsi="Times New Roman" w:cs="Times New Roman"/>
                <w:color w:val="000000"/>
                <w:sz w:val="28"/>
                <w:szCs w:val="28"/>
              </w:rPr>
            </w:pPr>
          </w:p>
          <w:p w:rsidR="005461FF" w:rsidRPr="007F5722" w:rsidRDefault="005461FF" w:rsidP="00DF5550">
            <w:pPr>
              <w:shd w:val="clear" w:color="auto" w:fill="FFFFFF"/>
              <w:spacing w:after="0" w:line="360" w:lineRule="auto"/>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Показник</w:t>
            </w:r>
          </w:p>
        </w:tc>
        <w:tc>
          <w:tcPr>
            <w:tcW w:w="1013" w:type="pct"/>
            <w:tcBorders>
              <w:top w:val="single" w:sz="4" w:space="0" w:color="auto"/>
              <w:left w:val="single" w:sz="4" w:space="0" w:color="auto"/>
              <w:bottom w:val="single" w:sz="4" w:space="0" w:color="auto"/>
              <w:right w:val="single" w:sz="4" w:space="0" w:color="auto"/>
            </w:tcBorders>
          </w:tcPr>
          <w:p w:rsidR="005461FF" w:rsidRPr="007F5722" w:rsidRDefault="005461FF" w:rsidP="003E58E7">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Пацієнти з ГХ та нормальною масою тіла</w:t>
            </w:r>
          </w:p>
        </w:tc>
        <w:tc>
          <w:tcPr>
            <w:tcW w:w="1018" w:type="pct"/>
            <w:tcBorders>
              <w:top w:val="single" w:sz="4" w:space="0" w:color="auto"/>
              <w:left w:val="single" w:sz="4" w:space="0" w:color="auto"/>
              <w:bottom w:val="single" w:sz="4" w:space="0" w:color="auto"/>
              <w:right w:val="single" w:sz="4" w:space="0" w:color="auto"/>
            </w:tcBorders>
          </w:tcPr>
          <w:p w:rsidR="005461FF" w:rsidRPr="007F5722" w:rsidRDefault="005461FF"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Пацієнти з ГХ та надмірною масою тіла</w:t>
            </w:r>
          </w:p>
        </w:tc>
        <w:tc>
          <w:tcPr>
            <w:tcW w:w="1018" w:type="pct"/>
            <w:tcBorders>
              <w:top w:val="single" w:sz="4" w:space="0" w:color="auto"/>
              <w:left w:val="single" w:sz="4" w:space="0" w:color="auto"/>
              <w:bottom w:val="single" w:sz="4" w:space="0" w:color="auto"/>
              <w:right w:val="single" w:sz="4" w:space="0" w:color="auto"/>
            </w:tcBorders>
          </w:tcPr>
          <w:p w:rsidR="005461FF" w:rsidRPr="007F5722" w:rsidRDefault="005461FF" w:rsidP="003E58E7">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Пацієнти з ГХ та ожирінням 1-3 ступенів</w:t>
            </w:r>
          </w:p>
        </w:tc>
        <w:tc>
          <w:tcPr>
            <w:tcW w:w="1017" w:type="pct"/>
            <w:tcBorders>
              <w:top w:val="single" w:sz="4" w:space="0" w:color="auto"/>
              <w:left w:val="single" w:sz="4" w:space="0" w:color="auto"/>
              <w:bottom w:val="single" w:sz="4" w:space="0" w:color="auto"/>
              <w:right w:val="single" w:sz="4" w:space="0" w:color="auto"/>
            </w:tcBorders>
          </w:tcPr>
          <w:p w:rsidR="005461FF" w:rsidRPr="007F5722" w:rsidRDefault="005461FF" w:rsidP="003E58E7">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Група контролю</w:t>
            </w:r>
          </w:p>
        </w:tc>
      </w:tr>
      <w:tr w:rsidR="005461FF" w:rsidRPr="007F5722" w:rsidTr="005461FF">
        <w:tc>
          <w:tcPr>
            <w:tcW w:w="934" w:type="pct"/>
            <w:tcBorders>
              <w:top w:val="single" w:sz="4" w:space="0" w:color="auto"/>
              <w:left w:val="single" w:sz="4" w:space="0" w:color="auto"/>
              <w:bottom w:val="single" w:sz="4" w:space="0" w:color="auto"/>
              <w:right w:val="single" w:sz="4" w:space="0" w:color="auto"/>
            </w:tcBorders>
          </w:tcPr>
          <w:p w:rsidR="005461FF" w:rsidRPr="007F5722" w:rsidRDefault="005461FF"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Маса тіла, кг</w:t>
            </w:r>
          </w:p>
        </w:tc>
        <w:tc>
          <w:tcPr>
            <w:tcW w:w="1013" w:type="pct"/>
            <w:tcBorders>
              <w:top w:val="single" w:sz="4" w:space="0" w:color="auto"/>
              <w:left w:val="single" w:sz="4" w:space="0" w:color="auto"/>
              <w:bottom w:val="single" w:sz="4" w:space="0" w:color="auto"/>
              <w:right w:val="single" w:sz="4" w:space="0" w:color="auto"/>
            </w:tcBorders>
          </w:tcPr>
          <w:p w:rsidR="005461FF" w:rsidRPr="007F5722" w:rsidRDefault="005461FF"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63 (62; 70)</w:t>
            </w:r>
          </w:p>
        </w:tc>
        <w:tc>
          <w:tcPr>
            <w:tcW w:w="1018" w:type="pct"/>
            <w:tcBorders>
              <w:top w:val="single" w:sz="4" w:space="0" w:color="auto"/>
              <w:left w:val="single" w:sz="4" w:space="0" w:color="auto"/>
              <w:bottom w:val="single" w:sz="4" w:space="0" w:color="auto"/>
              <w:right w:val="single" w:sz="4" w:space="0" w:color="auto"/>
            </w:tcBorders>
          </w:tcPr>
          <w:p w:rsidR="005461FF" w:rsidRPr="007F5722" w:rsidRDefault="005461FF"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75,5 (72; 80)</w:t>
            </w:r>
          </w:p>
        </w:tc>
        <w:tc>
          <w:tcPr>
            <w:tcW w:w="1018" w:type="pct"/>
            <w:tcBorders>
              <w:top w:val="single" w:sz="4" w:space="0" w:color="auto"/>
              <w:left w:val="single" w:sz="4" w:space="0" w:color="auto"/>
              <w:bottom w:val="single" w:sz="4" w:space="0" w:color="auto"/>
              <w:right w:val="single" w:sz="4" w:space="0" w:color="auto"/>
            </w:tcBorders>
          </w:tcPr>
          <w:p w:rsidR="005461FF" w:rsidRPr="007F5722" w:rsidRDefault="005461FF"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99 (88; 105)</w:t>
            </w:r>
          </w:p>
        </w:tc>
        <w:tc>
          <w:tcPr>
            <w:tcW w:w="1017" w:type="pct"/>
            <w:tcBorders>
              <w:top w:val="single" w:sz="4" w:space="0" w:color="auto"/>
              <w:left w:val="single" w:sz="4" w:space="0" w:color="auto"/>
              <w:bottom w:val="single" w:sz="4" w:space="0" w:color="auto"/>
              <w:right w:val="single" w:sz="4" w:space="0" w:color="auto"/>
            </w:tcBorders>
          </w:tcPr>
          <w:p w:rsidR="005461FF" w:rsidRPr="007F5722" w:rsidRDefault="005461FF"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67 (61,5;74,5)</w:t>
            </w:r>
          </w:p>
        </w:tc>
      </w:tr>
      <w:tr w:rsidR="005461FF" w:rsidRPr="007F5722" w:rsidTr="005461FF">
        <w:tc>
          <w:tcPr>
            <w:tcW w:w="934" w:type="pct"/>
            <w:tcBorders>
              <w:top w:val="single" w:sz="4" w:space="0" w:color="auto"/>
              <w:left w:val="single" w:sz="4" w:space="0" w:color="auto"/>
              <w:bottom w:val="single" w:sz="4" w:space="0" w:color="auto"/>
              <w:right w:val="single" w:sz="4" w:space="0" w:color="auto"/>
            </w:tcBorders>
          </w:tcPr>
          <w:p w:rsidR="005461FF" w:rsidRPr="007F5722" w:rsidRDefault="005461FF"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Зріст, см</w:t>
            </w:r>
          </w:p>
        </w:tc>
        <w:tc>
          <w:tcPr>
            <w:tcW w:w="1013" w:type="pct"/>
            <w:tcBorders>
              <w:top w:val="single" w:sz="4" w:space="0" w:color="auto"/>
              <w:left w:val="single" w:sz="4" w:space="0" w:color="auto"/>
              <w:bottom w:val="single" w:sz="4" w:space="0" w:color="auto"/>
              <w:right w:val="single" w:sz="4" w:space="0" w:color="auto"/>
            </w:tcBorders>
          </w:tcPr>
          <w:p w:rsidR="005461FF" w:rsidRPr="007F5722" w:rsidRDefault="005461FF"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170 (165; 173)</w:t>
            </w:r>
          </w:p>
        </w:tc>
        <w:tc>
          <w:tcPr>
            <w:tcW w:w="1018" w:type="pct"/>
            <w:tcBorders>
              <w:top w:val="single" w:sz="4" w:space="0" w:color="auto"/>
              <w:left w:val="single" w:sz="4" w:space="0" w:color="auto"/>
              <w:bottom w:val="single" w:sz="4" w:space="0" w:color="auto"/>
              <w:right w:val="single" w:sz="4" w:space="0" w:color="auto"/>
            </w:tcBorders>
          </w:tcPr>
          <w:p w:rsidR="005461FF" w:rsidRPr="007F5722" w:rsidRDefault="005461FF"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164,5 (161; 170)</w:t>
            </w:r>
          </w:p>
        </w:tc>
        <w:tc>
          <w:tcPr>
            <w:tcW w:w="1018" w:type="pct"/>
            <w:tcBorders>
              <w:top w:val="single" w:sz="4" w:space="0" w:color="auto"/>
              <w:left w:val="single" w:sz="4" w:space="0" w:color="auto"/>
              <w:bottom w:val="single" w:sz="4" w:space="0" w:color="auto"/>
              <w:right w:val="single" w:sz="4" w:space="0" w:color="auto"/>
            </w:tcBorders>
          </w:tcPr>
          <w:p w:rsidR="005461FF" w:rsidRPr="007F5722" w:rsidRDefault="005461FF"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165 (164; 170)</w:t>
            </w:r>
          </w:p>
        </w:tc>
        <w:tc>
          <w:tcPr>
            <w:tcW w:w="1017" w:type="pct"/>
            <w:tcBorders>
              <w:top w:val="single" w:sz="4" w:space="0" w:color="auto"/>
              <w:left w:val="single" w:sz="4" w:space="0" w:color="auto"/>
              <w:bottom w:val="single" w:sz="4" w:space="0" w:color="auto"/>
              <w:right w:val="single" w:sz="4" w:space="0" w:color="auto"/>
            </w:tcBorders>
          </w:tcPr>
          <w:p w:rsidR="005461FF" w:rsidRPr="007F5722" w:rsidRDefault="005461FF"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169 (164; 174)</w:t>
            </w:r>
          </w:p>
        </w:tc>
      </w:tr>
      <w:tr w:rsidR="005461FF" w:rsidRPr="007F5722" w:rsidTr="005461FF">
        <w:tc>
          <w:tcPr>
            <w:tcW w:w="934" w:type="pct"/>
            <w:tcBorders>
              <w:top w:val="single" w:sz="4" w:space="0" w:color="auto"/>
              <w:left w:val="single" w:sz="4" w:space="0" w:color="auto"/>
              <w:bottom w:val="single" w:sz="4" w:space="0" w:color="auto"/>
              <w:right w:val="single" w:sz="4" w:space="0" w:color="auto"/>
            </w:tcBorders>
          </w:tcPr>
          <w:p w:rsidR="005461FF" w:rsidRPr="007F5722" w:rsidRDefault="005461FF"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ІМТ,кг/м</w:t>
            </w:r>
            <w:r w:rsidRPr="007F5722">
              <w:rPr>
                <w:rFonts w:ascii="Times New Roman" w:eastAsia="Times New Roman" w:hAnsi="Times New Roman" w:cs="Times New Roman"/>
                <w:color w:val="000000"/>
                <w:sz w:val="28"/>
                <w:szCs w:val="28"/>
                <w:vertAlign w:val="superscript"/>
              </w:rPr>
              <w:t>2</w:t>
            </w:r>
          </w:p>
        </w:tc>
        <w:tc>
          <w:tcPr>
            <w:tcW w:w="1013" w:type="pct"/>
            <w:tcBorders>
              <w:top w:val="single" w:sz="4" w:space="0" w:color="auto"/>
              <w:left w:val="single" w:sz="4" w:space="0" w:color="auto"/>
              <w:bottom w:val="single" w:sz="4" w:space="0" w:color="auto"/>
              <w:right w:val="single" w:sz="4" w:space="0" w:color="auto"/>
            </w:tcBorders>
          </w:tcPr>
          <w:p w:rsidR="005461FF" w:rsidRPr="007F5722" w:rsidRDefault="005461FF" w:rsidP="00A04C20">
            <w:pPr>
              <w:shd w:val="clear" w:color="auto" w:fill="FFFFFF"/>
              <w:spacing w:after="0" w:line="360" w:lineRule="auto"/>
              <w:jc w:val="center"/>
              <w:rPr>
                <w:rFonts w:ascii="Times New Roman" w:eastAsia="Times New Roman" w:hAnsi="Times New Roman" w:cs="Times New Roman"/>
                <w:color w:val="000000"/>
                <w:sz w:val="28"/>
                <w:szCs w:val="28"/>
                <w:lang w:val="en-US"/>
              </w:rPr>
            </w:pPr>
            <w:r w:rsidRPr="007F5722">
              <w:rPr>
                <w:rFonts w:ascii="Times New Roman" w:eastAsia="Times New Roman" w:hAnsi="Times New Roman" w:cs="Times New Roman"/>
                <w:color w:val="000000"/>
                <w:sz w:val="28"/>
                <w:szCs w:val="28"/>
              </w:rPr>
              <w:t>23,0 (21,5; 23,9)</w:t>
            </w:r>
          </w:p>
        </w:tc>
        <w:tc>
          <w:tcPr>
            <w:tcW w:w="1018" w:type="pct"/>
            <w:tcBorders>
              <w:top w:val="single" w:sz="4" w:space="0" w:color="auto"/>
              <w:left w:val="single" w:sz="4" w:space="0" w:color="auto"/>
              <w:bottom w:val="single" w:sz="4" w:space="0" w:color="auto"/>
              <w:right w:val="single" w:sz="4" w:space="0" w:color="auto"/>
            </w:tcBorders>
          </w:tcPr>
          <w:p w:rsidR="005461FF" w:rsidRPr="007F5722" w:rsidRDefault="005461FF" w:rsidP="00A04C20">
            <w:pPr>
              <w:shd w:val="clear" w:color="auto" w:fill="FFFFFF"/>
              <w:spacing w:after="0" w:line="360" w:lineRule="auto"/>
              <w:jc w:val="center"/>
              <w:rPr>
                <w:rFonts w:ascii="Times New Roman" w:eastAsia="Times New Roman" w:hAnsi="Times New Roman" w:cs="Times New Roman"/>
                <w:color w:val="000000"/>
                <w:sz w:val="28"/>
                <w:szCs w:val="28"/>
                <w:lang w:val="en-US"/>
              </w:rPr>
            </w:pPr>
            <w:r w:rsidRPr="007F5722">
              <w:rPr>
                <w:rFonts w:ascii="Times New Roman" w:eastAsia="Times New Roman" w:hAnsi="Times New Roman" w:cs="Times New Roman"/>
                <w:color w:val="000000"/>
                <w:sz w:val="28"/>
                <w:szCs w:val="28"/>
              </w:rPr>
              <w:t>27,7(27,1; 28,6)</w:t>
            </w:r>
          </w:p>
        </w:tc>
        <w:tc>
          <w:tcPr>
            <w:tcW w:w="1018" w:type="pct"/>
            <w:tcBorders>
              <w:top w:val="single" w:sz="4" w:space="0" w:color="auto"/>
              <w:left w:val="single" w:sz="4" w:space="0" w:color="auto"/>
              <w:bottom w:val="single" w:sz="4" w:space="0" w:color="auto"/>
              <w:right w:val="single" w:sz="4" w:space="0" w:color="auto"/>
            </w:tcBorders>
          </w:tcPr>
          <w:p w:rsidR="005461FF" w:rsidRPr="007F5722" w:rsidRDefault="005461FF" w:rsidP="00A04C20">
            <w:pPr>
              <w:shd w:val="clear" w:color="auto" w:fill="FFFFFF"/>
              <w:spacing w:after="0" w:line="360" w:lineRule="auto"/>
              <w:jc w:val="center"/>
              <w:rPr>
                <w:rFonts w:ascii="Times New Roman" w:eastAsia="Times New Roman" w:hAnsi="Times New Roman" w:cs="Times New Roman"/>
                <w:color w:val="000000"/>
                <w:sz w:val="28"/>
                <w:szCs w:val="28"/>
                <w:lang w:val="en-US"/>
              </w:rPr>
            </w:pPr>
            <w:r w:rsidRPr="007F5722">
              <w:rPr>
                <w:rFonts w:ascii="Times New Roman" w:eastAsia="Times New Roman" w:hAnsi="Times New Roman" w:cs="Times New Roman"/>
                <w:color w:val="000000"/>
                <w:sz w:val="28"/>
                <w:szCs w:val="28"/>
              </w:rPr>
              <w:t>34,8(31,9; 36,7)</w:t>
            </w:r>
          </w:p>
        </w:tc>
        <w:tc>
          <w:tcPr>
            <w:tcW w:w="1017" w:type="pct"/>
            <w:tcBorders>
              <w:top w:val="single" w:sz="4" w:space="0" w:color="auto"/>
              <w:left w:val="single" w:sz="4" w:space="0" w:color="auto"/>
              <w:bottom w:val="single" w:sz="4" w:space="0" w:color="auto"/>
              <w:right w:val="single" w:sz="4" w:space="0" w:color="auto"/>
            </w:tcBorders>
          </w:tcPr>
          <w:p w:rsidR="005461FF" w:rsidRPr="007F5722" w:rsidRDefault="005461FF"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24,3 (22,0; 24,8)</w:t>
            </w:r>
          </w:p>
        </w:tc>
      </w:tr>
      <w:tr w:rsidR="005461FF" w:rsidRPr="007F5722" w:rsidTr="005461FF">
        <w:tc>
          <w:tcPr>
            <w:tcW w:w="934" w:type="pct"/>
            <w:tcBorders>
              <w:top w:val="single" w:sz="4" w:space="0" w:color="auto"/>
              <w:left w:val="single" w:sz="4" w:space="0" w:color="auto"/>
              <w:bottom w:val="single" w:sz="4" w:space="0" w:color="auto"/>
              <w:right w:val="single" w:sz="4" w:space="0" w:color="auto"/>
            </w:tcBorders>
          </w:tcPr>
          <w:p w:rsidR="005461FF" w:rsidRPr="007F5722" w:rsidRDefault="005461FF"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ОТ, см</w:t>
            </w:r>
          </w:p>
        </w:tc>
        <w:tc>
          <w:tcPr>
            <w:tcW w:w="1013" w:type="pct"/>
            <w:tcBorders>
              <w:top w:val="single" w:sz="4" w:space="0" w:color="auto"/>
              <w:left w:val="single" w:sz="4" w:space="0" w:color="auto"/>
              <w:bottom w:val="single" w:sz="4" w:space="0" w:color="auto"/>
              <w:right w:val="single" w:sz="4" w:space="0" w:color="auto"/>
            </w:tcBorders>
          </w:tcPr>
          <w:p w:rsidR="005461FF" w:rsidRPr="007F5722" w:rsidRDefault="005461FF"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74 (68; 83)</w:t>
            </w:r>
          </w:p>
        </w:tc>
        <w:tc>
          <w:tcPr>
            <w:tcW w:w="1018" w:type="pct"/>
            <w:tcBorders>
              <w:top w:val="single" w:sz="4" w:space="0" w:color="auto"/>
              <w:left w:val="single" w:sz="4" w:space="0" w:color="auto"/>
              <w:bottom w:val="single" w:sz="4" w:space="0" w:color="auto"/>
              <w:right w:val="single" w:sz="4" w:space="0" w:color="auto"/>
            </w:tcBorders>
          </w:tcPr>
          <w:p w:rsidR="005461FF" w:rsidRPr="007F5722" w:rsidRDefault="005461FF"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94 (89; 98)</w:t>
            </w:r>
          </w:p>
        </w:tc>
        <w:tc>
          <w:tcPr>
            <w:tcW w:w="1018" w:type="pct"/>
            <w:tcBorders>
              <w:top w:val="single" w:sz="4" w:space="0" w:color="auto"/>
              <w:left w:val="single" w:sz="4" w:space="0" w:color="auto"/>
              <w:bottom w:val="single" w:sz="4" w:space="0" w:color="auto"/>
              <w:right w:val="single" w:sz="4" w:space="0" w:color="auto"/>
            </w:tcBorders>
          </w:tcPr>
          <w:p w:rsidR="005461FF" w:rsidRPr="007F5722" w:rsidRDefault="005461FF"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103 (95; 113)</w:t>
            </w:r>
          </w:p>
        </w:tc>
        <w:tc>
          <w:tcPr>
            <w:tcW w:w="1017" w:type="pct"/>
            <w:tcBorders>
              <w:top w:val="single" w:sz="4" w:space="0" w:color="auto"/>
              <w:left w:val="single" w:sz="4" w:space="0" w:color="auto"/>
              <w:bottom w:val="single" w:sz="4" w:space="0" w:color="auto"/>
              <w:right w:val="single" w:sz="4" w:space="0" w:color="auto"/>
            </w:tcBorders>
          </w:tcPr>
          <w:p w:rsidR="005461FF" w:rsidRPr="007F5722" w:rsidRDefault="005461FF"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73,5 (70; 77)</w:t>
            </w:r>
          </w:p>
        </w:tc>
      </w:tr>
      <w:tr w:rsidR="005461FF" w:rsidRPr="007F5722" w:rsidTr="005461FF">
        <w:tc>
          <w:tcPr>
            <w:tcW w:w="934" w:type="pct"/>
            <w:tcBorders>
              <w:top w:val="single" w:sz="4" w:space="0" w:color="auto"/>
              <w:left w:val="single" w:sz="4" w:space="0" w:color="auto"/>
              <w:bottom w:val="single" w:sz="4" w:space="0" w:color="auto"/>
              <w:right w:val="single" w:sz="4" w:space="0" w:color="auto"/>
            </w:tcBorders>
          </w:tcPr>
          <w:p w:rsidR="005461FF" w:rsidRPr="007F5722" w:rsidRDefault="005461FF"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ОС, см</w:t>
            </w:r>
          </w:p>
        </w:tc>
        <w:tc>
          <w:tcPr>
            <w:tcW w:w="1013" w:type="pct"/>
            <w:tcBorders>
              <w:top w:val="single" w:sz="4" w:space="0" w:color="auto"/>
              <w:left w:val="single" w:sz="4" w:space="0" w:color="auto"/>
              <w:bottom w:val="single" w:sz="4" w:space="0" w:color="auto"/>
              <w:right w:val="single" w:sz="4" w:space="0" w:color="auto"/>
            </w:tcBorders>
          </w:tcPr>
          <w:p w:rsidR="005461FF" w:rsidRPr="007F5722" w:rsidRDefault="005461FF"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93 (90; 103)</w:t>
            </w:r>
          </w:p>
        </w:tc>
        <w:tc>
          <w:tcPr>
            <w:tcW w:w="1018" w:type="pct"/>
            <w:tcBorders>
              <w:top w:val="single" w:sz="4" w:space="0" w:color="auto"/>
              <w:left w:val="single" w:sz="4" w:space="0" w:color="auto"/>
              <w:bottom w:val="single" w:sz="4" w:space="0" w:color="auto"/>
              <w:right w:val="single" w:sz="4" w:space="0" w:color="auto"/>
            </w:tcBorders>
          </w:tcPr>
          <w:p w:rsidR="005461FF" w:rsidRPr="007F5722" w:rsidRDefault="005461FF"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109,5(103; 114)</w:t>
            </w:r>
          </w:p>
        </w:tc>
        <w:tc>
          <w:tcPr>
            <w:tcW w:w="1018" w:type="pct"/>
            <w:tcBorders>
              <w:top w:val="single" w:sz="4" w:space="0" w:color="auto"/>
              <w:left w:val="single" w:sz="4" w:space="0" w:color="auto"/>
              <w:bottom w:val="single" w:sz="4" w:space="0" w:color="auto"/>
              <w:right w:val="single" w:sz="4" w:space="0" w:color="auto"/>
            </w:tcBorders>
          </w:tcPr>
          <w:p w:rsidR="005461FF" w:rsidRPr="007F5722" w:rsidRDefault="005461FF"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114 (105; 117)</w:t>
            </w:r>
          </w:p>
        </w:tc>
        <w:tc>
          <w:tcPr>
            <w:tcW w:w="1017" w:type="pct"/>
            <w:tcBorders>
              <w:top w:val="single" w:sz="4" w:space="0" w:color="auto"/>
              <w:left w:val="single" w:sz="4" w:space="0" w:color="auto"/>
              <w:bottom w:val="single" w:sz="4" w:space="0" w:color="auto"/>
              <w:right w:val="single" w:sz="4" w:space="0" w:color="auto"/>
            </w:tcBorders>
          </w:tcPr>
          <w:p w:rsidR="005461FF" w:rsidRPr="007F5722" w:rsidRDefault="005461FF"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94 (92,5; 98)</w:t>
            </w:r>
          </w:p>
        </w:tc>
      </w:tr>
      <w:tr w:rsidR="005461FF" w:rsidRPr="007F5722" w:rsidTr="005461FF">
        <w:tc>
          <w:tcPr>
            <w:tcW w:w="934" w:type="pct"/>
            <w:tcBorders>
              <w:top w:val="single" w:sz="4" w:space="0" w:color="auto"/>
              <w:left w:val="single" w:sz="4" w:space="0" w:color="auto"/>
              <w:bottom w:val="single" w:sz="4" w:space="0" w:color="auto"/>
              <w:right w:val="single" w:sz="4" w:space="0" w:color="auto"/>
            </w:tcBorders>
          </w:tcPr>
          <w:p w:rsidR="005461FF" w:rsidRPr="007F5722" w:rsidRDefault="005461FF"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ОТ/ОС,</w:t>
            </w:r>
          </w:p>
        </w:tc>
        <w:tc>
          <w:tcPr>
            <w:tcW w:w="1013" w:type="pct"/>
            <w:tcBorders>
              <w:top w:val="single" w:sz="4" w:space="0" w:color="auto"/>
              <w:left w:val="single" w:sz="4" w:space="0" w:color="auto"/>
              <w:bottom w:val="single" w:sz="4" w:space="0" w:color="auto"/>
              <w:right w:val="single" w:sz="4" w:space="0" w:color="auto"/>
            </w:tcBorders>
          </w:tcPr>
          <w:p w:rsidR="005461FF" w:rsidRPr="007F5722" w:rsidRDefault="005461FF"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0,79 (0,75; 0,83)</w:t>
            </w:r>
          </w:p>
        </w:tc>
        <w:tc>
          <w:tcPr>
            <w:tcW w:w="1018" w:type="pct"/>
            <w:tcBorders>
              <w:top w:val="single" w:sz="4" w:space="0" w:color="auto"/>
              <w:left w:val="single" w:sz="4" w:space="0" w:color="auto"/>
              <w:bottom w:val="single" w:sz="4" w:space="0" w:color="auto"/>
              <w:right w:val="single" w:sz="4" w:space="0" w:color="auto"/>
            </w:tcBorders>
          </w:tcPr>
          <w:p w:rsidR="005461FF" w:rsidRPr="007F5722" w:rsidRDefault="005461FF"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0,84(0,81; 0,88),</w:t>
            </w:r>
          </w:p>
        </w:tc>
        <w:tc>
          <w:tcPr>
            <w:tcW w:w="1018" w:type="pct"/>
            <w:tcBorders>
              <w:top w:val="single" w:sz="4" w:space="0" w:color="auto"/>
              <w:left w:val="single" w:sz="4" w:space="0" w:color="auto"/>
              <w:bottom w:val="single" w:sz="4" w:space="0" w:color="auto"/>
              <w:right w:val="single" w:sz="4" w:space="0" w:color="auto"/>
            </w:tcBorders>
          </w:tcPr>
          <w:p w:rsidR="005461FF" w:rsidRPr="007F5722" w:rsidRDefault="005461FF"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0,93 (0,87; 0,96)</w:t>
            </w:r>
          </w:p>
        </w:tc>
        <w:tc>
          <w:tcPr>
            <w:tcW w:w="1017" w:type="pct"/>
            <w:tcBorders>
              <w:top w:val="single" w:sz="4" w:space="0" w:color="auto"/>
              <w:left w:val="single" w:sz="4" w:space="0" w:color="auto"/>
              <w:bottom w:val="single" w:sz="4" w:space="0" w:color="auto"/>
              <w:right w:val="single" w:sz="4" w:space="0" w:color="auto"/>
            </w:tcBorders>
          </w:tcPr>
          <w:p w:rsidR="005461FF" w:rsidRPr="007F5722" w:rsidRDefault="005461FF"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0,77 (0,76; 0,79)</w:t>
            </w:r>
          </w:p>
        </w:tc>
      </w:tr>
      <w:tr w:rsidR="005461FF" w:rsidRPr="007F5722" w:rsidTr="005461FF">
        <w:tc>
          <w:tcPr>
            <w:tcW w:w="934" w:type="pct"/>
            <w:tcBorders>
              <w:top w:val="single" w:sz="4" w:space="0" w:color="auto"/>
              <w:left w:val="single" w:sz="4" w:space="0" w:color="auto"/>
              <w:bottom w:val="single" w:sz="4" w:space="0" w:color="auto"/>
              <w:right w:val="single" w:sz="4" w:space="0" w:color="auto"/>
            </w:tcBorders>
          </w:tcPr>
          <w:p w:rsidR="005461FF" w:rsidRPr="007F5722" w:rsidRDefault="005461FF"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ІЛ-22, пг/мл</w:t>
            </w:r>
          </w:p>
        </w:tc>
        <w:tc>
          <w:tcPr>
            <w:tcW w:w="1013" w:type="pct"/>
            <w:tcBorders>
              <w:top w:val="single" w:sz="4" w:space="0" w:color="auto"/>
              <w:left w:val="single" w:sz="4" w:space="0" w:color="auto"/>
              <w:bottom w:val="single" w:sz="4" w:space="0" w:color="auto"/>
              <w:right w:val="single" w:sz="4" w:space="0" w:color="auto"/>
            </w:tcBorders>
          </w:tcPr>
          <w:p w:rsidR="005461FF" w:rsidRPr="007F5722" w:rsidRDefault="00DF0C63"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23,14 (22,4</w:t>
            </w:r>
            <w:r w:rsidRPr="007F5722">
              <w:rPr>
                <w:rFonts w:ascii="Times New Roman" w:eastAsia="Times New Roman" w:hAnsi="Times New Roman" w:cs="Times New Roman"/>
                <w:color w:val="000000"/>
                <w:sz w:val="28"/>
                <w:szCs w:val="28"/>
                <w:lang w:val="ru-RU"/>
              </w:rPr>
              <w:t>7</w:t>
            </w:r>
            <w:r w:rsidR="005461FF" w:rsidRPr="007F5722">
              <w:rPr>
                <w:rFonts w:ascii="Times New Roman" w:eastAsia="Times New Roman" w:hAnsi="Times New Roman" w:cs="Times New Roman"/>
                <w:color w:val="000000"/>
                <w:sz w:val="28"/>
                <w:szCs w:val="28"/>
              </w:rPr>
              <w:t>; 23,76)</w:t>
            </w:r>
          </w:p>
        </w:tc>
        <w:tc>
          <w:tcPr>
            <w:tcW w:w="1018" w:type="pct"/>
            <w:tcBorders>
              <w:top w:val="single" w:sz="4" w:space="0" w:color="auto"/>
              <w:left w:val="single" w:sz="4" w:space="0" w:color="auto"/>
              <w:bottom w:val="single" w:sz="4" w:space="0" w:color="auto"/>
              <w:right w:val="single" w:sz="4" w:space="0" w:color="auto"/>
            </w:tcBorders>
          </w:tcPr>
          <w:p w:rsidR="005461FF" w:rsidRPr="007F5722" w:rsidRDefault="00DF0C63"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28,64 (27,4</w:t>
            </w:r>
            <w:r w:rsidRPr="007F5722">
              <w:rPr>
                <w:rFonts w:ascii="Times New Roman" w:eastAsia="Times New Roman" w:hAnsi="Times New Roman" w:cs="Times New Roman"/>
                <w:color w:val="000000"/>
                <w:sz w:val="28"/>
                <w:szCs w:val="28"/>
                <w:lang w:val="ru-RU"/>
              </w:rPr>
              <w:t>9</w:t>
            </w:r>
            <w:r w:rsidR="005461FF" w:rsidRPr="007F5722">
              <w:rPr>
                <w:rFonts w:ascii="Times New Roman" w:eastAsia="Times New Roman" w:hAnsi="Times New Roman" w:cs="Times New Roman"/>
                <w:color w:val="000000"/>
                <w:sz w:val="28"/>
                <w:szCs w:val="28"/>
              </w:rPr>
              <w:t>; 28,94)</w:t>
            </w:r>
          </w:p>
        </w:tc>
        <w:tc>
          <w:tcPr>
            <w:tcW w:w="1018" w:type="pct"/>
            <w:tcBorders>
              <w:top w:val="single" w:sz="4" w:space="0" w:color="auto"/>
              <w:left w:val="single" w:sz="4" w:space="0" w:color="auto"/>
              <w:bottom w:val="single" w:sz="4" w:space="0" w:color="auto"/>
              <w:right w:val="single" w:sz="4" w:space="0" w:color="auto"/>
            </w:tcBorders>
          </w:tcPr>
          <w:p w:rsidR="005461FF" w:rsidRPr="007F5722" w:rsidRDefault="00DF0C63"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Calibri" w:hAnsi="Times New Roman" w:cs="Times New Roman"/>
                <w:sz w:val="28"/>
                <w:szCs w:val="28"/>
              </w:rPr>
              <w:t>40,05 (35,23; 53,02)</w:t>
            </w:r>
          </w:p>
        </w:tc>
        <w:tc>
          <w:tcPr>
            <w:tcW w:w="1017" w:type="pct"/>
            <w:tcBorders>
              <w:top w:val="single" w:sz="4" w:space="0" w:color="auto"/>
              <w:left w:val="single" w:sz="4" w:space="0" w:color="auto"/>
              <w:bottom w:val="single" w:sz="4" w:space="0" w:color="auto"/>
              <w:right w:val="single" w:sz="4" w:space="0" w:color="auto"/>
            </w:tcBorders>
          </w:tcPr>
          <w:p w:rsidR="005461FF" w:rsidRPr="007F5722" w:rsidRDefault="005461FF"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19,81 (18,77; 20,15)</w:t>
            </w:r>
          </w:p>
        </w:tc>
      </w:tr>
      <w:tr w:rsidR="00DF0C63" w:rsidRPr="007F5722" w:rsidTr="005461FF">
        <w:tc>
          <w:tcPr>
            <w:tcW w:w="934" w:type="pct"/>
            <w:tcBorders>
              <w:top w:val="single" w:sz="4" w:space="0" w:color="auto"/>
              <w:left w:val="single" w:sz="4" w:space="0" w:color="auto"/>
              <w:bottom w:val="single" w:sz="4" w:space="0" w:color="auto"/>
              <w:right w:val="single" w:sz="4" w:space="0" w:color="auto"/>
            </w:tcBorders>
          </w:tcPr>
          <w:p w:rsidR="00DF0C63" w:rsidRPr="007F5722" w:rsidRDefault="00DF0C63" w:rsidP="00DF0C63">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САТ, мм рт.ст.</w:t>
            </w:r>
          </w:p>
        </w:tc>
        <w:tc>
          <w:tcPr>
            <w:tcW w:w="1013" w:type="pct"/>
            <w:tcBorders>
              <w:top w:val="single" w:sz="4" w:space="0" w:color="auto"/>
              <w:left w:val="single" w:sz="4" w:space="0" w:color="auto"/>
              <w:bottom w:val="single" w:sz="4" w:space="0" w:color="auto"/>
              <w:right w:val="single" w:sz="4" w:space="0" w:color="auto"/>
            </w:tcBorders>
          </w:tcPr>
          <w:p w:rsidR="00DF0C63" w:rsidRPr="007F5722" w:rsidRDefault="008D6760"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140 (130; 150)</w:t>
            </w:r>
          </w:p>
        </w:tc>
        <w:tc>
          <w:tcPr>
            <w:tcW w:w="1018" w:type="pct"/>
            <w:tcBorders>
              <w:top w:val="single" w:sz="4" w:space="0" w:color="auto"/>
              <w:left w:val="single" w:sz="4" w:space="0" w:color="auto"/>
              <w:bottom w:val="single" w:sz="4" w:space="0" w:color="auto"/>
              <w:right w:val="single" w:sz="4" w:space="0" w:color="auto"/>
            </w:tcBorders>
          </w:tcPr>
          <w:p w:rsidR="00DF0C63" w:rsidRPr="007F5722" w:rsidRDefault="008D6760"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140 (130; 160)</w:t>
            </w:r>
          </w:p>
        </w:tc>
        <w:tc>
          <w:tcPr>
            <w:tcW w:w="1018" w:type="pct"/>
            <w:tcBorders>
              <w:top w:val="single" w:sz="4" w:space="0" w:color="auto"/>
              <w:left w:val="single" w:sz="4" w:space="0" w:color="auto"/>
              <w:bottom w:val="single" w:sz="4" w:space="0" w:color="auto"/>
              <w:right w:val="single" w:sz="4" w:space="0" w:color="auto"/>
            </w:tcBorders>
          </w:tcPr>
          <w:p w:rsidR="00DF0C63" w:rsidRPr="007F5722" w:rsidRDefault="008D6760" w:rsidP="00A04C20">
            <w:pPr>
              <w:shd w:val="clear" w:color="auto" w:fill="FFFFFF"/>
              <w:spacing w:after="0" w:line="360" w:lineRule="auto"/>
              <w:jc w:val="center"/>
              <w:rPr>
                <w:rFonts w:ascii="Times New Roman" w:eastAsia="Calibri" w:hAnsi="Times New Roman" w:cs="Times New Roman"/>
                <w:sz w:val="28"/>
                <w:szCs w:val="28"/>
              </w:rPr>
            </w:pPr>
            <w:r w:rsidRPr="007F5722">
              <w:rPr>
                <w:rFonts w:ascii="Times New Roman" w:eastAsia="Calibri" w:hAnsi="Times New Roman" w:cs="Times New Roman"/>
                <w:sz w:val="28"/>
                <w:szCs w:val="28"/>
              </w:rPr>
              <w:t>150 (130; 160)</w:t>
            </w:r>
          </w:p>
        </w:tc>
        <w:tc>
          <w:tcPr>
            <w:tcW w:w="1017" w:type="pct"/>
            <w:tcBorders>
              <w:top w:val="single" w:sz="4" w:space="0" w:color="auto"/>
              <w:left w:val="single" w:sz="4" w:space="0" w:color="auto"/>
              <w:bottom w:val="single" w:sz="4" w:space="0" w:color="auto"/>
              <w:right w:val="single" w:sz="4" w:space="0" w:color="auto"/>
            </w:tcBorders>
          </w:tcPr>
          <w:p w:rsidR="00DF0C63" w:rsidRPr="007F5722" w:rsidRDefault="008D6760"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120 (117,5; 122,5)</w:t>
            </w:r>
          </w:p>
        </w:tc>
      </w:tr>
      <w:tr w:rsidR="00DF0C63" w:rsidRPr="007F5722" w:rsidTr="005461FF">
        <w:tc>
          <w:tcPr>
            <w:tcW w:w="934" w:type="pct"/>
            <w:tcBorders>
              <w:top w:val="single" w:sz="4" w:space="0" w:color="auto"/>
              <w:left w:val="single" w:sz="4" w:space="0" w:color="auto"/>
              <w:bottom w:val="single" w:sz="4" w:space="0" w:color="auto"/>
              <w:right w:val="single" w:sz="4" w:space="0" w:color="auto"/>
            </w:tcBorders>
          </w:tcPr>
          <w:p w:rsidR="00DF0C63" w:rsidRPr="007F5722" w:rsidRDefault="00DF0C63"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ДАТ, мм рт.ст.</w:t>
            </w:r>
          </w:p>
        </w:tc>
        <w:tc>
          <w:tcPr>
            <w:tcW w:w="1013" w:type="pct"/>
            <w:tcBorders>
              <w:top w:val="single" w:sz="4" w:space="0" w:color="auto"/>
              <w:left w:val="single" w:sz="4" w:space="0" w:color="auto"/>
              <w:bottom w:val="single" w:sz="4" w:space="0" w:color="auto"/>
              <w:right w:val="single" w:sz="4" w:space="0" w:color="auto"/>
            </w:tcBorders>
          </w:tcPr>
          <w:p w:rsidR="00DF0C63" w:rsidRPr="007F5722" w:rsidRDefault="008D6760"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80 (80;90)</w:t>
            </w:r>
          </w:p>
        </w:tc>
        <w:tc>
          <w:tcPr>
            <w:tcW w:w="1018" w:type="pct"/>
            <w:tcBorders>
              <w:top w:val="single" w:sz="4" w:space="0" w:color="auto"/>
              <w:left w:val="single" w:sz="4" w:space="0" w:color="auto"/>
              <w:bottom w:val="single" w:sz="4" w:space="0" w:color="auto"/>
              <w:right w:val="single" w:sz="4" w:space="0" w:color="auto"/>
            </w:tcBorders>
          </w:tcPr>
          <w:p w:rsidR="00DF0C63" w:rsidRPr="007F5722" w:rsidRDefault="008D6760"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80 (80;90)</w:t>
            </w:r>
          </w:p>
        </w:tc>
        <w:tc>
          <w:tcPr>
            <w:tcW w:w="1018" w:type="pct"/>
            <w:tcBorders>
              <w:top w:val="single" w:sz="4" w:space="0" w:color="auto"/>
              <w:left w:val="single" w:sz="4" w:space="0" w:color="auto"/>
              <w:bottom w:val="single" w:sz="4" w:space="0" w:color="auto"/>
              <w:right w:val="single" w:sz="4" w:space="0" w:color="auto"/>
            </w:tcBorders>
          </w:tcPr>
          <w:p w:rsidR="00DF0C63" w:rsidRPr="007F5722" w:rsidRDefault="008D6760" w:rsidP="00A04C20">
            <w:pPr>
              <w:shd w:val="clear" w:color="auto" w:fill="FFFFFF"/>
              <w:spacing w:after="0" w:line="360" w:lineRule="auto"/>
              <w:jc w:val="center"/>
              <w:rPr>
                <w:rFonts w:ascii="Times New Roman" w:eastAsia="Calibri" w:hAnsi="Times New Roman" w:cs="Times New Roman"/>
                <w:sz w:val="28"/>
                <w:szCs w:val="28"/>
              </w:rPr>
            </w:pPr>
            <w:r w:rsidRPr="007F5722">
              <w:rPr>
                <w:rFonts w:ascii="Times New Roman" w:eastAsia="Calibri" w:hAnsi="Times New Roman" w:cs="Times New Roman"/>
                <w:sz w:val="28"/>
                <w:szCs w:val="28"/>
              </w:rPr>
              <w:t>80 (80;90)</w:t>
            </w:r>
          </w:p>
        </w:tc>
        <w:tc>
          <w:tcPr>
            <w:tcW w:w="1017" w:type="pct"/>
            <w:tcBorders>
              <w:top w:val="single" w:sz="4" w:space="0" w:color="auto"/>
              <w:left w:val="single" w:sz="4" w:space="0" w:color="auto"/>
              <w:bottom w:val="single" w:sz="4" w:space="0" w:color="auto"/>
              <w:right w:val="single" w:sz="4" w:space="0" w:color="auto"/>
            </w:tcBorders>
          </w:tcPr>
          <w:p w:rsidR="00DF0C63" w:rsidRPr="007F5722" w:rsidRDefault="008D6760"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70 (70;80)</w:t>
            </w:r>
          </w:p>
        </w:tc>
      </w:tr>
      <w:tr w:rsidR="00DF0C63" w:rsidRPr="007F5722" w:rsidTr="005461FF">
        <w:tc>
          <w:tcPr>
            <w:tcW w:w="934" w:type="pct"/>
            <w:tcBorders>
              <w:top w:val="single" w:sz="4" w:space="0" w:color="auto"/>
              <w:left w:val="single" w:sz="4" w:space="0" w:color="auto"/>
              <w:bottom w:val="single" w:sz="4" w:space="0" w:color="auto"/>
              <w:right w:val="single" w:sz="4" w:space="0" w:color="auto"/>
            </w:tcBorders>
          </w:tcPr>
          <w:p w:rsidR="00DF0C63" w:rsidRPr="007F5722" w:rsidRDefault="00DF0C63"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ПАТ, мм рт.ст</w:t>
            </w:r>
          </w:p>
        </w:tc>
        <w:tc>
          <w:tcPr>
            <w:tcW w:w="1013" w:type="pct"/>
            <w:tcBorders>
              <w:top w:val="single" w:sz="4" w:space="0" w:color="auto"/>
              <w:left w:val="single" w:sz="4" w:space="0" w:color="auto"/>
              <w:bottom w:val="single" w:sz="4" w:space="0" w:color="auto"/>
              <w:right w:val="single" w:sz="4" w:space="0" w:color="auto"/>
            </w:tcBorders>
          </w:tcPr>
          <w:p w:rsidR="00DF0C63" w:rsidRPr="007F5722" w:rsidRDefault="008D6760"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50 (40; 60)</w:t>
            </w:r>
          </w:p>
        </w:tc>
        <w:tc>
          <w:tcPr>
            <w:tcW w:w="1018" w:type="pct"/>
            <w:tcBorders>
              <w:top w:val="single" w:sz="4" w:space="0" w:color="auto"/>
              <w:left w:val="single" w:sz="4" w:space="0" w:color="auto"/>
              <w:bottom w:val="single" w:sz="4" w:space="0" w:color="auto"/>
              <w:right w:val="single" w:sz="4" w:space="0" w:color="auto"/>
            </w:tcBorders>
          </w:tcPr>
          <w:p w:rsidR="00DF0C63" w:rsidRPr="007F5722" w:rsidRDefault="008D6760" w:rsidP="008D676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60 (50; 60)</w:t>
            </w:r>
          </w:p>
        </w:tc>
        <w:tc>
          <w:tcPr>
            <w:tcW w:w="1018" w:type="pct"/>
            <w:tcBorders>
              <w:top w:val="single" w:sz="4" w:space="0" w:color="auto"/>
              <w:left w:val="single" w:sz="4" w:space="0" w:color="auto"/>
              <w:bottom w:val="single" w:sz="4" w:space="0" w:color="auto"/>
              <w:right w:val="single" w:sz="4" w:space="0" w:color="auto"/>
            </w:tcBorders>
          </w:tcPr>
          <w:p w:rsidR="00DF0C63" w:rsidRPr="007F5722" w:rsidRDefault="008D6760" w:rsidP="00A04C20">
            <w:pPr>
              <w:shd w:val="clear" w:color="auto" w:fill="FFFFFF"/>
              <w:spacing w:after="0" w:line="360" w:lineRule="auto"/>
              <w:jc w:val="center"/>
              <w:rPr>
                <w:rFonts w:ascii="Times New Roman" w:eastAsia="Calibri" w:hAnsi="Times New Roman" w:cs="Times New Roman"/>
                <w:sz w:val="28"/>
                <w:szCs w:val="28"/>
              </w:rPr>
            </w:pPr>
            <w:r w:rsidRPr="007F5722">
              <w:rPr>
                <w:rFonts w:ascii="Times New Roman" w:eastAsia="Calibri" w:hAnsi="Times New Roman" w:cs="Times New Roman"/>
                <w:sz w:val="28"/>
                <w:szCs w:val="28"/>
              </w:rPr>
              <w:t>60 (50; 70)</w:t>
            </w:r>
          </w:p>
        </w:tc>
        <w:tc>
          <w:tcPr>
            <w:tcW w:w="1017" w:type="pct"/>
            <w:tcBorders>
              <w:top w:val="single" w:sz="4" w:space="0" w:color="auto"/>
              <w:left w:val="single" w:sz="4" w:space="0" w:color="auto"/>
              <w:bottom w:val="single" w:sz="4" w:space="0" w:color="auto"/>
              <w:right w:val="single" w:sz="4" w:space="0" w:color="auto"/>
            </w:tcBorders>
          </w:tcPr>
          <w:p w:rsidR="00DF0C63" w:rsidRPr="007F5722" w:rsidRDefault="008D6760"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42,5 (40; 50)</w:t>
            </w:r>
          </w:p>
        </w:tc>
      </w:tr>
      <w:tr w:rsidR="00DF0C63" w:rsidRPr="007F5722" w:rsidTr="005461FF">
        <w:tc>
          <w:tcPr>
            <w:tcW w:w="934" w:type="pct"/>
            <w:tcBorders>
              <w:top w:val="single" w:sz="4" w:space="0" w:color="auto"/>
              <w:left w:val="single" w:sz="4" w:space="0" w:color="auto"/>
              <w:bottom w:val="single" w:sz="4" w:space="0" w:color="auto"/>
              <w:right w:val="single" w:sz="4" w:space="0" w:color="auto"/>
            </w:tcBorders>
          </w:tcPr>
          <w:p w:rsidR="00DF0C63" w:rsidRPr="007F5722" w:rsidRDefault="00DF0C63"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ЧСС, уд/хв</w:t>
            </w:r>
          </w:p>
        </w:tc>
        <w:tc>
          <w:tcPr>
            <w:tcW w:w="1013" w:type="pct"/>
            <w:tcBorders>
              <w:top w:val="single" w:sz="4" w:space="0" w:color="auto"/>
              <w:left w:val="single" w:sz="4" w:space="0" w:color="auto"/>
              <w:bottom w:val="single" w:sz="4" w:space="0" w:color="auto"/>
              <w:right w:val="single" w:sz="4" w:space="0" w:color="auto"/>
            </w:tcBorders>
          </w:tcPr>
          <w:p w:rsidR="00DF0C63" w:rsidRPr="007F5722" w:rsidRDefault="008D6760" w:rsidP="008D676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80 (78; 85)</w:t>
            </w:r>
          </w:p>
        </w:tc>
        <w:tc>
          <w:tcPr>
            <w:tcW w:w="1018" w:type="pct"/>
            <w:tcBorders>
              <w:top w:val="single" w:sz="4" w:space="0" w:color="auto"/>
              <w:left w:val="single" w:sz="4" w:space="0" w:color="auto"/>
              <w:bottom w:val="single" w:sz="4" w:space="0" w:color="auto"/>
              <w:right w:val="single" w:sz="4" w:space="0" w:color="auto"/>
            </w:tcBorders>
          </w:tcPr>
          <w:p w:rsidR="00DF0C63" w:rsidRPr="007F5722" w:rsidRDefault="008D6760"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80 (70; 86)</w:t>
            </w:r>
          </w:p>
        </w:tc>
        <w:tc>
          <w:tcPr>
            <w:tcW w:w="1018" w:type="pct"/>
            <w:tcBorders>
              <w:top w:val="single" w:sz="4" w:space="0" w:color="auto"/>
              <w:left w:val="single" w:sz="4" w:space="0" w:color="auto"/>
              <w:bottom w:val="single" w:sz="4" w:space="0" w:color="auto"/>
              <w:right w:val="single" w:sz="4" w:space="0" w:color="auto"/>
            </w:tcBorders>
          </w:tcPr>
          <w:p w:rsidR="00DF0C63" w:rsidRPr="007F5722" w:rsidRDefault="008D6760" w:rsidP="00A04C20">
            <w:pPr>
              <w:shd w:val="clear" w:color="auto" w:fill="FFFFFF"/>
              <w:spacing w:after="0" w:line="360" w:lineRule="auto"/>
              <w:jc w:val="center"/>
              <w:rPr>
                <w:rFonts w:ascii="Times New Roman" w:eastAsia="Calibri" w:hAnsi="Times New Roman" w:cs="Times New Roman"/>
                <w:sz w:val="28"/>
                <w:szCs w:val="28"/>
              </w:rPr>
            </w:pPr>
            <w:r w:rsidRPr="007F5722">
              <w:rPr>
                <w:rFonts w:ascii="Times New Roman" w:eastAsia="Calibri" w:hAnsi="Times New Roman" w:cs="Times New Roman"/>
                <w:sz w:val="28"/>
                <w:szCs w:val="28"/>
              </w:rPr>
              <w:t>80 (72; 84)</w:t>
            </w:r>
          </w:p>
        </w:tc>
        <w:tc>
          <w:tcPr>
            <w:tcW w:w="1017" w:type="pct"/>
            <w:tcBorders>
              <w:top w:val="single" w:sz="4" w:space="0" w:color="auto"/>
              <w:left w:val="single" w:sz="4" w:space="0" w:color="auto"/>
              <w:bottom w:val="single" w:sz="4" w:space="0" w:color="auto"/>
              <w:right w:val="single" w:sz="4" w:space="0" w:color="auto"/>
            </w:tcBorders>
          </w:tcPr>
          <w:p w:rsidR="00DF0C63" w:rsidRPr="007F5722" w:rsidRDefault="008D6760"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67 (64,5; 71)</w:t>
            </w:r>
          </w:p>
        </w:tc>
      </w:tr>
      <w:tr w:rsidR="00DF0C63" w:rsidRPr="007F5722" w:rsidTr="005461FF">
        <w:tc>
          <w:tcPr>
            <w:tcW w:w="934" w:type="pct"/>
            <w:tcBorders>
              <w:top w:val="single" w:sz="4" w:space="0" w:color="auto"/>
              <w:left w:val="single" w:sz="4" w:space="0" w:color="auto"/>
              <w:bottom w:val="single" w:sz="4" w:space="0" w:color="auto"/>
              <w:right w:val="single" w:sz="4" w:space="0" w:color="auto"/>
            </w:tcBorders>
          </w:tcPr>
          <w:p w:rsidR="00DF0C63" w:rsidRPr="007F5722" w:rsidRDefault="00DF0C63"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Тривалість ГХ, роки</w:t>
            </w:r>
          </w:p>
        </w:tc>
        <w:tc>
          <w:tcPr>
            <w:tcW w:w="1013" w:type="pct"/>
            <w:tcBorders>
              <w:top w:val="single" w:sz="4" w:space="0" w:color="auto"/>
              <w:left w:val="single" w:sz="4" w:space="0" w:color="auto"/>
              <w:bottom w:val="single" w:sz="4" w:space="0" w:color="auto"/>
              <w:right w:val="single" w:sz="4" w:space="0" w:color="auto"/>
            </w:tcBorders>
          </w:tcPr>
          <w:p w:rsidR="00DF0C63" w:rsidRPr="007F5722" w:rsidRDefault="008D6760"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7 (2; 10)</w:t>
            </w:r>
          </w:p>
        </w:tc>
        <w:tc>
          <w:tcPr>
            <w:tcW w:w="1018" w:type="pct"/>
            <w:tcBorders>
              <w:top w:val="single" w:sz="4" w:space="0" w:color="auto"/>
              <w:left w:val="single" w:sz="4" w:space="0" w:color="auto"/>
              <w:bottom w:val="single" w:sz="4" w:space="0" w:color="auto"/>
              <w:right w:val="single" w:sz="4" w:space="0" w:color="auto"/>
            </w:tcBorders>
          </w:tcPr>
          <w:p w:rsidR="00DF0C63" w:rsidRPr="007F5722" w:rsidRDefault="008D6760"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7 (3; 12)</w:t>
            </w:r>
          </w:p>
        </w:tc>
        <w:tc>
          <w:tcPr>
            <w:tcW w:w="1018" w:type="pct"/>
            <w:tcBorders>
              <w:top w:val="single" w:sz="4" w:space="0" w:color="auto"/>
              <w:left w:val="single" w:sz="4" w:space="0" w:color="auto"/>
              <w:bottom w:val="single" w:sz="4" w:space="0" w:color="auto"/>
              <w:right w:val="single" w:sz="4" w:space="0" w:color="auto"/>
            </w:tcBorders>
          </w:tcPr>
          <w:p w:rsidR="00DF0C63" w:rsidRPr="007F5722" w:rsidRDefault="008D6760" w:rsidP="00A04C20">
            <w:pPr>
              <w:shd w:val="clear" w:color="auto" w:fill="FFFFFF"/>
              <w:spacing w:after="0" w:line="360" w:lineRule="auto"/>
              <w:jc w:val="center"/>
              <w:rPr>
                <w:rFonts w:ascii="Times New Roman" w:eastAsia="Calibri" w:hAnsi="Times New Roman" w:cs="Times New Roman"/>
                <w:sz w:val="28"/>
                <w:szCs w:val="28"/>
              </w:rPr>
            </w:pPr>
            <w:r w:rsidRPr="007F5722">
              <w:rPr>
                <w:rFonts w:ascii="Times New Roman" w:eastAsia="Calibri" w:hAnsi="Times New Roman" w:cs="Times New Roman"/>
                <w:sz w:val="28"/>
                <w:szCs w:val="28"/>
              </w:rPr>
              <w:t>7 (3; 15)</w:t>
            </w:r>
          </w:p>
        </w:tc>
        <w:tc>
          <w:tcPr>
            <w:tcW w:w="1017" w:type="pct"/>
            <w:tcBorders>
              <w:top w:val="single" w:sz="4" w:space="0" w:color="auto"/>
              <w:left w:val="single" w:sz="4" w:space="0" w:color="auto"/>
              <w:bottom w:val="single" w:sz="4" w:space="0" w:color="auto"/>
              <w:right w:val="single" w:sz="4" w:space="0" w:color="auto"/>
            </w:tcBorders>
          </w:tcPr>
          <w:p w:rsidR="00DF0C63" w:rsidRPr="007F5722" w:rsidRDefault="008D6760" w:rsidP="00A04C20">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w:t>
            </w:r>
          </w:p>
        </w:tc>
      </w:tr>
    </w:tbl>
    <w:p w:rsidR="005461FF" w:rsidRPr="007F5722" w:rsidRDefault="007D20E8" w:rsidP="005461FF">
      <w:pPr>
        <w:shd w:val="clear" w:color="auto" w:fill="FFFFFF"/>
        <w:spacing w:after="0" w:line="360" w:lineRule="auto"/>
        <w:ind w:firstLine="709"/>
        <w:jc w:val="both"/>
        <w:rPr>
          <w:rFonts w:ascii="Times New Roman" w:eastAsia="Calibri" w:hAnsi="Times New Roman" w:cs="Times New Roman"/>
          <w:sz w:val="28"/>
          <w:szCs w:val="15"/>
        </w:rPr>
      </w:pPr>
      <w:r>
        <w:rPr>
          <w:rFonts w:ascii="Times New Roman" w:eastAsia="Calibri" w:hAnsi="Times New Roman" w:cs="Times New Roman"/>
          <w:sz w:val="28"/>
          <w:szCs w:val="15"/>
        </w:rPr>
        <w:t>Було визначено, що найвищі показники ІЛ-22 спостерігаються у хворих на ГХ в поєднанні з ожирінням І-ІІІ ступенів.</w:t>
      </w:r>
    </w:p>
    <w:p w:rsidR="005461FF" w:rsidRPr="007F5722" w:rsidRDefault="005461FF" w:rsidP="005461FF">
      <w:pPr>
        <w:shd w:val="clear" w:color="auto" w:fill="FFFFFF"/>
        <w:spacing w:after="0" w:line="360" w:lineRule="auto"/>
        <w:ind w:firstLine="709"/>
        <w:jc w:val="both"/>
        <w:rPr>
          <w:rFonts w:ascii="Times New Roman" w:hAnsi="Times New Roman"/>
          <w:sz w:val="28"/>
          <w:szCs w:val="15"/>
        </w:rPr>
      </w:pPr>
      <w:r w:rsidRPr="007F5722">
        <w:rPr>
          <w:rFonts w:ascii="Times New Roman" w:eastAsia="Calibri" w:hAnsi="Times New Roman" w:cs="Times New Roman"/>
          <w:sz w:val="28"/>
          <w:szCs w:val="15"/>
        </w:rPr>
        <w:lastRenderedPageBreak/>
        <w:t>У нашому дослідженні ми дослідили вміст ІЛ-22 у гіпертензивних пацієнтів залежно від наявності у них надлишкової маси тіла або ожиріння</w:t>
      </w:r>
      <w:r w:rsidRPr="007F5722">
        <w:rPr>
          <w:rFonts w:ascii="Times New Roman" w:hAnsi="Times New Roman"/>
          <w:sz w:val="28"/>
          <w:szCs w:val="15"/>
        </w:rPr>
        <w:t>, результати графічно представлені на рисунку 3.1.1.</w:t>
      </w:r>
    </w:p>
    <w:p w:rsidR="00E871FC" w:rsidRPr="007F5722" w:rsidRDefault="00E871FC" w:rsidP="005461FF">
      <w:pPr>
        <w:shd w:val="clear" w:color="auto" w:fill="FFFFFF"/>
        <w:spacing w:after="0" w:line="360" w:lineRule="auto"/>
        <w:ind w:firstLine="709"/>
        <w:jc w:val="both"/>
        <w:rPr>
          <w:rFonts w:ascii="Times New Roman" w:hAnsi="Times New Roman"/>
          <w:sz w:val="28"/>
          <w:szCs w:val="15"/>
        </w:rPr>
      </w:pPr>
    </w:p>
    <w:p w:rsidR="006E72AD" w:rsidRPr="007F5722" w:rsidRDefault="005461FF" w:rsidP="005461FF">
      <w:pPr>
        <w:shd w:val="clear" w:color="auto" w:fill="FFFFFF"/>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noProof/>
          <w:color w:val="000000"/>
          <w:sz w:val="28"/>
          <w:szCs w:val="28"/>
          <w:lang w:val="ru-RU" w:eastAsia="ru-RU"/>
        </w:rPr>
        <w:drawing>
          <wp:inline distT="0" distB="0" distL="0" distR="0">
            <wp:extent cx="5029200" cy="3781425"/>
            <wp:effectExtent l="1905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srcRect/>
                    <a:stretch>
                      <a:fillRect/>
                    </a:stretch>
                  </pic:blipFill>
                  <pic:spPr bwMode="auto">
                    <a:xfrm>
                      <a:off x="0" y="0"/>
                      <a:ext cx="5029200" cy="3781425"/>
                    </a:xfrm>
                    <a:prstGeom prst="rect">
                      <a:avLst/>
                    </a:prstGeom>
                    <a:noFill/>
                    <a:ln w="9525">
                      <a:noFill/>
                      <a:miter lim="800000"/>
                      <a:headEnd/>
                      <a:tailEnd/>
                    </a:ln>
                  </pic:spPr>
                </pic:pic>
              </a:graphicData>
            </a:graphic>
          </wp:inline>
        </w:drawing>
      </w:r>
    </w:p>
    <w:p w:rsidR="005461FF" w:rsidRPr="007F5722" w:rsidRDefault="005461FF" w:rsidP="005461FF">
      <w:pPr>
        <w:shd w:val="clear" w:color="auto" w:fill="FFFFFF"/>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Рис. 3.1.1</w:t>
      </w:r>
      <w:r w:rsidR="00E85B0E" w:rsidRPr="007F5722">
        <w:rPr>
          <w:rFonts w:ascii="Times New Roman" w:eastAsia="Times New Roman" w:hAnsi="Times New Roman" w:cs="Times New Roman"/>
          <w:color w:val="000000"/>
          <w:sz w:val="28"/>
          <w:szCs w:val="28"/>
        </w:rPr>
        <w:t>.</w:t>
      </w:r>
      <w:r w:rsidRPr="007F5722">
        <w:rPr>
          <w:rFonts w:ascii="Times New Roman" w:eastAsia="Times New Roman" w:hAnsi="Times New Roman" w:cs="Times New Roman"/>
          <w:color w:val="000000"/>
          <w:sz w:val="28"/>
          <w:szCs w:val="28"/>
        </w:rPr>
        <w:t xml:space="preserve"> Вміст інтерлейкіну-22 у </w:t>
      </w:r>
      <w:r w:rsidR="00796EC3">
        <w:rPr>
          <w:rFonts w:ascii="Times New Roman" w:eastAsia="Times New Roman" w:hAnsi="Times New Roman" w:cs="Times New Roman"/>
          <w:color w:val="000000"/>
          <w:sz w:val="28"/>
          <w:szCs w:val="28"/>
        </w:rPr>
        <w:t>плазмі</w:t>
      </w:r>
      <w:r w:rsidRPr="007F5722">
        <w:rPr>
          <w:rFonts w:ascii="Times New Roman" w:eastAsia="Times New Roman" w:hAnsi="Times New Roman" w:cs="Times New Roman"/>
          <w:color w:val="000000"/>
          <w:sz w:val="28"/>
          <w:szCs w:val="28"/>
        </w:rPr>
        <w:t xml:space="preserve"> крові досліджених хворих та групи контролю.</w:t>
      </w:r>
    </w:p>
    <w:p w:rsidR="00E871FC" w:rsidRPr="007F5722" w:rsidRDefault="00E871FC" w:rsidP="001C62CF">
      <w:pPr>
        <w:shd w:val="clear" w:color="auto" w:fill="FFFFFF"/>
        <w:spacing w:after="0" w:line="360" w:lineRule="auto"/>
        <w:ind w:firstLine="709"/>
        <w:jc w:val="both"/>
        <w:rPr>
          <w:rFonts w:ascii="Times New Roman" w:eastAsia="Calibri" w:hAnsi="Times New Roman" w:cs="Times New Roman"/>
          <w:sz w:val="28"/>
          <w:szCs w:val="28"/>
        </w:rPr>
      </w:pPr>
    </w:p>
    <w:p w:rsidR="001C62CF" w:rsidRPr="007F5722" w:rsidRDefault="001C62CF" w:rsidP="001C62CF">
      <w:pPr>
        <w:shd w:val="clear" w:color="auto" w:fill="FFFFFF"/>
        <w:spacing w:after="0" w:line="360" w:lineRule="auto"/>
        <w:ind w:firstLine="709"/>
        <w:jc w:val="both"/>
        <w:rPr>
          <w:rFonts w:ascii="Times New Roman" w:eastAsia="Calibri" w:hAnsi="Times New Roman" w:cs="Times New Roman"/>
          <w:sz w:val="28"/>
          <w:szCs w:val="28"/>
        </w:rPr>
      </w:pPr>
      <w:r w:rsidRPr="007F5722">
        <w:rPr>
          <w:rFonts w:ascii="Times New Roman" w:eastAsia="Calibri" w:hAnsi="Times New Roman" w:cs="Times New Roman"/>
          <w:sz w:val="28"/>
          <w:szCs w:val="28"/>
        </w:rPr>
        <w:t xml:space="preserve">Нами отримані результати , що свідчать про достовірно більший вміст ІЛ-22 </w:t>
      </w:r>
      <w:r w:rsidRPr="007F5722">
        <w:rPr>
          <w:rFonts w:ascii="Times New Roman" w:hAnsi="Times New Roman"/>
          <w:sz w:val="28"/>
          <w:szCs w:val="28"/>
        </w:rPr>
        <w:t>в</w:t>
      </w:r>
      <w:r w:rsidRPr="007F5722">
        <w:rPr>
          <w:rFonts w:ascii="Times New Roman" w:eastAsia="Calibri" w:hAnsi="Times New Roman" w:cs="Times New Roman"/>
          <w:sz w:val="28"/>
          <w:szCs w:val="28"/>
        </w:rPr>
        <w:t xml:space="preserve"> </w:t>
      </w:r>
      <w:r w:rsidR="00796EC3">
        <w:rPr>
          <w:rFonts w:ascii="Times New Roman" w:hAnsi="Times New Roman"/>
          <w:sz w:val="28"/>
          <w:szCs w:val="28"/>
        </w:rPr>
        <w:t>плазмі</w:t>
      </w:r>
      <w:r w:rsidRPr="007F5722">
        <w:rPr>
          <w:rFonts w:ascii="Times New Roman" w:eastAsia="Calibri" w:hAnsi="Times New Roman" w:cs="Times New Roman"/>
          <w:sz w:val="28"/>
          <w:szCs w:val="28"/>
        </w:rPr>
        <w:t xml:space="preserve"> крові у хворих</w:t>
      </w:r>
      <w:r w:rsidRPr="007F5722">
        <w:rPr>
          <w:rFonts w:ascii="Times New Roman" w:hAnsi="Times New Roman"/>
          <w:sz w:val="28"/>
          <w:szCs w:val="28"/>
        </w:rPr>
        <w:t xml:space="preserve"> на ГХ з ожирінням 1-3</w:t>
      </w:r>
      <w:r w:rsidRPr="007F5722">
        <w:rPr>
          <w:rFonts w:ascii="Times New Roman" w:eastAsia="Calibri" w:hAnsi="Times New Roman" w:cs="Times New Roman"/>
          <w:sz w:val="28"/>
          <w:szCs w:val="28"/>
        </w:rPr>
        <w:t xml:space="preserve"> ступенів (40,05 (35,23; 53,02) </w:t>
      </w:r>
      <w:r w:rsidRPr="007F5722">
        <w:rPr>
          <w:rFonts w:ascii="Times New Roman" w:hAnsi="Times New Roman"/>
          <w:sz w:val="28"/>
          <w:szCs w:val="28"/>
        </w:rPr>
        <w:t>пг</w:t>
      </w:r>
      <w:r w:rsidRPr="007F5722">
        <w:rPr>
          <w:rFonts w:ascii="Times New Roman" w:eastAsia="Calibri" w:hAnsi="Times New Roman" w:cs="Times New Roman"/>
          <w:sz w:val="28"/>
          <w:szCs w:val="28"/>
        </w:rPr>
        <w:t>/мл) порівняно з хворими на ГХ з надмірною масою тіла (28,64 (27,49; 28,94) п</w:t>
      </w:r>
      <w:r w:rsidRPr="007F5722">
        <w:rPr>
          <w:rFonts w:ascii="Times New Roman" w:hAnsi="Times New Roman"/>
          <w:sz w:val="28"/>
          <w:szCs w:val="28"/>
        </w:rPr>
        <w:t>г</w:t>
      </w:r>
      <w:r w:rsidRPr="007F5722">
        <w:rPr>
          <w:rFonts w:ascii="Times New Roman" w:eastAsia="Calibri" w:hAnsi="Times New Roman" w:cs="Times New Roman"/>
          <w:sz w:val="28"/>
          <w:szCs w:val="28"/>
        </w:rPr>
        <w:t>/мл) та з хворими на ГХ з нормальною масою тіла (23,14 (22,47; 23,76) п</w:t>
      </w:r>
      <w:r w:rsidRPr="007F5722">
        <w:rPr>
          <w:rFonts w:ascii="Times New Roman" w:hAnsi="Times New Roman"/>
          <w:sz w:val="28"/>
          <w:szCs w:val="28"/>
        </w:rPr>
        <w:t>г</w:t>
      </w:r>
      <w:r w:rsidRPr="007F5722">
        <w:rPr>
          <w:rFonts w:ascii="Times New Roman" w:eastAsia="Calibri" w:hAnsi="Times New Roman" w:cs="Times New Roman"/>
          <w:sz w:val="28"/>
          <w:szCs w:val="28"/>
        </w:rPr>
        <w:t>/мл); (р&lt;0,001). А також</w:t>
      </w:r>
      <w:r w:rsidRPr="007F5722">
        <w:rPr>
          <w:rFonts w:ascii="Times New Roman" w:eastAsia="Calibri" w:hAnsi="Times New Roman" w:cs="Times New Roman"/>
          <w:color w:val="0070C0"/>
          <w:sz w:val="28"/>
          <w:szCs w:val="28"/>
        </w:rPr>
        <w:t xml:space="preserve"> </w:t>
      </w:r>
      <w:r w:rsidRPr="007F5722">
        <w:rPr>
          <w:rFonts w:ascii="Times New Roman" w:eastAsia="Calibri" w:hAnsi="Times New Roman" w:cs="Times New Roman"/>
          <w:sz w:val="28"/>
          <w:szCs w:val="28"/>
        </w:rPr>
        <w:t xml:space="preserve">відзначено, що вміст ІЛ-22 в основних </w:t>
      </w:r>
      <w:r w:rsidRPr="007F5722">
        <w:rPr>
          <w:rFonts w:ascii="Times New Roman" w:hAnsi="Times New Roman"/>
          <w:sz w:val="28"/>
          <w:szCs w:val="28"/>
        </w:rPr>
        <w:t>г</w:t>
      </w:r>
      <w:r w:rsidRPr="007F5722">
        <w:rPr>
          <w:rFonts w:ascii="Times New Roman" w:eastAsia="Calibri" w:hAnsi="Times New Roman" w:cs="Times New Roman"/>
          <w:sz w:val="28"/>
          <w:szCs w:val="28"/>
        </w:rPr>
        <w:t xml:space="preserve">рупах хворих значно та достовірно перевищував вміст у </w:t>
      </w:r>
      <w:r w:rsidRPr="007F5722">
        <w:rPr>
          <w:rFonts w:ascii="Times New Roman" w:hAnsi="Times New Roman"/>
          <w:sz w:val="28"/>
          <w:szCs w:val="28"/>
        </w:rPr>
        <w:t>г</w:t>
      </w:r>
      <w:r w:rsidRPr="007F5722">
        <w:rPr>
          <w:rFonts w:ascii="Times New Roman" w:eastAsia="Calibri" w:hAnsi="Times New Roman" w:cs="Times New Roman"/>
          <w:sz w:val="28"/>
          <w:szCs w:val="28"/>
        </w:rPr>
        <w:t>рупі контролю (19,81 (18,77; 20,15) п</w:t>
      </w:r>
      <w:r w:rsidRPr="007F5722">
        <w:rPr>
          <w:rFonts w:ascii="Times New Roman" w:hAnsi="Times New Roman"/>
          <w:sz w:val="28"/>
          <w:szCs w:val="28"/>
        </w:rPr>
        <w:t>г</w:t>
      </w:r>
      <w:r w:rsidRPr="007F5722">
        <w:rPr>
          <w:rFonts w:ascii="Times New Roman" w:eastAsia="Calibri" w:hAnsi="Times New Roman" w:cs="Times New Roman"/>
          <w:sz w:val="28"/>
          <w:szCs w:val="28"/>
        </w:rPr>
        <w:t>/мл); (р&lt;0,001).</w:t>
      </w:r>
      <w:r w:rsidRPr="007F5722">
        <w:rPr>
          <w:rFonts w:ascii="Times New Roman" w:hAnsi="Times New Roman"/>
          <w:sz w:val="28"/>
          <w:szCs w:val="28"/>
        </w:rPr>
        <w:t xml:space="preserve"> </w:t>
      </w:r>
      <w:r w:rsidRPr="007F5722">
        <w:rPr>
          <w:rFonts w:ascii="Times New Roman" w:eastAsia="Calibri" w:hAnsi="Times New Roman" w:cs="Times New Roman"/>
          <w:sz w:val="28"/>
          <w:szCs w:val="28"/>
        </w:rPr>
        <w:t xml:space="preserve">Отримані результати підтверджують припущення про те, що збільшений вміст ІЛ-22 у </w:t>
      </w:r>
      <w:r w:rsidR="00796EC3">
        <w:rPr>
          <w:rFonts w:ascii="Times New Roman" w:eastAsia="Calibri" w:hAnsi="Times New Roman" w:cs="Times New Roman"/>
          <w:sz w:val="28"/>
          <w:szCs w:val="28"/>
        </w:rPr>
        <w:t>плазмі</w:t>
      </w:r>
      <w:r w:rsidRPr="007F5722">
        <w:rPr>
          <w:rFonts w:ascii="Times New Roman" w:eastAsia="Calibri" w:hAnsi="Times New Roman" w:cs="Times New Roman"/>
          <w:sz w:val="28"/>
          <w:szCs w:val="28"/>
        </w:rPr>
        <w:t xml:space="preserve"> крові асоціюється зі зростанням кардіоваскулярного ризику у хворих на ГХ з ожирінням [</w:t>
      </w:r>
      <w:r w:rsidR="00133129" w:rsidRPr="007F5722">
        <w:rPr>
          <w:rFonts w:ascii="Times New Roman" w:eastAsia="Calibri" w:hAnsi="Times New Roman" w:cs="Times New Roman"/>
          <w:sz w:val="28"/>
          <w:szCs w:val="28"/>
        </w:rPr>
        <w:t>20</w:t>
      </w:r>
      <w:r w:rsidRPr="007F5722">
        <w:rPr>
          <w:rFonts w:ascii="Times New Roman" w:eastAsia="Calibri" w:hAnsi="Times New Roman" w:cs="Times New Roman"/>
          <w:sz w:val="28"/>
          <w:szCs w:val="28"/>
        </w:rPr>
        <w:t>2].</w:t>
      </w:r>
    </w:p>
    <w:p w:rsidR="005461FF" w:rsidRPr="007F5722" w:rsidRDefault="00C20680" w:rsidP="005461FF">
      <w:pPr>
        <w:shd w:val="clear" w:color="auto" w:fill="FFFFFF"/>
        <w:spacing w:after="0" w:line="360" w:lineRule="auto"/>
        <w:ind w:firstLine="709"/>
        <w:jc w:val="both"/>
        <w:rPr>
          <w:rFonts w:ascii="Times New Roman" w:eastAsia="Times New Roman" w:hAnsi="Times New Roman" w:cs="Times New Roman"/>
          <w:color w:val="000000"/>
          <w:sz w:val="28"/>
          <w:szCs w:val="28"/>
          <w:lang w:val="ru-RU"/>
        </w:rPr>
      </w:pPr>
      <w:r w:rsidRPr="007F5722">
        <w:rPr>
          <w:rFonts w:ascii="Times New Roman" w:eastAsia="Times New Roman" w:hAnsi="Times New Roman" w:cs="Times New Roman"/>
          <w:color w:val="000000"/>
          <w:sz w:val="28"/>
          <w:szCs w:val="28"/>
        </w:rPr>
        <w:lastRenderedPageBreak/>
        <w:t>Також були досліджені кореляційні зв’язки ІЛ-22 з антропометричними та гемодинамічними показниками у групах хворих на ГХ в залежності від наявності ожиріння.</w:t>
      </w:r>
    </w:p>
    <w:p w:rsidR="001C62CF" w:rsidRPr="007F5722" w:rsidRDefault="00686267" w:rsidP="0068626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lang w:val="ru-RU"/>
        </w:rPr>
        <w:t xml:space="preserve">У групі пацієнтів </w:t>
      </w:r>
      <w:r w:rsidRPr="007F5722">
        <w:rPr>
          <w:rFonts w:ascii="Times New Roman" w:eastAsia="Times New Roman" w:hAnsi="Times New Roman" w:cs="Times New Roman"/>
          <w:color w:val="000000"/>
          <w:sz w:val="28"/>
          <w:szCs w:val="28"/>
        </w:rPr>
        <w:t xml:space="preserve">хворих на ГХ з ожирінням виявлено пряму достовірну залежність між рівнем ІЛ-22 та САТ, </w:t>
      </w:r>
      <w:r w:rsidR="005F5E33">
        <w:rPr>
          <w:rFonts w:ascii="Times New Roman" w:eastAsia="Times New Roman" w:hAnsi="Times New Roman" w:cs="Times New Roman"/>
          <w:color w:val="000000"/>
          <w:sz w:val="28"/>
          <w:szCs w:val="28"/>
        </w:rPr>
        <w:t>пульсовим артеріальним тиском (</w:t>
      </w:r>
      <w:r w:rsidRPr="007F5722">
        <w:rPr>
          <w:rFonts w:ascii="Times New Roman" w:eastAsia="Times New Roman" w:hAnsi="Times New Roman" w:cs="Times New Roman"/>
          <w:color w:val="000000"/>
          <w:sz w:val="28"/>
          <w:szCs w:val="28"/>
        </w:rPr>
        <w:t>ПАТ</w:t>
      </w:r>
      <w:r w:rsidR="005F5E33">
        <w:rPr>
          <w:rFonts w:ascii="Times New Roman" w:eastAsia="Times New Roman" w:hAnsi="Times New Roman" w:cs="Times New Roman"/>
          <w:color w:val="000000"/>
          <w:sz w:val="28"/>
          <w:szCs w:val="28"/>
        </w:rPr>
        <w:t>)</w:t>
      </w:r>
      <w:r w:rsidRPr="007F5722">
        <w:rPr>
          <w:rFonts w:ascii="Times New Roman" w:eastAsia="Times New Roman" w:hAnsi="Times New Roman" w:cs="Times New Roman"/>
          <w:color w:val="000000"/>
          <w:sz w:val="28"/>
          <w:szCs w:val="28"/>
        </w:rPr>
        <w:t>. Позитивний кореляційний взаємозв</w:t>
      </w:r>
      <w:r w:rsidRPr="007F5722">
        <w:rPr>
          <w:rFonts w:ascii="Times New Roman" w:eastAsia="Times New Roman" w:hAnsi="Times New Roman" w:cs="Times New Roman"/>
          <w:color w:val="000000"/>
          <w:sz w:val="28"/>
          <w:szCs w:val="28"/>
          <w:lang w:val="ru-RU"/>
        </w:rPr>
        <w:t>’</w:t>
      </w:r>
      <w:r w:rsidRPr="007F5722">
        <w:rPr>
          <w:rFonts w:ascii="Times New Roman" w:eastAsia="Times New Roman" w:hAnsi="Times New Roman" w:cs="Times New Roman"/>
          <w:color w:val="000000"/>
          <w:sz w:val="28"/>
          <w:szCs w:val="28"/>
        </w:rPr>
        <w:t>язок мав місце між ІЛ-22 та такими антропометричними показниками, як маса тіла, ІМТ, ОТ, індексом ОТ/ОС (таблиця 3.1.2).</w:t>
      </w:r>
    </w:p>
    <w:p w:rsidR="00E871FC" w:rsidRPr="007F5722" w:rsidRDefault="00E871FC" w:rsidP="00686267">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C20680" w:rsidRPr="007F5722" w:rsidRDefault="00FB4B7D" w:rsidP="00C20680">
      <w:pPr>
        <w:shd w:val="clear" w:color="auto" w:fill="FFFFFF"/>
        <w:spacing w:after="0" w:line="360" w:lineRule="auto"/>
        <w:ind w:firstLine="709"/>
        <w:jc w:val="right"/>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Таблиця 3.1.2</w:t>
      </w:r>
    </w:p>
    <w:p w:rsidR="00C20680" w:rsidRPr="007F5722" w:rsidRDefault="00FB40C2" w:rsidP="00C2068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Кореляційні взаємозв’язки між ІЛ-22, гемодинамічним</w:t>
      </w:r>
      <w:r w:rsidR="00AE1021" w:rsidRPr="007F5722">
        <w:rPr>
          <w:rFonts w:ascii="Times New Roman" w:eastAsia="Times New Roman" w:hAnsi="Times New Roman" w:cs="Times New Roman"/>
          <w:color w:val="000000"/>
          <w:sz w:val="28"/>
          <w:szCs w:val="28"/>
        </w:rPr>
        <w:t>и</w:t>
      </w:r>
      <w:r w:rsidRPr="007F5722">
        <w:rPr>
          <w:rFonts w:ascii="Times New Roman" w:eastAsia="Times New Roman" w:hAnsi="Times New Roman" w:cs="Times New Roman"/>
          <w:color w:val="000000"/>
          <w:sz w:val="28"/>
          <w:szCs w:val="28"/>
        </w:rPr>
        <w:t xml:space="preserve"> та антропометричними показниками у пацієнтів хворих на ГХ з ожирінням</w:t>
      </w:r>
    </w:p>
    <w:tbl>
      <w:tblPr>
        <w:tblStyle w:val="a9"/>
        <w:tblW w:w="0" w:type="auto"/>
        <w:tblLook w:val="04A0" w:firstRow="1" w:lastRow="0" w:firstColumn="1" w:lastColumn="0" w:noHBand="0" w:noVBand="1"/>
      </w:tblPr>
      <w:tblGrid>
        <w:gridCol w:w="2361"/>
        <w:gridCol w:w="2314"/>
        <w:gridCol w:w="2335"/>
        <w:gridCol w:w="2335"/>
      </w:tblGrid>
      <w:tr w:rsidR="00022D02" w:rsidRPr="007F5722" w:rsidTr="00022D02">
        <w:tc>
          <w:tcPr>
            <w:tcW w:w="2392" w:type="dxa"/>
          </w:tcPr>
          <w:p w:rsidR="00022D02" w:rsidRPr="007F5722" w:rsidRDefault="00022D02" w:rsidP="00C20680">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Показник</w:t>
            </w:r>
          </w:p>
        </w:tc>
        <w:tc>
          <w:tcPr>
            <w:tcW w:w="2393" w:type="dxa"/>
          </w:tcPr>
          <w:p w:rsidR="00022D02" w:rsidRPr="007F5722" w:rsidRDefault="00022D02" w:rsidP="00C20680">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N</w:t>
            </w:r>
          </w:p>
        </w:tc>
        <w:tc>
          <w:tcPr>
            <w:tcW w:w="2393" w:type="dxa"/>
          </w:tcPr>
          <w:p w:rsidR="00022D02" w:rsidRPr="007F5722" w:rsidRDefault="00022D02" w:rsidP="00C20680">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R</w:t>
            </w:r>
          </w:p>
        </w:tc>
        <w:tc>
          <w:tcPr>
            <w:tcW w:w="2393" w:type="dxa"/>
          </w:tcPr>
          <w:p w:rsidR="00022D02" w:rsidRPr="007F5722" w:rsidRDefault="00022D02" w:rsidP="00C20680">
            <w:pPr>
              <w:spacing w:after="0" w:line="360" w:lineRule="auto"/>
              <w:jc w:val="both"/>
              <w:rPr>
                <w:rFonts w:ascii="Times New Roman" w:eastAsia="Times New Roman" w:hAnsi="Times New Roman" w:cs="Times New Roman"/>
                <w:color w:val="000000"/>
                <w:sz w:val="28"/>
                <w:szCs w:val="28"/>
                <w:lang w:val="en-US"/>
              </w:rPr>
            </w:pPr>
            <w:r w:rsidRPr="007F5722">
              <w:rPr>
                <w:rFonts w:ascii="Times New Roman" w:eastAsia="Times New Roman" w:hAnsi="Times New Roman" w:cs="Times New Roman"/>
                <w:color w:val="000000"/>
                <w:sz w:val="28"/>
                <w:szCs w:val="28"/>
                <w:lang w:val="en-US"/>
              </w:rPr>
              <w:t>p-level</w:t>
            </w:r>
          </w:p>
        </w:tc>
      </w:tr>
      <w:tr w:rsidR="00022D02" w:rsidRPr="007F5722" w:rsidTr="00022D02">
        <w:tc>
          <w:tcPr>
            <w:tcW w:w="2392" w:type="dxa"/>
          </w:tcPr>
          <w:p w:rsidR="00022D02" w:rsidRPr="007F5722" w:rsidRDefault="00022D02" w:rsidP="00C20680">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САТ&amp;ІЛ-22</w:t>
            </w:r>
          </w:p>
        </w:tc>
        <w:tc>
          <w:tcPr>
            <w:tcW w:w="2393" w:type="dxa"/>
          </w:tcPr>
          <w:p w:rsidR="00022D02" w:rsidRPr="007F5722" w:rsidRDefault="001D01CA" w:rsidP="00C20680">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49</w:t>
            </w:r>
          </w:p>
        </w:tc>
        <w:tc>
          <w:tcPr>
            <w:tcW w:w="2393" w:type="dxa"/>
          </w:tcPr>
          <w:p w:rsidR="00022D02" w:rsidRPr="007F5722" w:rsidRDefault="00022D02" w:rsidP="00C20680">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0,4653</w:t>
            </w:r>
          </w:p>
        </w:tc>
        <w:tc>
          <w:tcPr>
            <w:tcW w:w="2393" w:type="dxa"/>
          </w:tcPr>
          <w:p w:rsidR="00022D02" w:rsidRPr="007F5722" w:rsidRDefault="00022D02" w:rsidP="00C20680">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0,006</w:t>
            </w:r>
          </w:p>
        </w:tc>
      </w:tr>
      <w:tr w:rsidR="00022D02" w:rsidRPr="007F5722" w:rsidTr="00022D02">
        <w:tc>
          <w:tcPr>
            <w:tcW w:w="2392" w:type="dxa"/>
          </w:tcPr>
          <w:p w:rsidR="00022D02" w:rsidRPr="007F5722" w:rsidRDefault="00022D02" w:rsidP="00C20680">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ДАТ&amp;ІЛ-22</w:t>
            </w:r>
          </w:p>
        </w:tc>
        <w:tc>
          <w:tcPr>
            <w:tcW w:w="2393" w:type="dxa"/>
          </w:tcPr>
          <w:p w:rsidR="00022D02" w:rsidRPr="007F5722" w:rsidRDefault="001D01CA" w:rsidP="00C20680">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49</w:t>
            </w:r>
          </w:p>
        </w:tc>
        <w:tc>
          <w:tcPr>
            <w:tcW w:w="2393" w:type="dxa"/>
          </w:tcPr>
          <w:p w:rsidR="00022D02" w:rsidRPr="007F5722" w:rsidRDefault="00022D02" w:rsidP="00C20680">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0,3069</w:t>
            </w:r>
          </w:p>
        </w:tc>
        <w:tc>
          <w:tcPr>
            <w:tcW w:w="2393" w:type="dxa"/>
          </w:tcPr>
          <w:p w:rsidR="00022D02" w:rsidRPr="007F5722" w:rsidRDefault="00022D02" w:rsidP="00C20680">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0,082</w:t>
            </w:r>
          </w:p>
        </w:tc>
      </w:tr>
      <w:tr w:rsidR="00022D02" w:rsidRPr="007F5722" w:rsidTr="00022D02">
        <w:tc>
          <w:tcPr>
            <w:tcW w:w="2392" w:type="dxa"/>
          </w:tcPr>
          <w:p w:rsidR="00022D02" w:rsidRPr="007F5722" w:rsidRDefault="00022D02" w:rsidP="00C20680">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ПАТ&amp;ІЛ-22</w:t>
            </w:r>
          </w:p>
        </w:tc>
        <w:tc>
          <w:tcPr>
            <w:tcW w:w="2393" w:type="dxa"/>
          </w:tcPr>
          <w:p w:rsidR="00022D02" w:rsidRPr="007F5722" w:rsidRDefault="001D01CA" w:rsidP="00C20680">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49</w:t>
            </w:r>
          </w:p>
        </w:tc>
        <w:tc>
          <w:tcPr>
            <w:tcW w:w="2393" w:type="dxa"/>
          </w:tcPr>
          <w:p w:rsidR="00022D02" w:rsidRPr="007F5722" w:rsidRDefault="00022D02" w:rsidP="00C20680">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0,3990</w:t>
            </w:r>
          </w:p>
        </w:tc>
        <w:tc>
          <w:tcPr>
            <w:tcW w:w="2393" w:type="dxa"/>
          </w:tcPr>
          <w:p w:rsidR="00022D02" w:rsidRPr="007F5722" w:rsidRDefault="00022D02" w:rsidP="00C20680">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0,021</w:t>
            </w:r>
          </w:p>
        </w:tc>
      </w:tr>
      <w:tr w:rsidR="00022D02" w:rsidRPr="007F5722" w:rsidTr="00022D02">
        <w:tc>
          <w:tcPr>
            <w:tcW w:w="2392" w:type="dxa"/>
          </w:tcPr>
          <w:p w:rsidR="00022D02" w:rsidRPr="007F5722" w:rsidRDefault="00022D02" w:rsidP="00C20680">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Тривалість АГ&amp;ІЛ-22</w:t>
            </w:r>
          </w:p>
        </w:tc>
        <w:tc>
          <w:tcPr>
            <w:tcW w:w="2393" w:type="dxa"/>
          </w:tcPr>
          <w:p w:rsidR="00022D02" w:rsidRPr="007F5722" w:rsidRDefault="001D01CA" w:rsidP="00C20680">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49</w:t>
            </w:r>
          </w:p>
        </w:tc>
        <w:tc>
          <w:tcPr>
            <w:tcW w:w="2393" w:type="dxa"/>
          </w:tcPr>
          <w:p w:rsidR="00022D02" w:rsidRPr="007F5722" w:rsidRDefault="00022D02" w:rsidP="00C20680">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-0,1527</w:t>
            </w:r>
          </w:p>
        </w:tc>
        <w:tc>
          <w:tcPr>
            <w:tcW w:w="2393" w:type="dxa"/>
          </w:tcPr>
          <w:p w:rsidR="00022D02" w:rsidRPr="007F5722" w:rsidRDefault="00022D02" w:rsidP="00C20680">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0,396</w:t>
            </w:r>
          </w:p>
        </w:tc>
      </w:tr>
      <w:tr w:rsidR="00022D02" w:rsidRPr="007F5722" w:rsidTr="00022D02">
        <w:tc>
          <w:tcPr>
            <w:tcW w:w="2392" w:type="dxa"/>
          </w:tcPr>
          <w:p w:rsidR="00022D02" w:rsidRPr="007F5722" w:rsidRDefault="00022D02" w:rsidP="00C20680">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Маса тіла&amp;ІЛ-22</w:t>
            </w:r>
          </w:p>
        </w:tc>
        <w:tc>
          <w:tcPr>
            <w:tcW w:w="2393" w:type="dxa"/>
          </w:tcPr>
          <w:p w:rsidR="00022D02" w:rsidRPr="007F5722" w:rsidRDefault="001D01CA" w:rsidP="00C20680">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49</w:t>
            </w:r>
          </w:p>
        </w:tc>
        <w:tc>
          <w:tcPr>
            <w:tcW w:w="2393" w:type="dxa"/>
          </w:tcPr>
          <w:p w:rsidR="00022D02" w:rsidRPr="007F5722" w:rsidRDefault="00022D02" w:rsidP="00C20680">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0,6553</w:t>
            </w:r>
          </w:p>
        </w:tc>
        <w:tc>
          <w:tcPr>
            <w:tcW w:w="2393" w:type="dxa"/>
          </w:tcPr>
          <w:p w:rsidR="00022D02" w:rsidRPr="007F5722" w:rsidRDefault="00022D02" w:rsidP="00C20680">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0,0001</w:t>
            </w:r>
          </w:p>
        </w:tc>
      </w:tr>
      <w:tr w:rsidR="00022D02" w:rsidRPr="007F5722" w:rsidTr="00022D02">
        <w:tc>
          <w:tcPr>
            <w:tcW w:w="2392" w:type="dxa"/>
          </w:tcPr>
          <w:p w:rsidR="00022D02" w:rsidRPr="007F5722" w:rsidRDefault="00022D02" w:rsidP="00C20680">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ІМТ&amp;ІЛ-22</w:t>
            </w:r>
          </w:p>
        </w:tc>
        <w:tc>
          <w:tcPr>
            <w:tcW w:w="2393" w:type="dxa"/>
          </w:tcPr>
          <w:p w:rsidR="00022D02" w:rsidRPr="007F5722" w:rsidRDefault="001D01CA" w:rsidP="00C20680">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49</w:t>
            </w:r>
          </w:p>
        </w:tc>
        <w:tc>
          <w:tcPr>
            <w:tcW w:w="2393" w:type="dxa"/>
          </w:tcPr>
          <w:p w:rsidR="00022D02" w:rsidRPr="007F5722" w:rsidRDefault="00022D02" w:rsidP="00C20680">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0,6798</w:t>
            </w:r>
          </w:p>
        </w:tc>
        <w:tc>
          <w:tcPr>
            <w:tcW w:w="2393" w:type="dxa"/>
          </w:tcPr>
          <w:p w:rsidR="00022D02" w:rsidRPr="007F5722" w:rsidRDefault="00022D02" w:rsidP="00C20680">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0,0001</w:t>
            </w:r>
          </w:p>
        </w:tc>
      </w:tr>
      <w:tr w:rsidR="00022D02" w:rsidRPr="007F5722" w:rsidTr="00022D02">
        <w:tc>
          <w:tcPr>
            <w:tcW w:w="2392" w:type="dxa"/>
          </w:tcPr>
          <w:p w:rsidR="00022D02" w:rsidRPr="007F5722" w:rsidRDefault="00022D02" w:rsidP="00C20680">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ОТ&amp;ІЛ-22</w:t>
            </w:r>
          </w:p>
        </w:tc>
        <w:tc>
          <w:tcPr>
            <w:tcW w:w="2393" w:type="dxa"/>
          </w:tcPr>
          <w:p w:rsidR="00022D02" w:rsidRPr="007F5722" w:rsidRDefault="001D01CA" w:rsidP="00C20680">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49</w:t>
            </w:r>
          </w:p>
        </w:tc>
        <w:tc>
          <w:tcPr>
            <w:tcW w:w="2393" w:type="dxa"/>
          </w:tcPr>
          <w:p w:rsidR="00022D02" w:rsidRPr="007F5722" w:rsidRDefault="00022D02" w:rsidP="00C20680">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0,5268</w:t>
            </w:r>
          </w:p>
        </w:tc>
        <w:tc>
          <w:tcPr>
            <w:tcW w:w="2393" w:type="dxa"/>
          </w:tcPr>
          <w:p w:rsidR="00022D02" w:rsidRPr="007F5722" w:rsidRDefault="00B769F5" w:rsidP="00C20680">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0,002</w:t>
            </w:r>
          </w:p>
        </w:tc>
      </w:tr>
      <w:tr w:rsidR="00022D02" w:rsidRPr="007F5722" w:rsidTr="00022D02">
        <w:tc>
          <w:tcPr>
            <w:tcW w:w="2392" w:type="dxa"/>
          </w:tcPr>
          <w:p w:rsidR="00022D02" w:rsidRPr="007F5722" w:rsidRDefault="00022D02" w:rsidP="00C20680">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ОС&amp;ІЛ-22</w:t>
            </w:r>
          </w:p>
        </w:tc>
        <w:tc>
          <w:tcPr>
            <w:tcW w:w="2393" w:type="dxa"/>
          </w:tcPr>
          <w:p w:rsidR="00022D02" w:rsidRPr="007F5722" w:rsidRDefault="001D01CA" w:rsidP="00C20680">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49</w:t>
            </w:r>
          </w:p>
        </w:tc>
        <w:tc>
          <w:tcPr>
            <w:tcW w:w="2393" w:type="dxa"/>
          </w:tcPr>
          <w:p w:rsidR="00022D02" w:rsidRPr="007F5722" w:rsidRDefault="00B769F5" w:rsidP="00C20680">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0,2262</w:t>
            </w:r>
          </w:p>
        </w:tc>
        <w:tc>
          <w:tcPr>
            <w:tcW w:w="2393" w:type="dxa"/>
          </w:tcPr>
          <w:p w:rsidR="00022D02" w:rsidRPr="007F5722" w:rsidRDefault="00B769F5" w:rsidP="00C20680">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0,206</w:t>
            </w:r>
          </w:p>
        </w:tc>
      </w:tr>
      <w:tr w:rsidR="00022D02" w:rsidRPr="007F5722" w:rsidTr="00022D02">
        <w:tc>
          <w:tcPr>
            <w:tcW w:w="2392" w:type="dxa"/>
          </w:tcPr>
          <w:p w:rsidR="00022D02" w:rsidRPr="007F5722" w:rsidRDefault="00022D02" w:rsidP="00C20680">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ОТ/ОС&amp;ІЛ-22</w:t>
            </w:r>
          </w:p>
        </w:tc>
        <w:tc>
          <w:tcPr>
            <w:tcW w:w="2393" w:type="dxa"/>
          </w:tcPr>
          <w:p w:rsidR="00022D02" w:rsidRPr="007F5722" w:rsidRDefault="001D01CA" w:rsidP="00C20680">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49</w:t>
            </w:r>
          </w:p>
        </w:tc>
        <w:tc>
          <w:tcPr>
            <w:tcW w:w="2393" w:type="dxa"/>
          </w:tcPr>
          <w:p w:rsidR="00022D02" w:rsidRPr="007F5722" w:rsidRDefault="00B769F5" w:rsidP="00C20680">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0,6113</w:t>
            </w:r>
          </w:p>
        </w:tc>
        <w:tc>
          <w:tcPr>
            <w:tcW w:w="2393" w:type="dxa"/>
          </w:tcPr>
          <w:p w:rsidR="00022D02" w:rsidRPr="007F5722" w:rsidRDefault="00B769F5" w:rsidP="00C20680">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0,0001</w:t>
            </w:r>
          </w:p>
        </w:tc>
      </w:tr>
    </w:tbl>
    <w:p w:rsidR="00686267" w:rsidRPr="007F5722" w:rsidRDefault="00686267" w:rsidP="00686267">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B769F5" w:rsidRPr="007F5722" w:rsidRDefault="00686267" w:rsidP="0068626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У групах пацієнтів</w:t>
      </w:r>
      <w:r w:rsidR="00E871FC" w:rsidRPr="007F5722">
        <w:rPr>
          <w:rFonts w:ascii="Times New Roman" w:eastAsia="Times New Roman" w:hAnsi="Times New Roman" w:cs="Times New Roman"/>
          <w:color w:val="000000"/>
          <w:sz w:val="28"/>
          <w:szCs w:val="28"/>
        </w:rPr>
        <w:t xml:space="preserve"> на ГХ</w:t>
      </w:r>
      <w:r w:rsidRPr="007F5722">
        <w:rPr>
          <w:rFonts w:ascii="Times New Roman" w:eastAsia="Times New Roman" w:hAnsi="Times New Roman" w:cs="Times New Roman"/>
          <w:color w:val="000000"/>
          <w:sz w:val="28"/>
          <w:szCs w:val="28"/>
        </w:rPr>
        <w:t xml:space="preserve"> з надмірною та нормальною масою тіла кореляційні </w:t>
      </w:r>
      <w:r w:rsidR="00E871FC" w:rsidRPr="007F5722">
        <w:rPr>
          <w:rFonts w:ascii="Times New Roman" w:eastAsia="Times New Roman" w:hAnsi="Times New Roman" w:cs="Times New Roman"/>
          <w:color w:val="000000"/>
          <w:sz w:val="28"/>
          <w:szCs w:val="28"/>
        </w:rPr>
        <w:t xml:space="preserve">взаємозв’язки між рівнем </w:t>
      </w:r>
      <w:r w:rsidRPr="007F5722">
        <w:rPr>
          <w:rFonts w:ascii="Times New Roman" w:eastAsia="Times New Roman" w:hAnsi="Times New Roman" w:cs="Times New Roman"/>
          <w:color w:val="000000"/>
          <w:sz w:val="28"/>
          <w:szCs w:val="28"/>
        </w:rPr>
        <w:t>виявилися недостовірними (таблиці 3.1.3-3.1.4)</w:t>
      </w:r>
    </w:p>
    <w:p w:rsidR="00E871FC" w:rsidRPr="007F5722" w:rsidRDefault="00E871FC" w:rsidP="00B769F5">
      <w:pPr>
        <w:shd w:val="clear" w:color="auto" w:fill="FFFFFF"/>
        <w:spacing w:after="0" w:line="360" w:lineRule="auto"/>
        <w:ind w:firstLine="709"/>
        <w:jc w:val="right"/>
        <w:rPr>
          <w:rFonts w:ascii="Times New Roman" w:eastAsia="Times New Roman" w:hAnsi="Times New Roman" w:cs="Times New Roman"/>
          <w:color w:val="000000"/>
          <w:sz w:val="28"/>
          <w:szCs w:val="28"/>
        </w:rPr>
      </w:pPr>
    </w:p>
    <w:p w:rsidR="004B2FE3" w:rsidRDefault="004B2FE3" w:rsidP="00C62EFF">
      <w:pPr>
        <w:shd w:val="clear" w:color="auto" w:fill="FFFFFF"/>
        <w:spacing w:after="0" w:line="360" w:lineRule="auto"/>
        <w:rPr>
          <w:rFonts w:ascii="Times New Roman" w:eastAsia="Times New Roman" w:hAnsi="Times New Roman" w:cs="Times New Roman"/>
          <w:color w:val="000000"/>
          <w:sz w:val="28"/>
          <w:szCs w:val="28"/>
        </w:rPr>
      </w:pPr>
    </w:p>
    <w:p w:rsidR="00B769F5" w:rsidRPr="007F5722" w:rsidRDefault="00B769F5" w:rsidP="00B769F5">
      <w:pPr>
        <w:shd w:val="clear" w:color="auto" w:fill="FFFFFF"/>
        <w:spacing w:after="0" w:line="360" w:lineRule="auto"/>
        <w:ind w:firstLine="709"/>
        <w:jc w:val="right"/>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lastRenderedPageBreak/>
        <w:t>Таблиця 3.1.3</w:t>
      </w:r>
    </w:p>
    <w:p w:rsidR="00B769F5" w:rsidRPr="007F5722" w:rsidRDefault="00B769F5" w:rsidP="00B769F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Кореляційні взаємозв’язки між ІЛ-22, гемодинамічним та антропометричними показниками у пацієнтів хворих на ГХ з надмірною масою тіла</w:t>
      </w:r>
    </w:p>
    <w:tbl>
      <w:tblPr>
        <w:tblStyle w:val="a9"/>
        <w:tblW w:w="0" w:type="auto"/>
        <w:tblLook w:val="04A0" w:firstRow="1" w:lastRow="0" w:firstColumn="1" w:lastColumn="0" w:noHBand="0" w:noVBand="1"/>
      </w:tblPr>
      <w:tblGrid>
        <w:gridCol w:w="2363"/>
        <w:gridCol w:w="2316"/>
        <w:gridCol w:w="2336"/>
        <w:gridCol w:w="2330"/>
      </w:tblGrid>
      <w:tr w:rsidR="00B769F5" w:rsidRPr="007F5722" w:rsidTr="00B769F5">
        <w:tc>
          <w:tcPr>
            <w:tcW w:w="2392" w:type="dxa"/>
          </w:tcPr>
          <w:p w:rsidR="00B769F5" w:rsidRPr="007F5722" w:rsidRDefault="00B769F5" w:rsidP="001C62CF">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Показник</w:t>
            </w:r>
          </w:p>
        </w:tc>
        <w:tc>
          <w:tcPr>
            <w:tcW w:w="2393" w:type="dxa"/>
          </w:tcPr>
          <w:p w:rsidR="00B769F5" w:rsidRPr="007F5722" w:rsidRDefault="00B769F5" w:rsidP="00C20680">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N</w:t>
            </w:r>
          </w:p>
        </w:tc>
        <w:tc>
          <w:tcPr>
            <w:tcW w:w="2393" w:type="dxa"/>
          </w:tcPr>
          <w:p w:rsidR="00B769F5" w:rsidRPr="007F5722" w:rsidRDefault="00B769F5" w:rsidP="00C20680">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R</w:t>
            </w:r>
          </w:p>
        </w:tc>
        <w:tc>
          <w:tcPr>
            <w:tcW w:w="2393" w:type="dxa"/>
          </w:tcPr>
          <w:p w:rsidR="00B769F5" w:rsidRPr="007F5722" w:rsidRDefault="00B769F5" w:rsidP="00C20680">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lang w:val="en-US"/>
              </w:rPr>
              <w:t>p-level</w:t>
            </w:r>
          </w:p>
        </w:tc>
      </w:tr>
      <w:tr w:rsidR="00B769F5" w:rsidRPr="007F5722" w:rsidTr="00B769F5">
        <w:tc>
          <w:tcPr>
            <w:tcW w:w="2392" w:type="dxa"/>
          </w:tcPr>
          <w:p w:rsidR="00B769F5" w:rsidRPr="007F5722" w:rsidRDefault="00B769F5" w:rsidP="001C62CF">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САТ&amp;ІЛ-22</w:t>
            </w:r>
          </w:p>
        </w:tc>
        <w:tc>
          <w:tcPr>
            <w:tcW w:w="2393" w:type="dxa"/>
          </w:tcPr>
          <w:p w:rsidR="00B769F5" w:rsidRPr="007F5722" w:rsidRDefault="001D01CA" w:rsidP="00C20680">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47</w:t>
            </w:r>
          </w:p>
        </w:tc>
        <w:tc>
          <w:tcPr>
            <w:tcW w:w="2393" w:type="dxa"/>
          </w:tcPr>
          <w:p w:rsidR="00B769F5" w:rsidRPr="007F5722" w:rsidRDefault="00B769F5" w:rsidP="00C20680">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0,2002</w:t>
            </w:r>
          </w:p>
        </w:tc>
        <w:tc>
          <w:tcPr>
            <w:tcW w:w="2393" w:type="dxa"/>
          </w:tcPr>
          <w:p w:rsidR="00B769F5" w:rsidRPr="007F5722" w:rsidRDefault="00B769F5" w:rsidP="00C20680">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0,280</w:t>
            </w:r>
          </w:p>
        </w:tc>
      </w:tr>
      <w:tr w:rsidR="00B769F5" w:rsidRPr="007F5722" w:rsidTr="00B769F5">
        <w:tc>
          <w:tcPr>
            <w:tcW w:w="2392" w:type="dxa"/>
          </w:tcPr>
          <w:p w:rsidR="00B769F5" w:rsidRPr="007F5722" w:rsidRDefault="00B769F5" w:rsidP="001C62CF">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ДАТ&amp;ІЛ-22</w:t>
            </w:r>
          </w:p>
        </w:tc>
        <w:tc>
          <w:tcPr>
            <w:tcW w:w="2393" w:type="dxa"/>
          </w:tcPr>
          <w:p w:rsidR="00B769F5" w:rsidRPr="007F5722" w:rsidRDefault="001D01CA" w:rsidP="00C20680">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47</w:t>
            </w:r>
          </w:p>
        </w:tc>
        <w:tc>
          <w:tcPr>
            <w:tcW w:w="2393" w:type="dxa"/>
          </w:tcPr>
          <w:p w:rsidR="00B769F5" w:rsidRPr="007F5722" w:rsidRDefault="00B769F5" w:rsidP="00C20680">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0,1698</w:t>
            </w:r>
          </w:p>
        </w:tc>
        <w:tc>
          <w:tcPr>
            <w:tcW w:w="2393" w:type="dxa"/>
          </w:tcPr>
          <w:p w:rsidR="00B769F5" w:rsidRPr="007F5722" w:rsidRDefault="00B769F5" w:rsidP="00C20680">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0,361</w:t>
            </w:r>
          </w:p>
        </w:tc>
      </w:tr>
      <w:tr w:rsidR="00B769F5" w:rsidRPr="007F5722" w:rsidTr="00B769F5">
        <w:tc>
          <w:tcPr>
            <w:tcW w:w="2392" w:type="dxa"/>
          </w:tcPr>
          <w:p w:rsidR="00B769F5" w:rsidRPr="007F5722" w:rsidRDefault="00B769F5" w:rsidP="001C62CF">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ПАТ&amp;ІЛ-22</w:t>
            </w:r>
          </w:p>
        </w:tc>
        <w:tc>
          <w:tcPr>
            <w:tcW w:w="2393" w:type="dxa"/>
          </w:tcPr>
          <w:p w:rsidR="00B769F5" w:rsidRPr="007F5722" w:rsidRDefault="001D01CA" w:rsidP="00C20680">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47</w:t>
            </w:r>
          </w:p>
        </w:tc>
        <w:tc>
          <w:tcPr>
            <w:tcW w:w="2393" w:type="dxa"/>
          </w:tcPr>
          <w:p w:rsidR="00B769F5" w:rsidRPr="007F5722" w:rsidRDefault="00B769F5" w:rsidP="00C20680">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0,1723</w:t>
            </w:r>
          </w:p>
        </w:tc>
        <w:tc>
          <w:tcPr>
            <w:tcW w:w="2393" w:type="dxa"/>
          </w:tcPr>
          <w:p w:rsidR="00B769F5" w:rsidRPr="007F5722" w:rsidRDefault="00B769F5" w:rsidP="00C20680">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0,354</w:t>
            </w:r>
          </w:p>
        </w:tc>
      </w:tr>
      <w:tr w:rsidR="00B769F5" w:rsidRPr="007F5722" w:rsidTr="00B769F5">
        <w:tc>
          <w:tcPr>
            <w:tcW w:w="2392" w:type="dxa"/>
          </w:tcPr>
          <w:p w:rsidR="00B769F5" w:rsidRPr="007F5722" w:rsidRDefault="00B769F5" w:rsidP="001C62CF">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Тривалість АГ&amp;ІЛ-22</w:t>
            </w:r>
          </w:p>
        </w:tc>
        <w:tc>
          <w:tcPr>
            <w:tcW w:w="2393" w:type="dxa"/>
          </w:tcPr>
          <w:p w:rsidR="00B769F5" w:rsidRPr="007F5722" w:rsidRDefault="001D01CA" w:rsidP="00C20680">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47</w:t>
            </w:r>
          </w:p>
        </w:tc>
        <w:tc>
          <w:tcPr>
            <w:tcW w:w="2393" w:type="dxa"/>
          </w:tcPr>
          <w:p w:rsidR="00B769F5" w:rsidRPr="007F5722" w:rsidRDefault="00B769F5" w:rsidP="00C20680">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0,0985</w:t>
            </w:r>
          </w:p>
        </w:tc>
        <w:tc>
          <w:tcPr>
            <w:tcW w:w="2393" w:type="dxa"/>
          </w:tcPr>
          <w:p w:rsidR="00B769F5" w:rsidRPr="007F5722" w:rsidRDefault="00B769F5" w:rsidP="00C20680">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0,598</w:t>
            </w:r>
          </w:p>
        </w:tc>
      </w:tr>
      <w:tr w:rsidR="00FB4B7D" w:rsidRPr="007F5722" w:rsidTr="00F72A31">
        <w:tc>
          <w:tcPr>
            <w:tcW w:w="2392" w:type="dxa"/>
          </w:tcPr>
          <w:p w:rsidR="00FB4B7D" w:rsidRPr="007F5722" w:rsidRDefault="00FB4B7D"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Маса тіла&amp;ІЛ-22</w:t>
            </w:r>
          </w:p>
        </w:tc>
        <w:tc>
          <w:tcPr>
            <w:tcW w:w="2393" w:type="dxa"/>
          </w:tcPr>
          <w:p w:rsidR="00FB4B7D" w:rsidRPr="007F5722" w:rsidRDefault="00FB4B7D"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47</w:t>
            </w:r>
          </w:p>
        </w:tc>
        <w:tc>
          <w:tcPr>
            <w:tcW w:w="2393" w:type="dxa"/>
          </w:tcPr>
          <w:p w:rsidR="00FB4B7D" w:rsidRPr="007F5722" w:rsidRDefault="00FB4B7D"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0,1614</w:t>
            </w:r>
          </w:p>
        </w:tc>
        <w:tc>
          <w:tcPr>
            <w:tcW w:w="2393" w:type="dxa"/>
          </w:tcPr>
          <w:p w:rsidR="00FB4B7D" w:rsidRPr="007F5722" w:rsidRDefault="00FB4B7D"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0,386</w:t>
            </w:r>
          </w:p>
        </w:tc>
      </w:tr>
      <w:tr w:rsidR="00FB4B7D" w:rsidRPr="007F5722" w:rsidTr="00F72A31">
        <w:tc>
          <w:tcPr>
            <w:tcW w:w="2392" w:type="dxa"/>
          </w:tcPr>
          <w:p w:rsidR="00FB4B7D" w:rsidRPr="007F5722" w:rsidRDefault="00FB4B7D"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ІМТ&amp;ІЛ-22</w:t>
            </w:r>
          </w:p>
        </w:tc>
        <w:tc>
          <w:tcPr>
            <w:tcW w:w="2393" w:type="dxa"/>
          </w:tcPr>
          <w:p w:rsidR="00FB4B7D" w:rsidRPr="007F5722" w:rsidRDefault="00FB4B7D"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47</w:t>
            </w:r>
          </w:p>
        </w:tc>
        <w:tc>
          <w:tcPr>
            <w:tcW w:w="2393" w:type="dxa"/>
          </w:tcPr>
          <w:p w:rsidR="00FB4B7D" w:rsidRPr="007F5722" w:rsidRDefault="00FB4B7D"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-0,0560</w:t>
            </w:r>
          </w:p>
        </w:tc>
        <w:tc>
          <w:tcPr>
            <w:tcW w:w="2393" w:type="dxa"/>
          </w:tcPr>
          <w:p w:rsidR="00FB4B7D" w:rsidRPr="007F5722" w:rsidRDefault="00FB4B7D"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0,765</w:t>
            </w:r>
          </w:p>
        </w:tc>
      </w:tr>
      <w:tr w:rsidR="00FB4B7D" w:rsidRPr="007F5722" w:rsidTr="00F72A31">
        <w:tc>
          <w:tcPr>
            <w:tcW w:w="2392" w:type="dxa"/>
          </w:tcPr>
          <w:p w:rsidR="00FB4B7D" w:rsidRPr="007F5722" w:rsidRDefault="00FB4B7D"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ОТ&amp;ІЛ-22</w:t>
            </w:r>
          </w:p>
        </w:tc>
        <w:tc>
          <w:tcPr>
            <w:tcW w:w="2393" w:type="dxa"/>
          </w:tcPr>
          <w:p w:rsidR="00FB4B7D" w:rsidRPr="007F5722" w:rsidRDefault="00FB4B7D"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47</w:t>
            </w:r>
          </w:p>
        </w:tc>
        <w:tc>
          <w:tcPr>
            <w:tcW w:w="2393" w:type="dxa"/>
          </w:tcPr>
          <w:p w:rsidR="00FB4B7D" w:rsidRPr="007F5722" w:rsidRDefault="00FB4B7D"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0,1408</w:t>
            </w:r>
          </w:p>
        </w:tc>
        <w:tc>
          <w:tcPr>
            <w:tcW w:w="2393" w:type="dxa"/>
          </w:tcPr>
          <w:p w:rsidR="00FB4B7D" w:rsidRPr="007F5722" w:rsidRDefault="00FB4B7D"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0,450</w:t>
            </w:r>
          </w:p>
        </w:tc>
      </w:tr>
      <w:tr w:rsidR="00FB4B7D" w:rsidRPr="007F5722" w:rsidTr="00F72A31">
        <w:tc>
          <w:tcPr>
            <w:tcW w:w="2392" w:type="dxa"/>
          </w:tcPr>
          <w:p w:rsidR="00FB4B7D" w:rsidRPr="007F5722" w:rsidRDefault="00FB4B7D"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ОС&amp;ІЛ-22</w:t>
            </w:r>
          </w:p>
        </w:tc>
        <w:tc>
          <w:tcPr>
            <w:tcW w:w="2393" w:type="dxa"/>
          </w:tcPr>
          <w:p w:rsidR="00FB4B7D" w:rsidRPr="007F5722" w:rsidRDefault="00FB4B7D"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47</w:t>
            </w:r>
          </w:p>
        </w:tc>
        <w:tc>
          <w:tcPr>
            <w:tcW w:w="2393" w:type="dxa"/>
          </w:tcPr>
          <w:p w:rsidR="00FB4B7D" w:rsidRPr="007F5722" w:rsidRDefault="00FB4B7D"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-0,0551</w:t>
            </w:r>
          </w:p>
        </w:tc>
        <w:tc>
          <w:tcPr>
            <w:tcW w:w="2393" w:type="dxa"/>
          </w:tcPr>
          <w:p w:rsidR="00FB4B7D" w:rsidRPr="007F5722" w:rsidRDefault="00FB4B7D"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0,769</w:t>
            </w:r>
          </w:p>
        </w:tc>
      </w:tr>
      <w:tr w:rsidR="00FB4B7D" w:rsidRPr="007F5722" w:rsidTr="00F72A31">
        <w:tc>
          <w:tcPr>
            <w:tcW w:w="2392" w:type="dxa"/>
          </w:tcPr>
          <w:p w:rsidR="00FB4B7D" w:rsidRPr="007F5722" w:rsidRDefault="00FB4B7D"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ОТ/ОС&amp;ІЛ-22</w:t>
            </w:r>
          </w:p>
        </w:tc>
        <w:tc>
          <w:tcPr>
            <w:tcW w:w="2393" w:type="dxa"/>
          </w:tcPr>
          <w:p w:rsidR="00FB4B7D" w:rsidRPr="007F5722" w:rsidRDefault="00FB4B7D"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47</w:t>
            </w:r>
          </w:p>
        </w:tc>
        <w:tc>
          <w:tcPr>
            <w:tcW w:w="2393" w:type="dxa"/>
          </w:tcPr>
          <w:p w:rsidR="00FB4B7D" w:rsidRPr="007F5722" w:rsidRDefault="00FB4B7D"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0,3163</w:t>
            </w:r>
          </w:p>
        </w:tc>
        <w:tc>
          <w:tcPr>
            <w:tcW w:w="2393" w:type="dxa"/>
          </w:tcPr>
          <w:p w:rsidR="00FB4B7D" w:rsidRPr="007F5722" w:rsidRDefault="00FB4B7D"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0,083</w:t>
            </w:r>
          </w:p>
        </w:tc>
      </w:tr>
    </w:tbl>
    <w:p w:rsidR="00A050AA" w:rsidRPr="007F5722" w:rsidRDefault="00A050AA" w:rsidP="005F5E33">
      <w:pPr>
        <w:shd w:val="clear" w:color="auto" w:fill="FFFFFF"/>
        <w:spacing w:after="0" w:line="360" w:lineRule="auto"/>
        <w:rPr>
          <w:rFonts w:ascii="Times New Roman" w:eastAsia="Times New Roman" w:hAnsi="Times New Roman" w:cs="Times New Roman"/>
          <w:b/>
          <w:color w:val="000000"/>
          <w:sz w:val="28"/>
          <w:szCs w:val="28"/>
        </w:rPr>
      </w:pPr>
    </w:p>
    <w:p w:rsidR="00C62EFF" w:rsidRDefault="00C62EFF" w:rsidP="000B7DC6">
      <w:pPr>
        <w:shd w:val="clear" w:color="auto" w:fill="FFFFFF"/>
        <w:spacing w:after="0" w:line="360" w:lineRule="auto"/>
        <w:ind w:firstLine="709"/>
        <w:jc w:val="right"/>
        <w:rPr>
          <w:rFonts w:ascii="Times New Roman" w:eastAsia="Times New Roman" w:hAnsi="Times New Roman" w:cs="Times New Roman"/>
          <w:color w:val="000000"/>
          <w:sz w:val="28"/>
          <w:szCs w:val="28"/>
        </w:rPr>
      </w:pPr>
    </w:p>
    <w:p w:rsidR="00FB40C2" w:rsidRPr="007F5722" w:rsidRDefault="00FB4B7D" w:rsidP="000B7DC6">
      <w:pPr>
        <w:shd w:val="clear" w:color="auto" w:fill="FFFFFF"/>
        <w:spacing w:after="0" w:line="360" w:lineRule="auto"/>
        <w:ind w:firstLine="709"/>
        <w:jc w:val="right"/>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Таблиця 3.1.4</w:t>
      </w:r>
    </w:p>
    <w:p w:rsidR="00C62EFF" w:rsidRPr="007F5722" w:rsidRDefault="000B7DC6" w:rsidP="00C62EFF">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Кореляційні взаємозв’язки між ІЛ-22, гемодинамічним</w:t>
      </w:r>
      <w:r w:rsidR="001C62CF" w:rsidRPr="007F5722">
        <w:rPr>
          <w:rFonts w:ascii="Times New Roman" w:eastAsia="Times New Roman" w:hAnsi="Times New Roman" w:cs="Times New Roman"/>
          <w:color w:val="000000"/>
          <w:sz w:val="28"/>
          <w:szCs w:val="28"/>
          <w:lang w:val="ru-RU"/>
        </w:rPr>
        <w:t>и</w:t>
      </w:r>
      <w:r w:rsidRPr="007F5722">
        <w:rPr>
          <w:rFonts w:ascii="Times New Roman" w:eastAsia="Times New Roman" w:hAnsi="Times New Roman" w:cs="Times New Roman"/>
          <w:color w:val="000000"/>
          <w:sz w:val="28"/>
          <w:szCs w:val="28"/>
        </w:rPr>
        <w:t xml:space="preserve"> та антропометричними показниками у пацієнтів хворих на ГХ з нормальною масою тіла</w:t>
      </w:r>
    </w:p>
    <w:tbl>
      <w:tblPr>
        <w:tblStyle w:val="a9"/>
        <w:tblW w:w="0" w:type="auto"/>
        <w:tblLook w:val="04A0" w:firstRow="1" w:lastRow="0" w:firstColumn="1" w:lastColumn="0" w:noHBand="0" w:noVBand="1"/>
      </w:tblPr>
      <w:tblGrid>
        <w:gridCol w:w="2363"/>
        <w:gridCol w:w="2316"/>
        <w:gridCol w:w="2336"/>
        <w:gridCol w:w="2330"/>
      </w:tblGrid>
      <w:tr w:rsidR="000B7DC6" w:rsidRPr="007F5722" w:rsidTr="00E871FC">
        <w:tc>
          <w:tcPr>
            <w:tcW w:w="2363" w:type="dxa"/>
          </w:tcPr>
          <w:p w:rsidR="000B7DC6" w:rsidRPr="007F5722" w:rsidRDefault="000B7DC6" w:rsidP="001C62CF">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Показник</w:t>
            </w:r>
          </w:p>
        </w:tc>
        <w:tc>
          <w:tcPr>
            <w:tcW w:w="2316" w:type="dxa"/>
          </w:tcPr>
          <w:p w:rsidR="000B7DC6" w:rsidRPr="007F5722" w:rsidRDefault="000B7DC6" w:rsidP="001C62CF">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N</w:t>
            </w:r>
          </w:p>
        </w:tc>
        <w:tc>
          <w:tcPr>
            <w:tcW w:w="2336" w:type="dxa"/>
          </w:tcPr>
          <w:p w:rsidR="000B7DC6" w:rsidRPr="007F5722" w:rsidRDefault="000B7DC6" w:rsidP="001C62CF">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R</w:t>
            </w:r>
          </w:p>
        </w:tc>
        <w:tc>
          <w:tcPr>
            <w:tcW w:w="2330" w:type="dxa"/>
          </w:tcPr>
          <w:p w:rsidR="000B7DC6" w:rsidRPr="007F5722" w:rsidRDefault="000B7DC6" w:rsidP="001C62CF">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lang w:val="en-US"/>
              </w:rPr>
              <w:t>p-level</w:t>
            </w:r>
          </w:p>
        </w:tc>
      </w:tr>
      <w:tr w:rsidR="000B7DC6" w:rsidRPr="007F5722" w:rsidTr="00E871FC">
        <w:tc>
          <w:tcPr>
            <w:tcW w:w="2363" w:type="dxa"/>
          </w:tcPr>
          <w:p w:rsidR="000B7DC6" w:rsidRPr="007F5722" w:rsidRDefault="000B7DC6" w:rsidP="001C62CF">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САТ&amp;ІЛ-22</w:t>
            </w:r>
          </w:p>
        </w:tc>
        <w:tc>
          <w:tcPr>
            <w:tcW w:w="2316" w:type="dxa"/>
          </w:tcPr>
          <w:p w:rsidR="000B7DC6" w:rsidRPr="007F5722" w:rsidRDefault="001D01CA" w:rsidP="001C62CF">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25</w:t>
            </w:r>
          </w:p>
        </w:tc>
        <w:tc>
          <w:tcPr>
            <w:tcW w:w="2336" w:type="dxa"/>
          </w:tcPr>
          <w:p w:rsidR="000B7DC6" w:rsidRPr="007F5722" w:rsidRDefault="000B7DC6" w:rsidP="001C62CF">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-0,4010</w:t>
            </w:r>
          </w:p>
        </w:tc>
        <w:tc>
          <w:tcPr>
            <w:tcW w:w="2330" w:type="dxa"/>
          </w:tcPr>
          <w:p w:rsidR="000B7DC6" w:rsidRPr="007F5722" w:rsidRDefault="000B7DC6" w:rsidP="001C62CF">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0,089</w:t>
            </w:r>
          </w:p>
        </w:tc>
      </w:tr>
      <w:tr w:rsidR="000B7DC6" w:rsidRPr="007F5722" w:rsidTr="00E871FC">
        <w:tc>
          <w:tcPr>
            <w:tcW w:w="2363" w:type="dxa"/>
          </w:tcPr>
          <w:p w:rsidR="000B7DC6" w:rsidRPr="007F5722" w:rsidRDefault="000B7DC6" w:rsidP="001C62CF">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ДАТ&amp;ІЛ-22</w:t>
            </w:r>
          </w:p>
        </w:tc>
        <w:tc>
          <w:tcPr>
            <w:tcW w:w="2316" w:type="dxa"/>
          </w:tcPr>
          <w:p w:rsidR="000B7DC6" w:rsidRPr="007F5722" w:rsidRDefault="001D01CA" w:rsidP="001C62CF">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25</w:t>
            </w:r>
          </w:p>
        </w:tc>
        <w:tc>
          <w:tcPr>
            <w:tcW w:w="2336" w:type="dxa"/>
          </w:tcPr>
          <w:p w:rsidR="000B7DC6" w:rsidRPr="007F5722" w:rsidRDefault="000B7DC6" w:rsidP="001C62CF">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-0,2709</w:t>
            </w:r>
          </w:p>
        </w:tc>
        <w:tc>
          <w:tcPr>
            <w:tcW w:w="2330" w:type="dxa"/>
          </w:tcPr>
          <w:p w:rsidR="000B7DC6" w:rsidRPr="007F5722" w:rsidRDefault="000B7DC6" w:rsidP="001C62CF">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0,262</w:t>
            </w:r>
          </w:p>
        </w:tc>
      </w:tr>
      <w:tr w:rsidR="000B7DC6" w:rsidRPr="007F5722" w:rsidTr="00E871FC">
        <w:tc>
          <w:tcPr>
            <w:tcW w:w="2363" w:type="dxa"/>
          </w:tcPr>
          <w:p w:rsidR="000B7DC6" w:rsidRPr="007F5722" w:rsidRDefault="000B7DC6" w:rsidP="001C62CF">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ПАТ&amp;ІЛ-22</w:t>
            </w:r>
          </w:p>
        </w:tc>
        <w:tc>
          <w:tcPr>
            <w:tcW w:w="2316" w:type="dxa"/>
          </w:tcPr>
          <w:p w:rsidR="000B7DC6" w:rsidRPr="007F5722" w:rsidRDefault="001D01CA" w:rsidP="001C62CF">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25</w:t>
            </w:r>
          </w:p>
        </w:tc>
        <w:tc>
          <w:tcPr>
            <w:tcW w:w="2336" w:type="dxa"/>
          </w:tcPr>
          <w:p w:rsidR="000B7DC6" w:rsidRPr="007F5722" w:rsidRDefault="000B7DC6" w:rsidP="001C62CF">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-0,2846</w:t>
            </w:r>
          </w:p>
        </w:tc>
        <w:tc>
          <w:tcPr>
            <w:tcW w:w="2330" w:type="dxa"/>
          </w:tcPr>
          <w:p w:rsidR="000B7DC6" w:rsidRPr="007F5722" w:rsidRDefault="00967750" w:rsidP="001C62CF">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0,238</w:t>
            </w:r>
          </w:p>
        </w:tc>
      </w:tr>
      <w:tr w:rsidR="000B7DC6" w:rsidRPr="007F5722" w:rsidTr="00E871FC">
        <w:tc>
          <w:tcPr>
            <w:tcW w:w="2363" w:type="dxa"/>
          </w:tcPr>
          <w:p w:rsidR="000B7DC6" w:rsidRPr="007F5722" w:rsidRDefault="000B7DC6" w:rsidP="001C62CF">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Тривалість АГ&amp;ІЛ-22</w:t>
            </w:r>
          </w:p>
        </w:tc>
        <w:tc>
          <w:tcPr>
            <w:tcW w:w="2316" w:type="dxa"/>
          </w:tcPr>
          <w:p w:rsidR="000B7DC6" w:rsidRPr="007F5722" w:rsidRDefault="001D01CA" w:rsidP="001C62CF">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25</w:t>
            </w:r>
          </w:p>
        </w:tc>
        <w:tc>
          <w:tcPr>
            <w:tcW w:w="2336" w:type="dxa"/>
          </w:tcPr>
          <w:p w:rsidR="000B7DC6" w:rsidRPr="007F5722" w:rsidRDefault="00967750" w:rsidP="001C62CF">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0,2826</w:t>
            </w:r>
          </w:p>
        </w:tc>
        <w:tc>
          <w:tcPr>
            <w:tcW w:w="2330" w:type="dxa"/>
          </w:tcPr>
          <w:p w:rsidR="000B7DC6" w:rsidRPr="007F5722" w:rsidRDefault="00967750" w:rsidP="001C62CF">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0,241</w:t>
            </w:r>
          </w:p>
        </w:tc>
      </w:tr>
      <w:tr w:rsidR="000B7DC6" w:rsidRPr="007F5722" w:rsidTr="00E871FC">
        <w:tc>
          <w:tcPr>
            <w:tcW w:w="2363" w:type="dxa"/>
          </w:tcPr>
          <w:p w:rsidR="000B7DC6" w:rsidRPr="007F5722" w:rsidRDefault="000B7DC6" w:rsidP="001C62CF">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Маса тіла&amp;ІЛ-22</w:t>
            </w:r>
          </w:p>
        </w:tc>
        <w:tc>
          <w:tcPr>
            <w:tcW w:w="2316" w:type="dxa"/>
          </w:tcPr>
          <w:p w:rsidR="000B7DC6" w:rsidRPr="007F5722" w:rsidRDefault="001D01CA" w:rsidP="001C62CF">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25</w:t>
            </w:r>
          </w:p>
        </w:tc>
        <w:tc>
          <w:tcPr>
            <w:tcW w:w="2336" w:type="dxa"/>
          </w:tcPr>
          <w:p w:rsidR="000B7DC6" w:rsidRPr="007F5722" w:rsidRDefault="00967750" w:rsidP="001C62CF">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0,0434</w:t>
            </w:r>
          </w:p>
        </w:tc>
        <w:tc>
          <w:tcPr>
            <w:tcW w:w="2330" w:type="dxa"/>
          </w:tcPr>
          <w:p w:rsidR="000B7DC6" w:rsidRPr="007F5722" w:rsidRDefault="00967750" w:rsidP="001C62CF">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0,860</w:t>
            </w:r>
          </w:p>
        </w:tc>
      </w:tr>
      <w:tr w:rsidR="000B7DC6" w:rsidRPr="007F5722" w:rsidTr="00133129">
        <w:tc>
          <w:tcPr>
            <w:tcW w:w="2363" w:type="dxa"/>
            <w:tcBorders>
              <w:bottom w:val="single" w:sz="4" w:space="0" w:color="auto"/>
            </w:tcBorders>
          </w:tcPr>
          <w:p w:rsidR="000B7DC6" w:rsidRPr="007F5722" w:rsidRDefault="000B7DC6" w:rsidP="001C62CF">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ІМТ&amp;ІЛ-22</w:t>
            </w:r>
          </w:p>
        </w:tc>
        <w:tc>
          <w:tcPr>
            <w:tcW w:w="2316" w:type="dxa"/>
            <w:tcBorders>
              <w:bottom w:val="single" w:sz="4" w:space="0" w:color="auto"/>
            </w:tcBorders>
          </w:tcPr>
          <w:p w:rsidR="000B7DC6" w:rsidRPr="007F5722" w:rsidRDefault="001D01CA" w:rsidP="001C62CF">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25</w:t>
            </w:r>
          </w:p>
        </w:tc>
        <w:tc>
          <w:tcPr>
            <w:tcW w:w="2336" w:type="dxa"/>
            <w:tcBorders>
              <w:bottom w:val="single" w:sz="4" w:space="0" w:color="auto"/>
            </w:tcBorders>
          </w:tcPr>
          <w:p w:rsidR="000B7DC6" w:rsidRPr="007F5722" w:rsidRDefault="000B7DC6" w:rsidP="007D20E8">
            <w:pPr>
              <w:tabs>
                <w:tab w:val="right" w:pos="2120"/>
              </w:tabs>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-0,0</w:t>
            </w:r>
            <w:r w:rsidR="00967750" w:rsidRPr="007F5722">
              <w:rPr>
                <w:rFonts w:ascii="Times New Roman" w:eastAsia="Times New Roman" w:hAnsi="Times New Roman" w:cs="Times New Roman"/>
                <w:color w:val="000000"/>
                <w:sz w:val="28"/>
                <w:szCs w:val="28"/>
              </w:rPr>
              <w:t>384</w:t>
            </w:r>
            <w:r w:rsidR="007D20E8">
              <w:rPr>
                <w:rFonts w:ascii="Times New Roman" w:eastAsia="Times New Roman" w:hAnsi="Times New Roman" w:cs="Times New Roman"/>
                <w:color w:val="000000"/>
                <w:sz w:val="28"/>
                <w:szCs w:val="28"/>
              </w:rPr>
              <w:tab/>
            </w:r>
          </w:p>
        </w:tc>
        <w:tc>
          <w:tcPr>
            <w:tcW w:w="2330" w:type="dxa"/>
            <w:tcBorders>
              <w:bottom w:val="single" w:sz="4" w:space="0" w:color="auto"/>
            </w:tcBorders>
          </w:tcPr>
          <w:p w:rsidR="000B7DC6" w:rsidRPr="007F5722" w:rsidRDefault="00967750" w:rsidP="001C62CF">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0,876</w:t>
            </w:r>
          </w:p>
        </w:tc>
      </w:tr>
    </w:tbl>
    <w:p w:rsidR="0054118C" w:rsidRPr="0054118C" w:rsidRDefault="0054118C">
      <w:pPr>
        <w:rPr>
          <w:rFonts w:ascii="Times New Roman" w:hAnsi="Times New Roman" w:cs="Times New Roman"/>
          <w:sz w:val="28"/>
          <w:szCs w:val="28"/>
        </w:rPr>
      </w:pPr>
      <w:r w:rsidRPr="0054118C">
        <w:rPr>
          <w:rFonts w:ascii="Times New Roman" w:hAnsi="Times New Roman" w:cs="Times New Roman"/>
          <w:sz w:val="28"/>
          <w:szCs w:val="28"/>
        </w:rPr>
        <w:lastRenderedPageBreak/>
        <w:t>Продовження таблиці 3.1.4</w:t>
      </w:r>
    </w:p>
    <w:tbl>
      <w:tblPr>
        <w:tblStyle w:val="a9"/>
        <w:tblW w:w="0" w:type="auto"/>
        <w:tblLook w:val="04A0" w:firstRow="1" w:lastRow="0" w:firstColumn="1" w:lastColumn="0" w:noHBand="0" w:noVBand="1"/>
      </w:tblPr>
      <w:tblGrid>
        <w:gridCol w:w="2363"/>
        <w:gridCol w:w="2316"/>
        <w:gridCol w:w="2336"/>
        <w:gridCol w:w="2330"/>
      </w:tblGrid>
      <w:tr w:rsidR="0054118C" w:rsidRPr="007F5722" w:rsidTr="00133129">
        <w:tc>
          <w:tcPr>
            <w:tcW w:w="2363" w:type="dxa"/>
            <w:tcBorders>
              <w:bottom w:val="single" w:sz="4" w:space="0" w:color="auto"/>
            </w:tcBorders>
          </w:tcPr>
          <w:p w:rsidR="0054118C" w:rsidRPr="007F5722" w:rsidRDefault="0054118C" w:rsidP="0054118C">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Показник</w:t>
            </w:r>
          </w:p>
        </w:tc>
        <w:tc>
          <w:tcPr>
            <w:tcW w:w="2316" w:type="dxa"/>
            <w:tcBorders>
              <w:bottom w:val="single" w:sz="4" w:space="0" w:color="auto"/>
            </w:tcBorders>
          </w:tcPr>
          <w:p w:rsidR="0054118C" w:rsidRPr="007F5722" w:rsidRDefault="0054118C" w:rsidP="0054118C">
            <w:pPr>
              <w:spacing w:after="0" w:line="360" w:lineRule="auto"/>
              <w:jc w:val="both"/>
              <w:rPr>
                <w:rFonts w:ascii="Times New Roman" w:eastAsia="Times New Roman" w:hAnsi="Times New Roman" w:cs="Times New Roman"/>
                <w:color w:val="000000"/>
                <w:sz w:val="28"/>
                <w:szCs w:val="28"/>
              </w:rPr>
            </w:pPr>
            <w:r w:rsidRPr="0054118C">
              <w:rPr>
                <w:rFonts w:ascii="Times New Roman" w:eastAsia="Times New Roman" w:hAnsi="Times New Roman" w:cs="Times New Roman"/>
                <w:color w:val="000000"/>
                <w:sz w:val="28"/>
                <w:szCs w:val="28"/>
              </w:rPr>
              <w:t>N</w:t>
            </w:r>
          </w:p>
        </w:tc>
        <w:tc>
          <w:tcPr>
            <w:tcW w:w="2336" w:type="dxa"/>
            <w:tcBorders>
              <w:bottom w:val="single" w:sz="4" w:space="0" w:color="auto"/>
            </w:tcBorders>
          </w:tcPr>
          <w:p w:rsidR="0054118C" w:rsidRPr="007F5722" w:rsidRDefault="0054118C" w:rsidP="0054118C">
            <w:pPr>
              <w:spacing w:after="0" w:line="360" w:lineRule="auto"/>
              <w:jc w:val="both"/>
              <w:rPr>
                <w:rFonts w:ascii="Times New Roman" w:eastAsia="Times New Roman" w:hAnsi="Times New Roman" w:cs="Times New Roman"/>
                <w:color w:val="000000"/>
                <w:sz w:val="28"/>
                <w:szCs w:val="28"/>
              </w:rPr>
            </w:pPr>
            <w:r w:rsidRPr="0054118C">
              <w:rPr>
                <w:rFonts w:ascii="Times New Roman" w:eastAsia="Times New Roman" w:hAnsi="Times New Roman" w:cs="Times New Roman"/>
                <w:color w:val="000000"/>
                <w:sz w:val="28"/>
                <w:szCs w:val="28"/>
              </w:rPr>
              <w:t>R</w:t>
            </w:r>
          </w:p>
        </w:tc>
        <w:tc>
          <w:tcPr>
            <w:tcW w:w="2330" w:type="dxa"/>
            <w:tcBorders>
              <w:bottom w:val="single" w:sz="4" w:space="0" w:color="auto"/>
            </w:tcBorders>
          </w:tcPr>
          <w:p w:rsidR="0054118C" w:rsidRPr="007F5722" w:rsidRDefault="0054118C" w:rsidP="0054118C">
            <w:pPr>
              <w:spacing w:after="0" w:line="360" w:lineRule="auto"/>
              <w:jc w:val="both"/>
              <w:rPr>
                <w:rFonts w:ascii="Times New Roman" w:eastAsia="Times New Roman" w:hAnsi="Times New Roman" w:cs="Times New Roman"/>
                <w:color w:val="000000"/>
                <w:sz w:val="28"/>
                <w:szCs w:val="28"/>
              </w:rPr>
            </w:pPr>
            <w:r w:rsidRPr="0054118C">
              <w:rPr>
                <w:rFonts w:ascii="Times New Roman" w:eastAsia="Times New Roman" w:hAnsi="Times New Roman" w:cs="Times New Roman"/>
                <w:color w:val="000000"/>
                <w:sz w:val="28"/>
                <w:szCs w:val="28"/>
                <w:lang w:val="en-US"/>
              </w:rPr>
              <w:t>p-level</w:t>
            </w:r>
          </w:p>
        </w:tc>
      </w:tr>
      <w:tr w:rsidR="0054118C" w:rsidRPr="007F5722" w:rsidTr="00133129">
        <w:tc>
          <w:tcPr>
            <w:tcW w:w="2363" w:type="dxa"/>
            <w:tcBorders>
              <w:bottom w:val="single" w:sz="4" w:space="0" w:color="auto"/>
            </w:tcBorders>
          </w:tcPr>
          <w:p w:rsidR="0054118C" w:rsidRPr="007F5722" w:rsidRDefault="0054118C" w:rsidP="0054118C">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ОТ&amp;ІЛ-22</w:t>
            </w:r>
          </w:p>
        </w:tc>
        <w:tc>
          <w:tcPr>
            <w:tcW w:w="2316" w:type="dxa"/>
            <w:tcBorders>
              <w:bottom w:val="single" w:sz="4" w:space="0" w:color="auto"/>
            </w:tcBorders>
          </w:tcPr>
          <w:p w:rsidR="0054118C" w:rsidRPr="007F5722" w:rsidRDefault="0054118C" w:rsidP="0054118C">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25</w:t>
            </w:r>
          </w:p>
        </w:tc>
        <w:tc>
          <w:tcPr>
            <w:tcW w:w="2336" w:type="dxa"/>
            <w:tcBorders>
              <w:bottom w:val="single" w:sz="4" w:space="0" w:color="auto"/>
            </w:tcBorders>
          </w:tcPr>
          <w:p w:rsidR="0054118C" w:rsidRPr="007F5722" w:rsidRDefault="0054118C" w:rsidP="0054118C">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0,0985</w:t>
            </w:r>
          </w:p>
        </w:tc>
        <w:tc>
          <w:tcPr>
            <w:tcW w:w="2330" w:type="dxa"/>
            <w:tcBorders>
              <w:bottom w:val="single" w:sz="4" w:space="0" w:color="auto"/>
            </w:tcBorders>
          </w:tcPr>
          <w:p w:rsidR="0054118C" w:rsidRPr="007F5722" w:rsidRDefault="0054118C" w:rsidP="0054118C">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0,688</w:t>
            </w:r>
          </w:p>
        </w:tc>
      </w:tr>
      <w:tr w:rsidR="0054118C" w:rsidRPr="007F5722" w:rsidTr="00133129">
        <w:tc>
          <w:tcPr>
            <w:tcW w:w="2363" w:type="dxa"/>
            <w:tcBorders>
              <w:top w:val="single" w:sz="4" w:space="0" w:color="auto"/>
            </w:tcBorders>
          </w:tcPr>
          <w:p w:rsidR="0054118C" w:rsidRPr="007F5722" w:rsidRDefault="0054118C" w:rsidP="0054118C">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ОС&amp;ІЛ-22</w:t>
            </w:r>
          </w:p>
        </w:tc>
        <w:tc>
          <w:tcPr>
            <w:tcW w:w="2316" w:type="dxa"/>
            <w:tcBorders>
              <w:top w:val="single" w:sz="4" w:space="0" w:color="auto"/>
            </w:tcBorders>
          </w:tcPr>
          <w:p w:rsidR="0054118C" w:rsidRPr="007F5722" w:rsidRDefault="0054118C" w:rsidP="0054118C">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25</w:t>
            </w:r>
          </w:p>
        </w:tc>
        <w:tc>
          <w:tcPr>
            <w:tcW w:w="2336" w:type="dxa"/>
            <w:tcBorders>
              <w:top w:val="single" w:sz="4" w:space="0" w:color="auto"/>
            </w:tcBorders>
          </w:tcPr>
          <w:p w:rsidR="0054118C" w:rsidRPr="007F5722" w:rsidRDefault="0054118C" w:rsidP="0054118C">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0,0792</w:t>
            </w:r>
          </w:p>
        </w:tc>
        <w:tc>
          <w:tcPr>
            <w:tcW w:w="2330" w:type="dxa"/>
            <w:tcBorders>
              <w:top w:val="single" w:sz="4" w:space="0" w:color="auto"/>
            </w:tcBorders>
          </w:tcPr>
          <w:p w:rsidR="0054118C" w:rsidRPr="007F5722" w:rsidRDefault="0054118C" w:rsidP="0054118C">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0,747</w:t>
            </w:r>
          </w:p>
        </w:tc>
      </w:tr>
      <w:tr w:rsidR="0054118C" w:rsidRPr="007F5722" w:rsidTr="00E871FC">
        <w:tc>
          <w:tcPr>
            <w:tcW w:w="2363" w:type="dxa"/>
          </w:tcPr>
          <w:p w:rsidR="0054118C" w:rsidRPr="007F5722" w:rsidRDefault="0054118C" w:rsidP="0054118C">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ОТ/ОС&amp;ІЛ-22</w:t>
            </w:r>
          </w:p>
        </w:tc>
        <w:tc>
          <w:tcPr>
            <w:tcW w:w="2316" w:type="dxa"/>
          </w:tcPr>
          <w:p w:rsidR="0054118C" w:rsidRPr="007F5722" w:rsidRDefault="0054118C" w:rsidP="0054118C">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25</w:t>
            </w:r>
          </w:p>
        </w:tc>
        <w:tc>
          <w:tcPr>
            <w:tcW w:w="2336" w:type="dxa"/>
          </w:tcPr>
          <w:p w:rsidR="0054118C" w:rsidRPr="007F5722" w:rsidRDefault="0054118C" w:rsidP="0054118C">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0,0739</w:t>
            </w:r>
          </w:p>
        </w:tc>
        <w:tc>
          <w:tcPr>
            <w:tcW w:w="2330" w:type="dxa"/>
          </w:tcPr>
          <w:p w:rsidR="0054118C" w:rsidRPr="007F5722" w:rsidRDefault="0054118C" w:rsidP="0054118C">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0,764</w:t>
            </w:r>
          </w:p>
        </w:tc>
      </w:tr>
    </w:tbl>
    <w:p w:rsidR="000B7DC6" w:rsidRPr="007F5722" w:rsidRDefault="000B7DC6" w:rsidP="00C20680">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6E72AD" w:rsidRPr="007F5722" w:rsidRDefault="007E5490" w:rsidP="0045709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Літературні джерела свідчать про взаємозв</w:t>
      </w:r>
      <w:r w:rsidRPr="007F5722">
        <w:rPr>
          <w:rFonts w:ascii="Times New Roman" w:eastAsia="Times New Roman" w:hAnsi="Times New Roman" w:cs="Times New Roman"/>
          <w:color w:val="000000"/>
          <w:sz w:val="28"/>
          <w:szCs w:val="28"/>
          <w:lang w:val="ru-RU"/>
        </w:rPr>
        <w:t>’</w:t>
      </w:r>
      <w:r w:rsidRPr="007F5722">
        <w:rPr>
          <w:rFonts w:ascii="Times New Roman" w:eastAsia="Times New Roman" w:hAnsi="Times New Roman" w:cs="Times New Roman"/>
          <w:color w:val="000000"/>
          <w:sz w:val="28"/>
          <w:szCs w:val="28"/>
        </w:rPr>
        <w:t xml:space="preserve">язок між ГХ і запальним процесом, який погіршується </w:t>
      </w:r>
      <w:r w:rsidR="003E58E7" w:rsidRPr="007F5722">
        <w:rPr>
          <w:rFonts w:ascii="Times New Roman" w:eastAsia="Times New Roman" w:hAnsi="Times New Roman" w:cs="Times New Roman"/>
          <w:color w:val="000000"/>
          <w:sz w:val="28"/>
          <w:szCs w:val="28"/>
        </w:rPr>
        <w:t>за наявності надлишкової маси т</w:t>
      </w:r>
      <w:r w:rsidR="00FE0B7D" w:rsidRPr="007F5722">
        <w:rPr>
          <w:rFonts w:ascii="Times New Roman" w:eastAsia="Times New Roman" w:hAnsi="Times New Roman" w:cs="Times New Roman"/>
          <w:color w:val="000000"/>
          <w:sz w:val="28"/>
          <w:szCs w:val="28"/>
        </w:rPr>
        <w:t>і</w:t>
      </w:r>
      <w:r w:rsidR="003E58E7" w:rsidRPr="007F5722">
        <w:rPr>
          <w:rFonts w:ascii="Times New Roman" w:eastAsia="Times New Roman" w:hAnsi="Times New Roman" w:cs="Times New Roman"/>
          <w:color w:val="000000"/>
          <w:sz w:val="28"/>
          <w:szCs w:val="28"/>
        </w:rPr>
        <w:t>ла</w:t>
      </w:r>
      <w:r w:rsidR="00FE0B7D" w:rsidRPr="007F5722">
        <w:rPr>
          <w:rFonts w:ascii="Times New Roman" w:eastAsia="Times New Roman" w:hAnsi="Times New Roman" w:cs="Times New Roman"/>
          <w:color w:val="000000"/>
          <w:sz w:val="28"/>
          <w:szCs w:val="28"/>
        </w:rPr>
        <w:t xml:space="preserve"> [</w:t>
      </w:r>
      <w:r w:rsidR="00133129" w:rsidRPr="007F5722">
        <w:rPr>
          <w:rFonts w:ascii="Times New Roman" w:eastAsia="Times New Roman" w:hAnsi="Times New Roman" w:cs="Times New Roman"/>
          <w:color w:val="000000"/>
          <w:sz w:val="28"/>
          <w:szCs w:val="28"/>
          <w:lang w:val="ru-RU"/>
        </w:rPr>
        <w:t>203</w:t>
      </w:r>
      <w:r w:rsidR="006E72AD" w:rsidRPr="007F5722">
        <w:rPr>
          <w:rFonts w:ascii="Times New Roman" w:eastAsia="Times New Roman" w:hAnsi="Times New Roman" w:cs="Times New Roman"/>
          <w:color w:val="000000"/>
          <w:sz w:val="28"/>
          <w:szCs w:val="28"/>
        </w:rPr>
        <w:t xml:space="preserve">]. </w:t>
      </w:r>
      <w:r w:rsidR="00FE0B7D" w:rsidRPr="007F5722">
        <w:rPr>
          <w:rFonts w:ascii="Times New Roman" w:eastAsia="Times New Roman" w:hAnsi="Times New Roman" w:cs="Times New Roman"/>
          <w:color w:val="000000"/>
          <w:sz w:val="28"/>
          <w:szCs w:val="28"/>
        </w:rPr>
        <w:t xml:space="preserve">Біологічними маркерами запального процесу є С-реактивний білок, прозапальні цитокіни та інші речовини </w:t>
      </w:r>
      <w:r w:rsidR="006E72AD" w:rsidRPr="007F5722">
        <w:rPr>
          <w:rFonts w:ascii="Times New Roman" w:eastAsia="Times New Roman" w:hAnsi="Times New Roman" w:cs="Times New Roman"/>
          <w:color w:val="000000"/>
          <w:sz w:val="28"/>
          <w:szCs w:val="28"/>
        </w:rPr>
        <w:t>[</w:t>
      </w:r>
      <w:r w:rsidR="00133129" w:rsidRPr="007F5722">
        <w:rPr>
          <w:rFonts w:ascii="Times New Roman" w:eastAsia="Times New Roman" w:hAnsi="Times New Roman" w:cs="Times New Roman"/>
          <w:color w:val="000000"/>
          <w:sz w:val="28"/>
          <w:szCs w:val="28"/>
          <w:lang w:val="ru-RU"/>
        </w:rPr>
        <w:t>204, 205</w:t>
      </w:r>
      <w:r w:rsidR="006E72AD" w:rsidRPr="007F5722">
        <w:rPr>
          <w:rFonts w:ascii="Times New Roman" w:eastAsia="Times New Roman" w:hAnsi="Times New Roman" w:cs="Times New Roman"/>
          <w:color w:val="000000"/>
          <w:sz w:val="28"/>
          <w:szCs w:val="28"/>
        </w:rPr>
        <w:t xml:space="preserve">]. </w:t>
      </w:r>
      <w:r w:rsidR="00FE0B7D" w:rsidRPr="007F5722">
        <w:rPr>
          <w:rFonts w:ascii="Times New Roman" w:eastAsia="Times New Roman" w:hAnsi="Times New Roman" w:cs="Times New Roman"/>
          <w:color w:val="000000"/>
          <w:sz w:val="28"/>
          <w:szCs w:val="28"/>
        </w:rPr>
        <w:t>Останнім часом активно вивчається роль цитокінів у патогенезі ГХ та метаболічних порушень</w:t>
      </w:r>
      <w:r w:rsidR="006E72AD" w:rsidRPr="007F5722">
        <w:rPr>
          <w:rFonts w:ascii="Times New Roman" w:eastAsia="Times New Roman" w:hAnsi="Times New Roman" w:cs="Times New Roman"/>
          <w:color w:val="000000"/>
          <w:sz w:val="28"/>
          <w:szCs w:val="28"/>
        </w:rPr>
        <w:t xml:space="preserve">. </w:t>
      </w:r>
    </w:p>
    <w:p w:rsidR="00FB4B7D" w:rsidRPr="007F5722" w:rsidRDefault="00EF0750" w:rsidP="0068626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 xml:space="preserve">Задля більш детального вивчення </w:t>
      </w:r>
      <w:r w:rsidR="00B51972" w:rsidRPr="007F5722">
        <w:rPr>
          <w:rFonts w:ascii="Times New Roman" w:eastAsia="Times New Roman" w:hAnsi="Times New Roman" w:cs="Times New Roman"/>
          <w:color w:val="000000"/>
          <w:sz w:val="28"/>
          <w:szCs w:val="28"/>
        </w:rPr>
        <w:t xml:space="preserve">взаємозв’язку </w:t>
      </w:r>
      <w:r w:rsidR="00E871FC" w:rsidRPr="007F5722">
        <w:rPr>
          <w:rFonts w:ascii="Times New Roman" w:eastAsia="Times New Roman" w:hAnsi="Times New Roman" w:cs="Times New Roman"/>
          <w:color w:val="000000"/>
          <w:sz w:val="28"/>
          <w:szCs w:val="28"/>
        </w:rPr>
        <w:t>цит</w:t>
      </w:r>
      <w:r w:rsidR="00B51972" w:rsidRPr="007F5722">
        <w:rPr>
          <w:rFonts w:ascii="Times New Roman" w:eastAsia="Times New Roman" w:hAnsi="Times New Roman" w:cs="Times New Roman"/>
          <w:color w:val="000000"/>
          <w:sz w:val="28"/>
          <w:szCs w:val="28"/>
        </w:rPr>
        <w:t>окіну з антропометричними та гемодинамічними параметрами, у</w:t>
      </w:r>
      <w:r w:rsidR="008E4A64" w:rsidRPr="007F5722">
        <w:rPr>
          <w:rFonts w:ascii="Times New Roman" w:eastAsia="Times New Roman" w:hAnsi="Times New Roman" w:cs="Times New Roman"/>
          <w:color w:val="000000"/>
          <w:sz w:val="28"/>
          <w:szCs w:val="28"/>
        </w:rPr>
        <w:t>сі</w:t>
      </w:r>
      <w:r w:rsidR="006E72AD" w:rsidRPr="007F5722">
        <w:rPr>
          <w:rFonts w:ascii="Times New Roman" w:eastAsia="Times New Roman" w:hAnsi="Times New Roman" w:cs="Times New Roman"/>
          <w:color w:val="000000"/>
          <w:sz w:val="28"/>
          <w:szCs w:val="28"/>
        </w:rPr>
        <w:t xml:space="preserve">х </w:t>
      </w:r>
      <w:r w:rsidR="008E4A64" w:rsidRPr="007F5722">
        <w:rPr>
          <w:rFonts w:ascii="Times New Roman" w:eastAsia="Times New Roman" w:hAnsi="Times New Roman" w:cs="Times New Roman"/>
          <w:color w:val="000000"/>
          <w:sz w:val="28"/>
          <w:szCs w:val="28"/>
        </w:rPr>
        <w:t xml:space="preserve">хворих на ГХ було розподілено на тертілі в залежності від рівня ІЛ-22 в </w:t>
      </w:r>
      <w:r w:rsidR="00796EC3">
        <w:rPr>
          <w:rFonts w:ascii="Times New Roman" w:eastAsia="Times New Roman" w:hAnsi="Times New Roman" w:cs="Times New Roman"/>
          <w:color w:val="000000"/>
          <w:sz w:val="28"/>
          <w:szCs w:val="28"/>
        </w:rPr>
        <w:t>плазмі</w:t>
      </w:r>
      <w:r w:rsidR="008E4A64" w:rsidRPr="007F5722">
        <w:rPr>
          <w:rFonts w:ascii="Times New Roman" w:eastAsia="Times New Roman" w:hAnsi="Times New Roman" w:cs="Times New Roman"/>
          <w:color w:val="000000"/>
          <w:sz w:val="28"/>
          <w:szCs w:val="28"/>
        </w:rPr>
        <w:t xml:space="preserve"> крові натще</w:t>
      </w:r>
      <w:r w:rsidR="006E72AD" w:rsidRPr="007F5722">
        <w:rPr>
          <w:rFonts w:ascii="Times New Roman" w:eastAsia="Times New Roman" w:hAnsi="Times New Roman" w:cs="Times New Roman"/>
          <w:color w:val="000000"/>
          <w:sz w:val="28"/>
          <w:szCs w:val="28"/>
        </w:rPr>
        <w:t>: 1-й терт</w:t>
      </w:r>
      <w:r w:rsidR="008E4A64" w:rsidRPr="007F5722">
        <w:rPr>
          <w:rFonts w:ascii="Times New Roman" w:eastAsia="Times New Roman" w:hAnsi="Times New Roman" w:cs="Times New Roman"/>
          <w:color w:val="000000"/>
          <w:sz w:val="28"/>
          <w:szCs w:val="28"/>
        </w:rPr>
        <w:t>і</w:t>
      </w:r>
      <w:r w:rsidR="006E72AD" w:rsidRPr="007F5722">
        <w:rPr>
          <w:rFonts w:ascii="Times New Roman" w:eastAsia="Times New Roman" w:hAnsi="Times New Roman" w:cs="Times New Roman"/>
          <w:color w:val="000000"/>
          <w:sz w:val="28"/>
          <w:szCs w:val="28"/>
        </w:rPr>
        <w:t>ль</w:t>
      </w:r>
      <w:r w:rsidR="008E4A64" w:rsidRPr="007F5722">
        <w:rPr>
          <w:rFonts w:ascii="Times New Roman" w:eastAsia="Times New Roman" w:hAnsi="Times New Roman" w:cs="Times New Roman"/>
          <w:color w:val="000000"/>
          <w:sz w:val="28"/>
          <w:szCs w:val="28"/>
        </w:rPr>
        <w:t xml:space="preserve"> </w:t>
      </w:r>
      <w:r w:rsidR="006E72AD" w:rsidRPr="007F5722">
        <w:rPr>
          <w:rFonts w:ascii="Times New Roman" w:eastAsia="Times New Roman" w:hAnsi="Times New Roman" w:cs="Times New Roman"/>
          <w:color w:val="000000"/>
          <w:sz w:val="28"/>
          <w:szCs w:val="28"/>
        </w:rPr>
        <w:t xml:space="preserve">– </w:t>
      </w:r>
      <w:r w:rsidR="008E4A64" w:rsidRPr="007F5722">
        <w:rPr>
          <w:rFonts w:ascii="Times New Roman" w:eastAsia="Times New Roman" w:hAnsi="Times New Roman" w:cs="Times New Roman"/>
          <w:color w:val="000000"/>
          <w:sz w:val="28"/>
          <w:szCs w:val="28"/>
        </w:rPr>
        <w:t>рівень І</w:t>
      </w:r>
      <w:r w:rsidR="006E72AD" w:rsidRPr="007F5722">
        <w:rPr>
          <w:rFonts w:ascii="Times New Roman" w:eastAsia="Times New Roman" w:hAnsi="Times New Roman" w:cs="Times New Roman"/>
          <w:color w:val="000000"/>
          <w:sz w:val="28"/>
          <w:szCs w:val="28"/>
        </w:rPr>
        <w:t xml:space="preserve">Л-22 </w:t>
      </w:r>
      <w:r w:rsidR="008E4A64" w:rsidRPr="007F5722">
        <w:rPr>
          <w:rFonts w:ascii="Times New Roman" w:eastAsia="Times New Roman" w:hAnsi="Times New Roman" w:cs="Times New Roman"/>
          <w:color w:val="000000"/>
          <w:sz w:val="28"/>
          <w:szCs w:val="28"/>
        </w:rPr>
        <w:t>склав від</w:t>
      </w:r>
      <w:r w:rsidR="006E72AD" w:rsidRPr="007F5722">
        <w:rPr>
          <w:rFonts w:ascii="Times New Roman" w:eastAsia="Times New Roman" w:hAnsi="Times New Roman" w:cs="Times New Roman"/>
          <w:color w:val="000000"/>
          <w:sz w:val="28"/>
          <w:szCs w:val="28"/>
        </w:rPr>
        <w:t xml:space="preserve"> 20,23</w:t>
      </w:r>
      <w:r w:rsidR="008E4A64" w:rsidRPr="007F5722">
        <w:rPr>
          <w:rFonts w:ascii="Times New Roman" w:eastAsia="Times New Roman" w:hAnsi="Times New Roman" w:cs="Times New Roman"/>
          <w:color w:val="000000"/>
          <w:sz w:val="28"/>
          <w:szCs w:val="28"/>
        </w:rPr>
        <w:t xml:space="preserve"> пг/мл до 27,40 пг/мл; 2-й терті</w:t>
      </w:r>
      <w:r w:rsidR="006E72AD" w:rsidRPr="007F5722">
        <w:rPr>
          <w:rFonts w:ascii="Times New Roman" w:eastAsia="Times New Roman" w:hAnsi="Times New Roman" w:cs="Times New Roman"/>
          <w:color w:val="000000"/>
          <w:sz w:val="28"/>
          <w:szCs w:val="28"/>
        </w:rPr>
        <w:t>ль</w:t>
      </w:r>
      <w:r w:rsidR="008E4A64" w:rsidRPr="007F5722">
        <w:rPr>
          <w:rFonts w:ascii="Times New Roman" w:eastAsia="Times New Roman" w:hAnsi="Times New Roman" w:cs="Times New Roman"/>
          <w:color w:val="000000"/>
          <w:sz w:val="28"/>
          <w:szCs w:val="28"/>
        </w:rPr>
        <w:t xml:space="preserve"> – рівень І</w:t>
      </w:r>
      <w:r w:rsidR="006E72AD" w:rsidRPr="007F5722">
        <w:rPr>
          <w:rFonts w:ascii="Times New Roman" w:eastAsia="Times New Roman" w:hAnsi="Times New Roman" w:cs="Times New Roman"/>
          <w:color w:val="000000"/>
          <w:sz w:val="28"/>
          <w:szCs w:val="28"/>
        </w:rPr>
        <w:t xml:space="preserve">Л-22 </w:t>
      </w:r>
      <w:r w:rsidR="008E4A64" w:rsidRPr="007F5722">
        <w:rPr>
          <w:rFonts w:ascii="Times New Roman" w:eastAsia="Times New Roman" w:hAnsi="Times New Roman" w:cs="Times New Roman"/>
          <w:color w:val="000000"/>
          <w:sz w:val="28"/>
          <w:szCs w:val="28"/>
        </w:rPr>
        <w:t>склав від</w:t>
      </w:r>
      <w:r w:rsidR="006E72AD" w:rsidRPr="007F5722">
        <w:rPr>
          <w:rFonts w:ascii="Times New Roman" w:eastAsia="Times New Roman" w:hAnsi="Times New Roman" w:cs="Times New Roman"/>
          <w:color w:val="000000"/>
          <w:sz w:val="28"/>
          <w:szCs w:val="28"/>
        </w:rPr>
        <w:t xml:space="preserve"> 27,49</w:t>
      </w:r>
      <w:r w:rsidR="008E4A64" w:rsidRPr="007F5722">
        <w:rPr>
          <w:rFonts w:ascii="Times New Roman" w:eastAsia="Times New Roman" w:hAnsi="Times New Roman" w:cs="Times New Roman"/>
          <w:color w:val="000000"/>
          <w:sz w:val="28"/>
          <w:szCs w:val="28"/>
        </w:rPr>
        <w:t xml:space="preserve"> пг/мл до 31,51 пг/мл; 3-й тертіль – рівень ІЛ-22 склав від</w:t>
      </w:r>
      <w:r w:rsidR="006E72AD" w:rsidRPr="007F5722">
        <w:rPr>
          <w:rFonts w:ascii="Times New Roman" w:eastAsia="Times New Roman" w:hAnsi="Times New Roman" w:cs="Times New Roman"/>
          <w:color w:val="000000"/>
          <w:sz w:val="28"/>
          <w:szCs w:val="28"/>
        </w:rPr>
        <w:t xml:space="preserve"> 31,61 пг/мл до 54,93 пг/мл. </w:t>
      </w:r>
      <w:r w:rsidR="00676831" w:rsidRPr="007F5722">
        <w:rPr>
          <w:rFonts w:ascii="Times New Roman" w:eastAsia="Times New Roman" w:hAnsi="Times New Roman" w:cs="Times New Roman"/>
          <w:color w:val="000000"/>
          <w:sz w:val="28"/>
          <w:szCs w:val="28"/>
        </w:rPr>
        <w:t>Порівняльний аналіз середніх значень антропометричних показників (маса</w:t>
      </w:r>
      <w:r w:rsidR="006E72AD" w:rsidRPr="007F5722">
        <w:rPr>
          <w:rFonts w:ascii="Times New Roman" w:eastAsia="Times New Roman" w:hAnsi="Times New Roman" w:cs="Times New Roman"/>
          <w:color w:val="000000"/>
          <w:sz w:val="28"/>
          <w:szCs w:val="28"/>
        </w:rPr>
        <w:t xml:space="preserve">, </w:t>
      </w:r>
      <w:r w:rsidR="00676831" w:rsidRPr="007F5722">
        <w:rPr>
          <w:rFonts w:ascii="Times New Roman" w:eastAsia="Times New Roman" w:hAnsi="Times New Roman" w:cs="Times New Roman"/>
          <w:color w:val="000000"/>
          <w:sz w:val="28"/>
          <w:szCs w:val="28"/>
        </w:rPr>
        <w:t>зріст, ІМТ, ОТ, ОС, індекс ОТ/ОС), рівня САТ</w:t>
      </w:r>
      <w:r w:rsidR="006E72AD" w:rsidRPr="007F5722">
        <w:rPr>
          <w:rFonts w:ascii="Times New Roman" w:eastAsia="Times New Roman" w:hAnsi="Times New Roman" w:cs="Times New Roman"/>
          <w:color w:val="000000"/>
          <w:sz w:val="28"/>
          <w:szCs w:val="28"/>
        </w:rPr>
        <w:t xml:space="preserve">, </w:t>
      </w:r>
      <w:r w:rsidR="005F5E33">
        <w:rPr>
          <w:rFonts w:ascii="Times New Roman" w:eastAsia="Times New Roman" w:hAnsi="Times New Roman" w:cs="Times New Roman"/>
          <w:color w:val="000000"/>
          <w:sz w:val="28"/>
          <w:szCs w:val="28"/>
        </w:rPr>
        <w:t xml:space="preserve">ДАТ, </w:t>
      </w:r>
      <w:r w:rsidR="00676831" w:rsidRPr="007F5722">
        <w:rPr>
          <w:rFonts w:ascii="Times New Roman" w:eastAsia="Times New Roman" w:hAnsi="Times New Roman" w:cs="Times New Roman"/>
          <w:color w:val="000000"/>
          <w:sz w:val="28"/>
          <w:szCs w:val="28"/>
        </w:rPr>
        <w:t>П</w:t>
      </w:r>
      <w:r w:rsidR="00402105" w:rsidRPr="007F5722">
        <w:rPr>
          <w:rFonts w:ascii="Times New Roman" w:eastAsia="Times New Roman" w:hAnsi="Times New Roman" w:cs="Times New Roman"/>
          <w:color w:val="000000"/>
          <w:sz w:val="28"/>
          <w:szCs w:val="28"/>
        </w:rPr>
        <w:t>А</w:t>
      </w:r>
      <w:r w:rsidR="00676831" w:rsidRPr="007F5722">
        <w:rPr>
          <w:rFonts w:ascii="Times New Roman" w:eastAsia="Times New Roman" w:hAnsi="Times New Roman" w:cs="Times New Roman"/>
          <w:color w:val="000000"/>
          <w:sz w:val="28"/>
          <w:szCs w:val="28"/>
        </w:rPr>
        <w:t>Т, частоти серцевих скорочень (ЧСС), тривалості ГХ у пацієнтів з гіпертонічною хворобою в залежності від рівня І</w:t>
      </w:r>
      <w:r w:rsidR="006E72AD" w:rsidRPr="007F5722">
        <w:rPr>
          <w:rFonts w:ascii="Times New Roman" w:eastAsia="Times New Roman" w:hAnsi="Times New Roman" w:cs="Times New Roman"/>
          <w:color w:val="000000"/>
          <w:sz w:val="28"/>
          <w:szCs w:val="28"/>
        </w:rPr>
        <w:t xml:space="preserve">Л-22 </w:t>
      </w:r>
      <w:r w:rsidR="00FB4B7D" w:rsidRPr="007F5722">
        <w:rPr>
          <w:rFonts w:ascii="Times New Roman" w:eastAsia="Times New Roman" w:hAnsi="Times New Roman" w:cs="Times New Roman"/>
          <w:color w:val="000000"/>
          <w:sz w:val="28"/>
          <w:szCs w:val="28"/>
        </w:rPr>
        <w:t>наведений у таблиціі 3.1.5</w:t>
      </w:r>
      <w:r w:rsidR="006E72AD" w:rsidRPr="007F5722">
        <w:rPr>
          <w:rFonts w:ascii="Times New Roman" w:eastAsia="Times New Roman" w:hAnsi="Times New Roman" w:cs="Times New Roman"/>
          <w:color w:val="000000"/>
          <w:sz w:val="28"/>
          <w:szCs w:val="28"/>
        </w:rPr>
        <w:t xml:space="preserve">. </w:t>
      </w:r>
    </w:p>
    <w:p w:rsidR="006E72AD" w:rsidRPr="007F5722" w:rsidRDefault="00676831" w:rsidP="00676831">
      <w:pPr>
        <w:shd w:val="clear" w:color="auto" w:fill="FFFFFF"/>
        <w:spacing w:after="0" w:line="360" w:lineRule="auto"/>
        <w:ind w:firstLine="709"/>
        <w:jc w:val="right"/>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Таблиця</w:t>
      </w:r>
      <w:r w:rsidR="006E72AD" w:rsidRPr="007F5722">
        <w:rPr>
          <w:rFonts w:ascii="Times New Roman" w:eastAsia="Times New Roman" w:hAnsi="Times New Roman" w:cs="Times New Roman"/>
          <w:color w:val="000000"/>
          <w:sz w:val="28"/>
          <w:szCs w:val="28"/>
        </w:rPr>
        <w:t xml:space="preserve"> </w:t>
      </w:r>
      <w:r w:rsidRPr="007F5722">
        <w:rPr>
          <w:rFonts w:ascii="Times New Roman" w:eastAsia="Times New Roman" w:hAnsi="Times New Roman" w:cs="Times New Roman"/>
          <w:color w:val="000000"/>
          <w:sz w:val="28"/>
          <w:szCs w:val="28"/>
        </w:rPr>
        <w:t>3.</w:t>
      </w:r>
      <w:r w:rsidR="006E72AD" w:rsidRPr="007F5722">
        <w:rPr>
          <w:rFonts w:ascii="Times New Roman" w:eastAsia="Times New Roman" w:hAnsi="Times New Roman" w:cs="Times New Roman"/>
          <w:color w:val="000000"/>
          <w:sz w:val="28"/>
          <w:szCs w:val="28"/>
        </w:rPr>
        <w:t>1</w:t>
      </w:r>
      <w:r w:rsidR="00FB4B7D" w:rsidRPr="007F5722">
        <w:rPr>
          <w:rFonts w:ascii="Times New Roman" w:eastAsia="Times New Roman" w:hAnsi="Times New Roman" w:cs="Times New Roman"/>
          <w:color w:val="000000"/>
          <w:sz w:val="28"/>
          <w:szCs w:val="28"/>
        </w:rPr>
        <w:t>.5</w:t>
      </w:r>
    </w:p>
    <w:p w:rsidR="00686267" w:rsidRPr="007F5722" w:rsidRDefault="00676831" w:rsidP="0068690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Середні значення антропометричних та гемодинамічних показників у пацієнтів з ГХ в залежності від рівня ІЛ-22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346"/>
        <w:gridCol w:w="2347"/>
        <w:gridCol w:w="2449"/>
      </w:tblGrid>
      <w:tr w:rsidR="006E72AD" w:rsidRPr="007F5722" w:rsidTr="005F5E33">
        <w:tc>
          <w:tcPr>
            <w:tcW w:w="2203" w:type="dxa"/>
          </w:tcPr>
          <w:p w:rsidR="006E72AD" w:rsidRPr="007F5722" w:rsidRDefault="00676831" w:rsidP="00676831">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Показник</w:t>
            </w:r>
          </w:p>
        </w:tc>
        <w:tc>
          <w:tcPr>
            <w:tcW w:w="2346" w:type="dxa"/>
          </w:tcPr>
          <w:p w:rsidR="006E72AD" w:rsidRPr="007F5722" w:rsidRDefault="00676831" w:rsidP="00402105">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І</w:t>
            </w:r>
            <w:r w:rsidR="006E72AD" w:rsidRPr="007F5722">
              <w:rPr>
                <w:rFonts w:ascii="Times New Roman" w:eastAsia="Times New Roman" w:hAnsi="Times New Roman" w:cs="Times New Roman"/>
                <w:color w:val="000000"/>
                <w:sz w:val="28"/>
                <w:szCs w:val="28"/>
              </w:rPr>
              <w:t>Л 22</w:t>
            </w:r>
          </w:p>
          <w:p w:rsidR="006E72AD" w:rsidRPr="007F5722" w:rsidRDefault="00402105" w:rsidP="00402105">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1-й терті</w:t>
            </w:r>
            <w:r w:rsidR="006E72AD" w:rsidRPr="007F5722">
              <w:rPr>
                <w:rFonts w:ascii="Times New Roman" w:eastAsia="Times New Roman" w:hAnsi="Times New Roman" w:cs="Times New Roman"/>
                <w:color w:val="000000"/>
                <w:sz w:val="28"/>
                <w:szCs w:val="28"/>
              </w:rPr>
              <w:t>ль</w:t>
            </w:r>
          </w:p>
        </w:tc>
        <w:tc>
          <w:tcPr>
            <w:tcW w:w="2347" w:type="dxa"/>
          </w:tcPr>
          <w:p w:rsidR="006E72AD" w:rsidRPr="007F5722" w:rsidRDefault="00676831" w:rsidP="00402105">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І</w:t>
            </w:r>
            <w:r w:rsidR="006E72AD" w:rsidRPr="007F5722">
              <w:rPr>
                <w:rFonts w:ascii="Times New Roman" w:eastAsia="Times New Roman" w:hAnsi="Times New Roman" w:cs="Times New Roman"/>
                <w:color w:val="000000"/>
                <w:sz w:val="28"/>
                <w:szCs w:val="28"/>
              </w:rPr>
              <w:t>Л-22</w:t>
            </w:r>
          </w:p>
          <w:p w:rsidR="006E72AD" w:rsidRPr="007F5722" w:rsidRDefault="006E72AD" w:rsidP="00402105">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2-й т</w:t>
            </w:r>
            <w:r w:rsidR="00402105" w:rsidRPr="007F5722">
              <w:rPr>
                <w:rFonts w:ascii="Times New Roman" w:eastAsia="Times New Roman" w:hAnsi="Times New Roman" w:cs="Times New Roman"/>
                <w:color w:val="000000"/>
                <w:sz w:val="28"/>
                <w:szCs w:val="28"/>
              </w:rPr>
              <w:t>ерті</w:t>
            </w:r>
            <w:r w:rsidRPr="007F5722">
              <w:rPr>
                <w:rFonts w:ascii="Times New Roman" w:eastAsia="Times New Roman" w:hAnsi="Times New Roman" w:cs="Times New Roman"/>
                <w:color w:val="000000"/>
                <w:sz w:val="28"/>
                <w:szCs w:val="28"/>
              </w:rPr>
              <w:t>ль</w:t>
            </w:r>
          </w:p>
        </w:tc>
        <w:tc>
          <w:tcPr>
            <w:tcW w:w="2449" w:type="dxa"/>
          </w:tcPr>
          <w:p w:rsidR="006E72AD" w:rsidRPr="007F5722" w:rsidRDefault="00676831" w:rsidP="00402105">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І</w:t>
            </w:r>
            <w:r w:rsidR="00402105" w:rsidRPr="007F5722">
              <w:rPr>
                <w:rFonts w:ascii="Times New Roman" w:eastAsia="Times New Roman" w:hAnsi="Times New Roman" w:cs="Times New Roman"/>
                <w:color w:val="000000"/>
                <w:sz w:val="28"/>
                <w:szCs w:val="28"/>
              </w:rPr>
              <w:t>Л-22</w:t>
            </w:r>
          </w:p>
          <w:p w:rsidR="006E72AD" w:rsidRPr="007F5722" w:rsidRDefault="00402105" w:rsidP="00402105">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3-й терті</w:t>
            </w:r>
            <w:r w:rsidR="006E72AD" w:rsidRPr="007F5722">
              <w:rPr>
                <w:rFonts w:ascii="Times New Roman" w:eastAsia="Times New Roman" w:hAnsi="Times New Roman" w:cs="Times New Roman"/>
                <w:color w:val="000000"/>
                <w:sz w:val="28"/>
                <w:szCs w:val="28"/>
              </w:rPr>
              <w:t>ль</w:t>
            </w:r>
          </w:p>
        </w:tc>
      </w:tr>
      <w:tr w:rsidR="006E72AD" w:rsidRPr="007F5722" w:rsidTr="005F5E33">
        <w:tc>
          <w:tcPr>
            <w:tcW w:w="2203" w:type="dxa"/>
          </w:tcPr>
          <w:p w:rsidR="006E72AD" w:rsidRPr="007F5722" w:rsidRDefault="00402105" w:rsidP="00402105">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САТ</w:t>
            </w:r>
            <w:r w:rsidR="006E72AD" w:rsidRPr="007F5722">
              <w:rPr>
                <w:rFonts w:ascii="Times New Roman" w:eastAsia="Times New Roman" w:hAnsi="Times New Roman" w:cs="Times New Roman"/>
                <w:color w:val="000000"/>
                <w:sz w:val="28"/>
                <w:szCs w:val="28"/>
              </w:rPr>
              <w:t>, мм рт.ст.</w:t>
            </w:r>
          </w:p>
        </w:tc>
        <w:tc>
          <w:tcPr>
            <w:tcW w:w="2346" w:type="dxa"/>
          </w:tcPr>
          <w:p w:rsidR="006E72AD" w:rsidRPr="007F5722" w:rsidRDefault="006E72AD" w:rsidP="00402105">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140 (130; 150)</w:t>
            </w:r>
          </w:p>
        </w:tc>
        <w:tc>
          <w:tcPr>
            <w:tcW w:w="2347" w:type="dxa"/>
          </w:tcPr>
          <w:p w:rsidR="006E72AD" w:rsidRPr="007F5722" w:rsidRDefault="006E72AD" w:rsidP="00402105">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150 (140; 160) *</w:t>
            </w:r>
          </w:p>
        </w:tc>
        <w:tc>
          <w:tcPr>
            <w:tcW w:w="2449" w:type="dxa"/>
          </w:tcPr>
          <w:p w:rsidR="006E72AD" w:rsidRPr="007F5722" w:rsidRDefault="006E72AD" w:rsidP="00402105">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170 (160; 170) *    **</w:t>
            </w:r>
          </w:p>
        </w:tc>
      </w:tr>
    </w:tbl>
    <w:p w:rsidR="00686900" w:rsidRDefault="00686900">
      <w:pPr>
        <w:rPr>
          <w:rFonts w:ascii="Times New Roman" w:hAnsi="Times New Roman" w:cs="Times New Roman"/>
          <w:sz w:val="28"/>
          <w:szCs w:val="28"/>
        </w:rPr>
      </w:pPr>
    </w:p>
    <w:p w:rsidR="005F5E33" w:rsidRDefault="005F5E33">
      <w:r w:rsidRPr="0054118C">
        <w:rPr>
          <w:rFonts w:ascii="Times New Roman" w:hAnsi="Times New Roman" w:cs="Times New Roman"/>
          <w:sz w:val="28"/>
          <w:szCs w:val="28"/>
        </w:rPr>
        <w:lastRenderedPageBreak/>
        <w:t>Продовження таблиці 3.1.</w:t>
      </w:r>
      <w:r>
        <w:rPr>
          <w:rFonts w:ascii="Times New Roman" w:hAnsi="Times New Roman" w:cs="Times New Roman"/>
          <w:sz w:val="28"/>
          <w:szCs w:val="28"/>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346"/>
        <w:gridCol w:w="2347"/>
        <w:gridCol w:w="2449"/>
      </w:tblGrid>
      <w:tr w:rsidR="005F5E33" w:rsidRPr="007F5722" w:rsidTr="005F5E33">
        <w:tc>
          <w:tcPr>
            <w:tcW w:w="2203" w:type="dxa"/>
          </w:tcPr>
          <w:p w:rsidR="005F5E33" w:rsidRPr="007F5722" w:rsidRDefault="005F5E33" w:rsidP="00402105">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Показник</w:t>
            </w:r>
          </w:p>
        </w:tc>
        <w:tc>
          <w:tcPr>
            <w:tcW w:w="2346" w:type="dxa"/>
          </w:tcPr>
          <w:p w:rsidR="005F5E33" w:rsidRPr="007F5722" w:rsidRDefault="005F5E33" w:rsidP="005F5E33">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ІЛ 22</w:t>
            </w:r>
          </w:p>
          <w:p w:rsidR="005F5E33" w:rsidRPr="007F5722" w:rsidRDefault="005F5E33" w:rsidP="005F5E33">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1-й тертіль</w:t>
            </w:r>
          </w:p>
        </w:tc>
        <w:tc>
          <w:tcPr>
            <w:tcW w:w="2347" w:type="dxa"/>
          </w:tcPr>
          <w:p w:rsidR="005F5E33" w:rsidRPr="007F5722" w:rsidRDefault="005F5E33" w:rsidP="005F5E33">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ІЛ-22</w:t>
            </w:r>
          </w:p>
          <w:p w:rsidR="005F5E33" w:rsidRPr="007F5722" w:rsidRDefault="005F5E33" w:rsidP="005F5E33">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2-й тертіль</w:t>
            </w:r>
          </w:p>
        </w:tc>
        <w:tc>
          <w:tcPr>
            <w:tcW w:w="2449" w:type="dxa"/>
          </w:tcPr>
          <w:p w:rsidR="005F5E33" w:rsidRPr="007F5722" w:rsidRDefault="005F5E33" w:rsidP="005F5E33">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ІЛ-22</w:t>
            </w:r>
          </w:p>
          <w:p w:rsidR="005F5E33" w:rsidRPr="007F5722" w:rsidRDefault="005F5E33" w:rsidP="005F5E33">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3-й тертіль</w:t>
            </w:r>
          </w:p>
        </w:tc>
      </w:tr>
      <w:tr w:rsidR="006E72AD" w:rsidRPr="007F5722" w:rsidTr="005F5E33">
        <w:tc>
          <w:tcPr>
            <w:tcW w:w="2203" w:type="dxa"/>
          </w:tcPr>
          <w:p w:rsidR="006E72AD" w:rsidRPr="007F5722" w:rsidRDefault="00402105" w:rsidP="00402105">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ДАТ</w:t>
            </w:r>
            <w:r w:rsidR="006E72AD" w:rsidRPr="007F5722">
              <w:rPr>
                <w:rFonts w:ascii="Times New Roman" w:eastAsia="Times New Roman" w:hAnsi="Times New Roman" w:cs="Times New Roman"/>
                <w:color w:val="000000"/>
                <w:sz w:val="28"/>
                <w:szCs w:val="28"/>
              </w:rPr>
              <w:t>, мм рт.ст.</w:t>
            </w:r>
          </w:p>
        </w:tc>
        <w:tc>
          <w:tcPr>
            <w:tcW w:w="2346" w:type="dxa"/>
          </w:tcPr>
          <w:p w:rsidR="006E72AD" w:rsidRPr="007F5722" w:rsidRDefault="006E72AD" w:rsidP="00402105">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80 (80; 90)</w:t>
            </w:r>
          </w:p>
        </w:tc>
        <w:tc>
          <w:tcPr>
            <w:tcW w:w="2347" w:type="dxa"/>
          </w:tcPr>
          <w:p w:rsidR="006E72AD" w:rsidRPr="007F5722" w:rsidRDefault="006E72AD" w:rsidP="00402105">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90 (80; 90) *</w:t>
            </w:r>
          </w:p>
        </w:tc>
        <w:tc>
          <w:tcPr>
            <w:tcW w:w="2449" w:type="dxa"/>
          </w:tcPr>
          <w:p w:rsidR="006E72AD" w:rsidRPr="007F5722" w:rsidRDefault="006E72AD" w:rsidP="00402105">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90 (90; 100) *</w:t>
            </w:r>
          </w:p>
        </w:tc>
      </w:tr>
      <w:tr w:rsidR="006E72AD" w:rsidRPr="007F5722" w:rsidTr="005F5E33">
        <w:tc>
          <w:tcPr>
            <w:tcW w:w="2203" w:type="dxa"/>
          </w:tcPr>
          <w:p w:rsidR="006E72AD" w:rsidRPr="007F5722" w:rsidRDefault="00402105" w:rsidP="00402105">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ПАТ</w:t>
            </w:r>
            <w:r w:rsidR="006E72AD" w:rsidRPr="007F5722">
              <w:rPr>
                <w:rFonts w:ascii="Times New Roman" w:eastAsia="Times New Roman" w:hAnsi="Times New Roman" w:cs="Times New Roman"/>
                <w:color w:val="000000"/>
                <w:sz w:val="28"/>
                <w:szCs w:val="28"/>
              </w:rPr>
              <w:t>, мм рт.ст.</w:t>
            </w:r>
          </w:p>
        </w:tc>
        <w:tc>
          <w:tcPr>
            <w:tcW w:w="2346" w:type="dxa"/>
          </w:tcPr>
          <w:p w:rsidR="006E72AD" w:rsidRPr="007F5722" w:rsidRDefault="006E72AD" w:rsidP="00402105">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55 (40; 60)</w:t>
            </w:r>
          </w:p>
        </w:tc>
        <w:tc>
          <w:tcPr>
            <w:tcW w:w="2347" w:type="dxa"/>
          </w:tcPr>
          <w:p w:rsidR="006E72AD" w:rsidRPr="007F5722" w:rsidRDefault="006E72AD" w:rsidP="00402105">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60 (50; 60) *</w:t>
            </w:r>
          </w:p>
        </w:tc>
        <w:tc>
          <w:tcPr>
            <w:tcW w:w="2449" w:type="dxa"/>
          </w:tcPr>
          <w:p w:rsidR="006E72AD" w:rsidRPr="007F5722" w:rsidRDefault="006E72AD" w:rsidP="00402105">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70 (70; 80) *    **</w:t>
            </w:r>
          </w:p>
        </w:tc>
      </w:tr>
      <w:tr w:rsidR="006E72AD" w:rsidRPr="007F5722" w:rsidTr="005F5E33">
        <w:tc>
          <w:tcPr>
            <w:tcW w:w="2203" w:type="dxa"/>
          </w:tcPr>
          <w:p w:rsidR="006E72AD" w:rsidRPr="007F5722" w:rsidRDefault="006E72AD" w:rsidP="00402105">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ЧСС, уд/</w:t>
            </w:r>
            <w:r w:rsidR="00402105" w:rsidRPr="007F5722">
              <w:rPr>
                <w:rFonts w:ascii="Times New Roman" w:eastAsia="Times New Roman" w:hAnsi="Times New Roman" w:cs="Times New Roman"/>
                <w:color w:val="000000"/>
                <w:sz w:val="28"/>
                <w:szCs w:val="28"/>
              </w:rPr>
              <w:t>хв</w:t>
            </w:r>
          </w:p>
        </w:tc>
        <w:tc>
          <w:tcPr>
            <w:tcW w:w="2346" w:type="dxa"/>
          </w:tcPr>
          <w:p w:rsidR="006E72AD" w:rsidRPr="007F5722" w:rsidRDefault="006E72AD" w:rsidP="00402105">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80 (76; 85)</w:t>
            </w:r>
          </w:p>
        </w:tc>
        <w:tc>
          <w:tcPr>
            <w:tcW w:w="2347" w:type="dxa"/>
          </w:tcPr>
          <w:p w:rsidR="006E72AD" w:rsidRPr="007F5722" w:rsidRDefault="006E72AD" w:rsidP="00402105">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78 (70; 86)</w:t>
            </w:r>
          </w:p>
        </w:tc>
        <w:tc>
          <w:tcPr>
            <w:tcW w:w="2449" w:type="dxa"/>
          </w:tcPr>
          <w:p w:rsidR="006E72AD" w:rsidRPr="007F5722" w:rsidRDefault="006E72AD" w:rsidP="00402105">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80 (74; 86)</w:t>
            </w:r>
          </w:p>
        </w:tc>
      </w:tr>
      <w:tr w:rsidR="006E72AD" w:rsidRPr="007F5722" w:rsidTr="005F5E33">
        <w:tc>
          <w:tcPr>
            <w:tcW w:w="2203" w:type="dxa"/>
          </w:tcPr>
          <w:p w:rsidR="006E72AD" w:rsidRPr="007F5722" w:rsidRDefault="00402105" w:rsidP="00402105">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Тривалість ГХ, роки</w:t>
            </w:r>
          </w:p>
        </w:tc>
        <w:tc>
          <w:tcPr>
            <w:tcW w:w="2346" w:type="dxa"/>
          </w:tcPr>
          <w:p w:rsidR="006E72AD" w:rsidRPr="007F5722" w:rsidRDefault="006E72AD" w:rsidP="00402105">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5 (2; 7)</w:t>
            </w:r>
          </w:p>
        </w:tc>
        <w:tc>
          <w:tcPr>
            <w:tcW w:w="2347" w:type="dxa"/>
          </w:tcPr>
          <w:p w:rsidR="006E72AD" w:rsidRPr="007F5722" w:rsidRDefault="006E72AD" w:rsidP="00402105">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10 (6; 14) *</w:t>
            </w:r>
          </w:p>
        </w:tc>
        <w:tc>
          <w:tcPr>
            <w:tcW w:w="2449" w:type="dxa"/>
          </w:tcPr>
          <w:p w:rsidR="006E72AD" w:rsidRPr="007F5722" w:rsidRDefault="006E72AD" w:rsidP="00402105">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17 (11; 20) *    **</w:t>
            </w:r>
          </w:p>
        </w:tc>
      </w:tr>
      <w:tr w:rsidR="006E72AD" w:rsidRPr="007F5722" w:rsidTr="005F5E33">
        <w:tc>
          <w:tcPr>
            <w:tcW w:w="2203" w:type="dxa"/>
          </w:tcPr>
          <w:p w:rsidR="006E72AD" w:rsidRPr="007F5722" w:rsidRDefault="00402105" w:rsidP="00402105">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Маса ті</w:t>
            </w:r>
            <w:r w:rsidR="006E72AD" w:rsidRPr="007F5722">
              <w:rPr>
                <w:rFonts w:ascii="Times New Roman" w:eastAsia="Times New Roman" w:hAnsi="Times New Roman" w:cs="Times New Roman"/>
                <w:color w:val="000000"/>
                <w:sz w:val="28"/>
                <w:szCs w:val="28"/>
              </w:rPr>
              <w:t>ла, кг</w:t>
            </w:r>
          </w:p>
        </w:tc>
        <w:tc>
          <w:tcPr>
            <w:tcW w:w="2346" w:type="dxa"/>
          </w:tcPr>
          <w:p w:rsidR="006E72AD" w:rsidRPr="007F5722" w:rsidRDefault="006E72AD" w:rsidP="00402105">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69 (62; 76)</w:t>
            </w:r>
          </w:p>
        </w:tc>
        <w:tc>
          <w:tcPr>
            <w:tcW w:w="2347" w:type="dxa"/>
          </w:tcPr>
          <w:p w:rsidR="006E72AD" w:rsidRPr="007F5722" w:rsidRDefault="006E72AD" w:rsidP="00402105">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76 (73; 88) *</w:t>
            </w:r>
          </w:p>
        </w:tc>
        <w:tc>
          <w:tcPr>
            <w:tcW w:w="2449" w:type="dxa"/>
          </w:tcPr>
          <w:p w:rsidR="006E72AD" w:rsidRPr="007F5722" w:rsidRDefault="006E72AD" w:rsidP="00402105">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100 (90; 109) *    **</w:t>
            </w:r>
          </w:p>
        </w:tc>
      </w:tr>
      <w:tr w:rsidR="006E72AD" w:rsidRPr="007F5722" w:rsidTr="005F5E33">
        <w:tc>
          <w:tcPr>
            <w:tcW w:w="2203" w:type="dxa"/>
          </w:tcPr>
          <w:p w:rsidR="006E72AD" w:rsidRPr="007F5722" w:rsidRDefault="00402105" w:rsidP="00402105">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Зріст</w:t>
            </w:r>
            <w:r w:rsidR="006E72AD" w:rsidRPr="007F5722">
              <w:rPr>
                <w:rFonts w:ascii="Times New Roman" w:eastAsia="Times New Roman" w:hAnsi="Times New Roman" w:cs="Times New Roman"/>
                <w:color w:val="000000"/>
                <w:sz w:val="28"/>
                <w:szCs w:val="28"/>
              </w:rPr>
              <w:t>, см</w:t>
            </w:r>
          </w:p>
        </w:tc>
        <w:tc>
          <w:tcPr>
            <w:tcW w:w="2346" w:type="dxa"/>
          </w:tcPr>
          <w:p w:rsidR="006E72AD" w:rsidRPr="007F5722" w:rsidRDefault="006E72AD" w:rsidP="00402105">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168 (164; 173)</w:t>
            </w:r>
          </w:p>
        </w:tc>
        <w:tc>
          <w:tcPr>
            <w:tcW w:w="2347" w:type="dxa"/>
          </w:tcPr>
          <w:p w:rsidR="006E72AD" w:rsidRPr="007F5722" w:rsidRDefault="006E72AD" w:rsidP="00402105">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164 (162; 170)</w:t>
            </w:r>
          </w:p>
        </w:tc>
        <w:tc>
          <w:tcPr>
            <w:tcW w:w="2449" w:type="dxa"/>
          </w:tcPr>
          <w:p w:rsidR="006E72AD" w:rsidRPr="007F5722" w:rsidRDefault="006E72AD" w:rsidP="00402105">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166 (164; 172)</w:t>
            </w:r>
          </w:p>
        </w:tc>
      </w:tr>
      <w:tr w:rsidR="006E72AD" w:rsidRPr="007F5722" w:rsidTr="005F5E33">
        <w:tc>
          <w:tcPr>
            <w:tcW w:w="2203" w:type="dxa"/>
          </w:tcPr>
          <w:p w:rsidR="006E72AD" w:rsidRPr="007F5722" w:rsidRDefault="00402105" w:rsidP="00402105">
            <w:pPr>
              <w:shd w:val="clear" w:color="auto" w:fill="FFFFFF"/>
              <w:spacing w:after="0" w:line="360" w:lineRule="auto"/>
              <w:jc w:val="center"/>
              <w:rPr>
                <w:rFonts w:ascii="Times New Roman" w:eastAsia="Times New Roman" w:hAnsi="Times New Roman" w:cs="Times New Roman"/>
                <w:color w:val="000000"/>
                <w:sz w:val="28"/>
                <w:szCs w:val="28"/>
                <w:vertAlign w:val="superscript"/>
              </w:rPr>
            </w:pPr>
            <w:r w:rsidRPr="007F5722">
              <w:rPr>
                <w:rFonts w:ascii="Times New Roman" w:eastAsia="Times New Roman" w:hAnsi="Times New Roman" w:cs="Times New Roman"/>
                <w:color w:val="000000"/>
                <w:sz w:val="28"/>
                <w:szCs w:val="28"/>
              </w:rPr>
              <w:t>ІІ</w:t>
            </w:r>
            <w:r w:rsidR="006E72AD" w:rsidRPr="007F5722">
              <w:rPr>
                <w:rFonts w:ascii="Times New Roman" w:eastAsia="Times New Roman" w:hAnsi="Times New Roman" w:cs="Times New Roman"/>
                <w:color w:val="000000"/>
                <w:sz w:val="28"/>
                <w:szCs w:val="28"/>
              </w:rPr>
              <w:t>МТ, кг/м</w:t>
            </w:r>
            <w:r w:rsidR="006E72AD" w:rsidRPr="007F5722">
              <w:rPr>
                <w:rFonts w:ascii="Times New Roman" w:eastAsia="Times New Roman" w:hAnsi="Times New Roman" w:cs="Times New Roman"/>
                <w:color w:val="000000"/>
                <w:sz w:val="28"/>
                <w:szCs w:val="28"/>
                <w:vertAlign w:val="superscript"/>
              </w:rPr>
              <w:t>2</w:t>
            </w:r>
          </w:p>
        </w:tc>
        <w:tc>
          <w:tcPr>
            <w:tcW w:w="2346" w:type="dxa"/>
          </w:tcPr>
          <w:p w:rsidR="006E72AD" w:rsidRPr="007F5722" w:rsidRDefault="006E72AD" w:rsidP="00402105">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23,8 (21,9 27,5)</w:t>
            </w:r>
          </w:p>
        </w:tc>
        <w:tc>
          <w:tcPr>
            <w:tcW w:w="2347" w:type="dxa"/>
          </w:tcPr>
          <w:p w:rsidR="006E72AD" w:rsidRPr="007F5722" w:rsidRDefault="006E72AD" w:rsidP="00402105">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28,1 (27,5; 29,1 *)</w:t>
            </w:r>
          </w:p>
        </w:tc>
        <w:tc>
          <w:tcPr>
            <w:tcW w:w="2449" w:type="dxa"/>
          </w:tcPr>
          <w:p w:rsidR="006E72AD" w:rsidRPr="007F5722" w:rsidRDefault="006E72AD" w:rsidP="00402105">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35,4 (31,9; 37,0) *    **</w:t>
            </w:r>
          </w:p>
        </w:tc>
      </w:tr>
      <w:tr w:rsidR="00FB4B7D" w:rsidRPr="007F5722" w:rsidTr="005F5E33">
        <w:tc>
          <w:tcPr>
            <w:tcW w:w="2203" w:type="dxa"/>
          </w:tcPr>
          <w:p w:rsidR="00FB4B7D" w:rsidRPr="007F5722" w:rsidRDefault="00FB4B7D" w:rsidP="00F72A31">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ОТ, см</w:t>
            </w:r>
          </w:p>
          <w:p w:rsidR="00FB4B7D" w:rsidRPr="007F5722" w:rsidRDefault="00FB4B7D" w:rsidP="00F72A31">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Чол.</w:t>
            </w:r>
          </w:p>
          <w:p w:rsidR="00FB4B7D" w:rsidRPr="007F5722" w:rsidRDefault="00FB4B7D" w:rsidP="00F72A31">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Жін.</w:t>
            </w:r>
          </w:p>
        </w:tc>
        <w:tc>
          <w:tcPr>
            <w:tcW w:w="2346" w:type="dxa"/>
          </w:tcPr>
          <w:p w:rsidR="00FB4B7D" w:rsidRPr="007F5722" w:rsidRDefault="00FB4B7D" w:rsidP="00F72A31">
            <w:pPr>
              <w:shd w:val="clear" w:color="auto" w:fill="FFFFFF"/>
              <w:spacing w:after="0" w:line="360" w:lineRule="auto"/>
              <w:jc w:val="center"/>
              <w:rPr>
                <w:rFonts w:ascii="Times New Roman" w:eastAsia="Times New Roman" w:hAnsi="Times New Roman" w:cs="Times New Roman"/>
                <w:color w:val="000000"/>
                <w:sz w:val="28"/>
                <w:szCs w:val="28"/>
              </w:rPr>
            </w:pPr>
          </w:p>
          <w:p w:rsidR="00FB4B7D" w:rsidRPr="007F5722" w:rsidRDefault="00FB4B7D" w:rsidP="00F72A31">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89 (69; 94)</w:t>
            </w:r>
          </w:p>
          <w:p w:rsidR="00FB4B7D" w:rsidRPr="007F5722" w:rsidRDefault="00FB4B7D" w:rsidP="00F72A31">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78 (70; 91,5)</w:t>
            </w:r>
          </w:p>
        </w:tc>
        <w:tc>
          <w:tcPr>
            <w:tcW w:w="2347" w:type="dxa"/>
          </w:tcPr>
          <w:p w:rsidR="00FB4B7D" w:rsidRPr="007F5722" w:rsidRDefault="00FB4B7D" w:rsidP="00F72A31">
            <w:pPr>
              <w:shd w:val="clear" w:color="auto" w:fill="FFFFFF"/>
              <w:spacing w:after="0" w:line="360" w:lineRule="auto"/>
              <w:jc w:val="center"/>
              <w:rPr>
                <w:rFonts w:ascii="Times New Roman" w:eastAsia="Times New Roman" w:hAnsi="Times New Roman" w:cs="Times New Roman"/>
                <w:color w:val="000000"/>
                <w:sz w:val="28"/>
                <w:szCs w:val="28"/>
              </w:rPr>
            </w:pPr>
          </w:p>
          <w:p w:rsidR="00FB4B7D" w:rsidRPr="007F5722" w:rsidRDefault="00FB4B7D" w:rsidP="00F72A31">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94 (88; 98) *</w:t>
            </w:r>
          </w:p>
          <w:p w:rsidR="00FB4B7D" w:rsidRPr="007F5722" w:rsidRDefault="00FB4B7D" w:rsidP="00F72A31">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97 (91,5; 98) *</w:t>
            </w:r>
          </w:p>
        </w:tc>
        <w:tc>
          <w:tcPr>
            <w:tcW w:w="2449" w:type="dxa"/>
          </w:tcPr>
          <w:p w:rsidR="00FB4B7D" w:rsidRPr="007F5722" w:rsidRDefault="00FB4B7D" w:rsidP="00F72A31">
            <w:pPr>
              <w:shd w:val="clear" w:color="auto" w:fill="FFFFFF"/>
              <w:spacing w:after="0" w:line="360" w:lineRule="auto"/>
              <w:jc w:val="center"/>
              <w:rPr>
                <w:rFonts w:ascii="Times New Roman" w:eastAsia="Times New Roman" w:hAnsi="Times New Roman" w:cs="Times New Roman"/>
                <w:color w:val="000000"/>
                <w:sz w:val="28"/>
                <w:szCs w:val="28"/>
              </w:rPr>
            </w:pPr>
          </w:p>
          <w:p w:rsidR="00FB4B7D" w:rsidRPr="007F5722" w:rsidRDefault="00FB4B7D" w:rsidP="00F72A31">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104 (99; 121) *    **</w:t>
            </w:r>
          </w:p>
          <w:p w:rsidR="00FB4B7D" w:rsidRPr="007F5722" w:rsidRDefault="00FB4B7D" w:rsidP="00F72A31">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106 (94; 109) *    **</w:t>
            </w:r>
          </w:p>
        </w:tc>
      </w:tr>
      <w:tr w:rsidR="00FB4B7D" w:rsidRPr="007F5722" w:rsidTr="005F5E33">
        <w:tc>
          <w:tcPr>
            <w:tcW w:w="2203" w:type="dxa"/>
          </w:tcPr>
          <w:p w:rsidR="00FB4B7D" w:rsidRPr="007F5722" w:rsidRDefault="00FB4B7D" w:rsidP="00F72A31">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ОС, см</w:t>
            </w:r>
          </w:p>
        </w:tc>
        <w:tc>
          <w:tcPr>
            <w:tcW w:w="2346" w:type="dxa"/>
          </w:tcPr>
          <w:p w:rsidR="00FB4B7D" w:rsidRPr="007F5722" w:rsidRDefault="00FB4B7D" w:rsidP="00F72A31">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100 (91; 110)</w:t>
            </w:r>
          </w:p>
        </w:tc>
        <w:tc>
          <w:tcPr>
            <w:tcW w:w="2347" w:type="dxa"/>
          </w:tcPr>
          <w:p w:rsidR="00FB4B7D" w:rsidRPr="007F5722" w:rsidRDefault="00FB4B7D" w:rsidP="00F72A31">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110 (104; 114) *</w:t>
            </w:r>
          </w:p>
        </w:tc>
        <w:tc>
          <w:tcPr>
            <w:tcW w:w="2449" w:type="dxa"/>
          </w:tcPr>
          <w:p w:rsidR="00FB4B7D" w:rsidRPr="007F5722" w:rsidRDefault="00FB4B7D" w:rsidP="00F72A31">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114 (105; 118) *</w:t>
            </w:r>
          </w:p>
        </w:tc>
      </w:tr>
      <w:tr w:rsidR="00FB4B7D" w:rsidRPr="007F5722" w:rsidTr="005F5E33">
        <w:tc>
          <w:tcPr>
            <w:tcW w:w="2203" w:type="dxa"/>
          </w:tcPr>
          <w:p w:rsidR="00FB4B7D" w:rsidRPr="007F5722" w:rsidRDefault="00FB4B7D" w:rsidP="00F72A31">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ОТ/ОС</w:t>
            </w:r>
          </w:p>
        </w:tc>
        <w:tc>
          <w:tcPr>
            <w:tcW w:w="2346" w:type="dxa"/>
          </w:tcPr>
          <w:p w:rsidR="00FB4B7D" w:rsidRPr="007F5722" w:rsidRDefault="00FB4B7D" w:rsidP="00F72A31">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0,82 (0,78; 0,86)</w:t>
            </w:r>
          </w:p>
        </w:tc>
        <w:tc>
          <w:tcPr>
            <w:tcW w:w="2347" w:type="dxa"/>
          </w:tcPr>
          <w:p w:rsidR="00FB4B7D" w:rsidRPr="007F5722" w:rsidRDefault="00FB4B7D" w:rsidP="00F72A31">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0,89 (0,81; 0,9) *</w:t>
            </w:r>
          </w:p>
        </w:tc>
        <w:tc>
          <w:tcPr>
            <w:tcW w:w="2449" w:type="dxa"/>
          </w:tcPr>
          <w:p w:rsidR="00FB4B7D" w:rsidRPr="007F5722" w:rsidRDefault="00FB4B7D" w:rsidP="00F72A31">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0,95 (0,88; 0,96) *    **</w:t>
            </w:r>
          </w:p>
        </w:tc>
      </w:tr>
    </w:tbl>
    <w:p w:rsidR="00FB4B7D" w:rsidRPr="007F5722" w:rsidRDefault="00FB4B7D" w:rsidP="006E72AD">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6E72AD" w:rsidRPr="007F5722" w:rsidRDefault="00402105" w:rsidP="006E72A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Примітка</w:t>
      </w:r>
      <w:r w:rsidR="006E72AD" w:rsidRPr="007F5722">
        <w:rPr>
          <w:rFonts w:ascii="Times New Roman" w:eastAsia="Times New Roman" w:hAnsi="Times New Roman" w:cs="Times New Roman"/>
          <w:color w:val="000000"/>
          <w:sz w:val="28"/>
          <w:szCs w:val="28"/>
        </w:rPr>
        <w:t xml:space="preserve">: * - </w:t>
      </w:r>
      <w:r w:rsidRPr="007F5722">
        <w:rPr>
          <w:rFonts w:ascii="Times New Roman" w:eastAsia="Times New Roman" w:hAnsi="Times New Roman" w:cs="Times New Roman"/>
          <w:color w:val="000000"/>
          <w:sz w:val="28"/>
          <w:szCs w:val="28"/>
        </w:rPr>
        <w:t>різниця між групами хворих 1-го и 2-го, 3-го тертілів</w:t>
      </w:r>
      <w:r w:rsidR="006E72AD" w:rsidRPr="007F5722">
        <w:rPr>
          <w:rFonts w:ascii="Times New Roman" w:eastAsia="Times New Roman" w:hAnsi="Times New Roman" w:cs="Times New Roman"/>
          <w:color w:val="000000"/>
          <w:sz w:val="28"/>
          <w:szCs w:val="28"/>
        </w:rPr>
        <w:t xml:space="preserve"> </w:t>
      </w:r>
      <w:r w:rsidRPr="007F5722">
        <w:rPr>
          <w:rFonts w:ascii="Times New Roman" w:eastAsia="Times New Roman" w:hAnsi="Times New Roman" w:cs="Times New Roman"/>
          <w:color w:val="000000"/>
          <w:sz w:val="28"/>
          <w:szCs w:val="28"/>
        </w:rPr>
        <w:t>достовірна</w:t>
      </w:r>
      <w:r w:rsidR="006E72AD" w:rsidRPr="007F5722">
        <w:rPr>
          <w:rFonts w:ascii="Times New Roman" w:eastAsia="Times New Roman" w:hAnsi="Times New Roman" w:cs="Times New Roman"/>
          <w:color w:val="000000"/>
          <w:sz w:val="28"/>
          <w:szCs w:val="28"/>
        </w:rPr>
        <w:t xml:space="preserve">, р&lt;0,05; ** - </w:t>
      </w:r>
      <w:r w:rsidRPr="007F5722">
        <w:rPr>
          <w:rFonts w:ascii="Times New Roman" w:eastAsia="Times New Roman" w:hAnsi="Times New Roman" w:cs="Times New Roman"/>
          <w:color w:val="000000"/>
          <w:sz w:val="28"/>
          <w:szCs w:val="28"/>
        </w:rPr>
        <w:t>різниця між групами хворих 2-го и 3-го тертілів</w:t>
      </w:r>
      <w:r w:rsidR="006E72AD" w:rsidRPr="007F5722">
        <w:rPr>
          <w:rFonts w:ascii="Times New Roman" w:eastAsia="Times New Roman" w:hAnsi="Times New Roman" w:cs="Times New Roman"/>
          <w:color w:val="000000"/>
          <w:sz w:val="28"/>
          <w:szCs w:val="28"/>
        </w:rPr>
        <w:t xml:space="preserve"> </w:t>
      </w:r>
      <w:r w:rsidRPr="007F5722">
        <w:rPr>
          <w:rFonts w:ascii="Times New Roman" w:eastAsia="Times New Roman" w:hAnsi="Times New Roman" w:cs="Times New Roman"/>
          <w:color w:val="000000"/>
          <w:sz w:val="28"/>
          <w:szCs w:val="28"/>
        </w:rPr>
        <w:t>достовірна</w:t>
      </w:r>
      <w:r w:rsidR="006E72AD" w:rsidRPr="007F5722">
        <w:rPr>
          <w:rFonts w:ascii="Times New Roman" w:eastAsia="Times New Roman" w:hAnsi="Times New Roman" w:cs="Times New Roman"/>
          <w:color w:val="000000"/>
          <w:sz w:val="28"/>
          <w:szCs w:val="28"/>
        </w:rPr>
        <w:t>, р&lt;0,05.</w:t>
      </w:r>
    </w:p>
    <w:p w:rsidR="006E72AD" w:rsidRPr="007F5722" w:rsidRDefault="00402105" w:rsidP="006E72A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 xml:space="preserve">Під час порівняння середніх значень гемодинамічних показників </w:t>
      </w:r>
      <w:r w:rsidR="006E72AD" w:rsidRPr="007F5722">
        <w:rPr>
          <w:rFonts w:ascii="Times New Roman" w:eastAsia="Times New Roman" w:hAnsi="Times New Roman" w:cs="Times New Roman"/>
          <w:color w:val="000000"/>
          <w:sz w:val="28"/>
          <w:szCs w:val="28"/>
        </w:rPr>
        <w:t>(</w:t>
      </w:r>
      <w:r w:rsidRPr="007F5722">
        <w:rPr>
          <w:rFonts w:ascii="Times New Roman" w:eastAsia="Times New Roman" w:hAnsi="Times New Roman" w:cs="Times New Roman"/>
          <w:color w:val="000000"/>
          <w:sz w:val="28"/>
          <w:szCs w:val="28"/>
        </w:rPr>
        <w:t>САТ, ДАТ і ПАТ) ви</w:t>
      </w:r>
      <w:r w:rsidR="006E72AD" w:rsidRPr="007F5722">
        <w:rPr>
          <w:rFonts w:ascii="Times New Roman" w:eastAsia="Times New Roman" w:hAnsi="Times New Roman" w:cs="Times New Roman"/>
          <w:color w:val="000000"/>
          <w:sz w:val="28"/>
          <w:szCs w:val="28"/>
        </w:rPr>
        <w:t xml:space="preserve">явлено, </w:t>
      </w:r>
      <w:r w:rsidRPr="007F5722">
        <w:rPr>
          <w:rFonts w:ascii="Times New Roman" w:eastAsia="Times New Roman" w:hAnsi="Times New Roman" w:cs="Times New Roman"/>
          <w:color w:val="000000"/>
          <w:sz w:val="28"/>
          <w:szCs w:val="28"/>
        </w:rPr>
        <w:t xml:space="preserve">що їх рівні достовірно зростають паралельно підвищенню рівня ІЛ-22 у </w:t>
      </w:r>
      <w:r w:rsidR="00796EC3">
        <w:rPr>
          <w:rFonts w:ascii="Times New Roman" w:eastAsia="Times New Roman" w:hAnsi="Times New Roman" w:cs="Times New Roman"/>
          <w:color w:val="000000"/>
          <w:sz w:val="28"/>
          <w:szCs w:val="28"/>
        </w:rPr>
        <w:t>плазмі</w:t>
      </w:r>
      <w:r w:rsidRPr="007F5722">
        <w:rPr>
          <w:rFonts w:ascii="Times New Roman" w:eastAsia="Times New Roman" w:hAnsi="Times New Roman" w:cs="Times New Roman"/>
          <w:color w:val="000000"/>
          <w:sz w:val="28"/>
          <w:szCs w:val="28"/>
        </w:rPr>
        <w:t xml:space="preserve"> крові хворих </w:t>
      </w:r>
      <w:r w:rsidR="006E72AD" w:rsidRPr="007F5722">
        <w:rPr>
          <w:rFonts w:ascii="Times New Roman" w:eastAsia="Times New Roman" w:hAnsi="Times New Roman" w:cs="Times New Roman"/>
          <w:color w:val="000000"/>
          <w:sz w:val="28"/>
          <w:szCs w:val="28"/>
        </w:rPr>
        <w:t>(</w:t>
      </w:r>
      <w:r w:rsidR="006E72AD" w:rsidRPr="007F5722">
        <w:rPr>
          <w:rFonts w:ascii="Times New Roman" w:eastAsia="Times New Roman" w:hAnsi="Times New Roman" w:cs="Times New Roman"/>
          <w:color w:val="000000"/>
          <w:sz w:val="28"/>
          <w:szCs w:val="28"/>
          <w:lang w:val="en-US"/>
        </w:rPr>
        <w:t>p</w:t>
      </w:r>
      <w:r w:rsidR="006E72AD" w:rsidRPr="007F5722">
        <w:rPr>
          <w:rFonts w:ascii="Times New Roman" w:eastAsia="Times New Roman" w:hAnsi="Times New Roman" w:cs="Times New Roman"/>
          <w:color w:val="000000"/>
          <w:sz w:val="28"/>
          <w:szCs w:val="28"/>
        </w:rPr>
        <w:t xml:space="preserve">&lt;0,05). </w:t>
      </w:r>
      <w:r w:rsidRPr="007F5722">
        <w:rPr>
          <w:rFonts w:ascii="Times New Roman" w:eastAsia="Times New Roman" w:hAnsi="Times New Roman" w:cs="Times New Roman"/>
          <w:color w:val="000000"/>
          <w:sz w:val="28"/>
          <w:szCs w:val="28"/>
        </w:rPr>
        <w:t xml:space="preserve">Так значення САТ, ДАТ і ПАТ достовірно вище у другому тертілі, ніж у першому (р&lt;0,05), та в </w:t>
      </w:r>
      <w:r w:rsidRPr="007F5722">
        <w:rPr>
          <w:rFonts w:ascii="Times New Roman" w:eastAsia="Times New Roman" w:hAnsi="Times New Roman" w:cs="Times New Roman"/>
          <w:color w:val="000000"/>
          <w:sz w:val="28"/>
          <w:szCs w:val="28"/>
        </w:rPr>
        <w:lastRenderedPageBreak/>
        <w:t>третьо</w:t>
      </w:r>
      <w:r w:rsidR="006E72AD" w:rsidRPr="007F5722">
        <w:rPr>
          <w:rFonts w:ascii="Times New Roman" w:eastAsia="Times New Roman" w:hAnsi="Times New Roman" w:cs="Times New Roman"/>
          <w:color w:val="000000"/>
          <w:sz w:val="28"/>
          <w:szCs w:val="28"/>
        </w:rPr>
        <w:t>м</w:t>
      </w:r>
      <w:r w:rsidRPr="007F5722">
        <w:rPr>
          <w:rFonts w:ascii="Times New Roman" w:eastAsia="Times New Roman" w:hAnsi="Times New Roman" w:cs="Times New Roman"/>
          <w:color w:val="000000"/>
          <w:sz w:val="28"/>
          <w:szCs w:val="28"/>
        </w:rPr>
        <w:t>у тертілі вище, ніж в другому</w:t>
      </w:r>
      <w:r w:rsidR="006E72AD" w:rsidRPr="007F5722">
        <w:rPr>
          <w:rFonts w:ascii="Times New Roman" w:eastAsia="Times New Roman" w:hAnsi="Times New Roman" w:cs="Times New Roman"/>
          <w:color w:val="000000"/>
          <w:sz w:val="28"/>
          <w:szCs w:val="28"/>
        </w:rPr>
        <w:t xml:space="preserve"> (р&lt;0,05). </w:t>
      </w:r>
      <w:r w:rsidR="003F465D" w:rsidRPr="007F5722">
        <w:rPr>
          <w:rFonts w:ascii="Times New Roman" w:eastAsia="Times New Roman" w:hAnsi="Times New Roman" w:cs="Times New Roman"/>
          <w:color w:val="000000"/>
          <w:sz w:val="28"/>
          <w:szCs w:val="28"/>
        </w:rPr>
        <w:t xml:space="preserve">Тривалість підвищення АТ також достовірно вище в другому тертілі при порівнянні з першим, та в третьому при порівнянні з другим </w:t>
      </w:r>
      <w:r w:rsidR="006E72AD" w:rsidRPr="007F5722">
        <w:rPr>
          <w:rFonts w:ascii="Times New Roman" w:eastAsia="Times New Roman" w:hAnsi="Times New Roman" w:cs="Times New Roman"/>
          <w:color w:val="000000"/>
          <w:sz w:val="28"/>
          <w:szCs w:val="28"/>
        </w:rPr>
        <w:t xml:space="preserve">(р&lt;0,05). </w:t>
      </w:r>
      <w:r w:rsidR="003F465D" w:rsidRPr="007F5722">
        <w:rPr>
          <w:rFonts w:ascii="Times New Roman" w:eastAsia="Times New Roman" w:hAnsi="Times New Roman" w:cs="Times New Roman"/>
          <w:color w:val="000000"/>
          <w:sz w:val="28"/>
          <w:szCs w:val="28"/>
        </w:rPr>
        <w:t xml:space="preserve">Під час порівняння антропометричних показників встановлено, що чим вище рівень ІЛ-22 в </w:t>
      </w:r>
      <w:r w:rsidR="00796EC3">
        <w:rPr>
          <w:rFonts w:ascii="Times New Roman" w:eastAsia="Times New Roman" w:hAnsi="Times New Roman" w:cs="Times New Roman"/>
          <w:color w:val="000000"/>
          <w:sz w:val="28"/>
          <w:szCs w:val="28"/>
        </w:rPr>
        <w:t>плазмі</w:t>
      </w:r>
      <w:r w:rsidR="003F465D" w:rsidRPr="007F5722">
        <w:rPr>
          <w:rFonts w:ascii="Times New Roman" w:eastAsia="Times New Roman" w:hAnsi="Times New Roman" w:cs="Times New Roman"/>
          <w:color w:val="000000"/>
          <w:sz w:val="28"/>
          <w:szCs w:val="28"/>
        </w:rPr>
        <w:t xml:space="preserve"> крові тим більше маса тіла, показник ІМТ, ОТ, ОС, індекс ОТ/ОС </w:t>
      </w:r>
      <w:r w:rsidR="006E72AD" w:rsidRPr="007F5722">
        <w:rPr>
          <w:rFonts w:ascii="Times New Roman" w:eastAsia="Times New Roman" w:hAnsi="Times New Roman" w:cs="Times New Roman"/>
          <w:color w:val="000000"/>
          <w:sz w:val="28"/>
          <w:szCs w:val="28"/>
        </w:rPr>
        <w:t xml:space="preserve">(р&lt;0,05). </w:t>
      </w:r>
      <w:r w:rsidR="003F465D" w:rsidRPr="007F5722">
        <w:rPr>
          <w:rFonts w:ascii="Times New Roman" w:eastAsia="Times New Roman" w:hAnsi="Times New Roman" w:cs="Times New Roman"/>
          <w:color w:val="000000"/>
          <w:sz w:val="28"/>
          <w:szCs w:val="28"/>
        </w:rPr>
        <w:t>У хворих 1-го тертіля нормальна маса тіла бу</w:t>
      </w:r>
      <w:r w:rsidR="006E72AD" w:rsidRPr="007F5722">
        <w:rPr>
          <w:rFonts w:ascii="Times New Roman" w:eastAsia="Times New Roman" w:hAnsi="Times New Roman" w:cs="Times New Roman"/>
          <w:color w:val="000000"/>
          <w:sz w:val="28"/>
          <w:szCs w:val="28"/>
        </w:rPr>
        <w:t xml:space="preserve">ла </w:t>
      </w:r>
      <w:r w:rsidR="003F465D" w:rsidRPr="007F5722">
        <w:rPr>
          <w:rFonts w:ascii="Times New Roman" w:eastAsia="Times New Roman" w:hAnsi="Times New Roman" w:cs="Times New Roman"/>
          <w:color w:val="000000"/>
          <w:sz w:val="28"/>
          <w:szCs w:val="28"/>
        </w:rPr>
        <w:t>виявлена у 62,96% хворих</w:t>
      </w:r>
      <w:r w:rsidR="006E72AD" w:rsidRPr="007F5722">
        <w:rPr>
          <w:rFonts w:ascii="Times New Roman" w:eastAsia="Times New Roman" w:hAnsi="Times New Roman" w:cs="Times New Roman"/>
          <w:color w:val="000000"/>
          <w:sz w:val="28"/>
          <w:szCs w:val="28"/>
        </w:rPr>
        <w:t xml:space="preserve">, </w:t>
      </w:r>
      <w:r w:rsidR="003F465D" w:rsidRPr="007F5722">
        <w:rPr>
          <w:rFonts w:ascii="Times New Roman" w:eastAsia="Times New Roman" w:hAnsi="Times New Roman" w:cs="Times New Roman"/>
          <w:color w:val="000000"/>
          <w:sz w:val="28"/>
          <w:szCs w:val="28"/>
        </w:rPr>
        <w:t>надлишкову масу тіла мали 29,63%</w:t>
      </w:r>
      <w:r w:rsidR="006E72AD" w:rsidRPr="007F5722">
        <w:rPr>
          <w:rFonts w:ascii="Times New Roman" w:eastAsia="Times New Roman" w:hAnsi="Times New Roman" w:cs="Times New Roman"/>
          <w:color w:val="000000"/>
          <w:sz w:val="28"/>
          <w:szCs w:val="28"/>
        </w:rPr>
        <w:t xml:space="preserve"> </w:t>
      </w:r>
      <w:r w:rsidR="003F465D" w:rsidRPr="007F5722">
        <w:rPr>
          <w:rFonts w:ascii="Times New Roman" w:eastAsia="Times New Roman" w:hAnsi="Times New Roman" w:cs="Times New Roman"/>
          <w:color w:val="000000"/>
          <w:sz w:val="28"/>
          <w:szCs w:val="28"/>
        </w:rPr>
        <w:t>хворих, ожиріння 1 ступеня було відмічено у 7,41% пацієнті</w:t>
      </w:r>
      <w:r w:rsidR="006E72AD" w:rsidRPr="007F5722">
        <w:rPr>
          <w:rFonts w:ascii="Times New Roman" w:eastAsia="Times New Roman" w:hAnsi="Times New Roman" w:cs="Times New Roman"/>
          <w:color w:val="000000"/>
          <w:sz w:val="28"/>
          <w:szCs w:val="28"/>
        </w:rPr>
        <w:t xml:space="preserve">в. </w:t>
      </w:r>
      <w:r w:rsidR="003F465D" w:rsidRPr="007F5722">
        <w:rPr>
          <w:rFonts w:ascii="Times New Roman" w:eastAsia="Times New Roman" w:hAnsi="Times New Roman" w:cs="Times New Roman"/>
          <w:color w:val="000000"/>
          <w:sz w:val="28"/>
          <w:szCs w:val="28"/>
        </w:rPr>
        <w:t>Хворі 2-го тертіля характеризу</w:t>
      </w:r>
      <w:r w:rsidR="006E72AD" w:rsidRPr="007F5722">
        <w:rPr>
          <w:rFonts w:ascii="Times New Roman" w:eastAsia="Times New Roman" w:hAnsi="Times New Roman" w:cs="Times New Roman"/>
          <w:color w:val="000000"/>
          <w:sz w:val="28"/>
          <w:szCs w:val="28"/>
        </w:rPr>
        <w:t xml:space="preserve">вались </w:t>
      </w:r>
      <w:r w:rsidR="003F465D" w:rsidRPr="007F5722">
        <w:rPr>
          <w:rFonts w:ascii="Times New Roman" w:eastAsia="Times New Roman" w:hAnsi="Times New Roman" w:cs="Times New Roman"/>
          <w:color w:val="000000"/>
          <w:sz w:val="28"/>
          <w:szCs w:val="28"/>
        </w:rPr>
        <w:t>наступними значеннями: нормальну масу тіла не мав жоден пацієнт, надмірну масу тіла мали 85,2%</w:t>
      </w:r>
      <w:r w:rsidR="006E72AD" w:rsidRPr="007F5722">
        <w:rPr>
          <w:rFonts w:ascii="Times New Roman" w:eastAsia="Times New Roman" w:hAnsi="Times New Roman" w:cs="Times New Roman"/>
          <w:color w:val="000000"/>
          <w:sz w:val="28"/>
          <w:szCs w:val="28"/>
        </w:rPr>
        <w:t xml:space="preserve"> </w:t>
      </w:r>
      <w:r w:rsidR="003F465D" w:rsidRPr="007F5722">
        <w:rPr>
          <w:rFonts w:ascii="Times New Roman" w:eastAsia="Times New Roman" w:hAnsi="Times New Roman" w:cs="Times New Roman"/>
          <w:color w:val="000000"/>
          <w:sz w:val="28"/>
          <w:szCs w:val="28"/>
        </w:rPr>
        <w:t>хворих, ожиріння 1 ступеня</w:t>
      </w:r>
      <w:r w:rsidR="006E72AD" w:rsidRPr="007F5722">
        <w:rPr>
          <w:rFonts w:ascii="Times New Roman" w:eastAsia="Times New Roman" w:hAnsi="Times New Roman" w:cs="Times New Roman"/>
          <w:color w:val="000000"/>
          <w:sz w:val="28"/>
          <w:szCs w:val="28"/>
        </w:rPr>
        <w:t xml:space="preserve"> </w:t>
      </w:r>
      <w:r w:rsidR="003F465D" w:rsidRPr="007F5722">
        <w:rPr>
          <w:rFonts w:ascii="Times New Roman" w:eastAsia="Times New Roman" w:hAnsi="Times New Roman" w:cs="Times New Roman"/>
          <w:color w:val="000000"/>
          <w:sz w:val="28"/>
          <w:szCs w:val="28"/>
        </w:rPr>
        <w:t>відмічено у 14,8% пацієнті</w:t>
      </w:r>
      <w:r w:rsidR="006E72AD" w:rsidRPr="007F5722">
        <w:rPr>
          <w:rFonts w:ascii="Times New Roman" w:eastAsia="Times New Roman" w:hAnsi="Times New Roman" w:cs="Times New Roman"/>
          <w:color w:val="000000"/>
          <w:sz w:val="28"/>
          <w:szCs w:val="28"/>
        </w:rPr>
        <w:t xml:space="preserve">в. У </w:t>
      </w:r>
      <w:r w:rsidR="003F465D" w:rsidRPr="007F5722">
        <w:rPr>
          <w:rFonts w:ascii="Times New Roman" w:eastAsia="Times New Roman" w:hAnsi="Times New Roman" w:cs="Times New Roman"/>
          <w:color w:val="000000"/>
          <w:sz w:val="28"/>
          <w:szCs w:val="28"/>
        </w:rPr>
        <w:t>хворих 3-го терті</w:t>
      </w:r>
      <w:r w:rsidR="006E72AD" w:rsidRPr="007F5722">
        <w:rPr>
          <w:rFonts w:ascii="Times New Roman" w:eastAsia="Times New Roman" w:hAnsi="Times New Roman" w:cs="Times New Roman"/>
          <w:color w:val="000000"/>
          <w:sz w:val="28"/>
          <w:szCs w:val="28"/>
        </w:rPr>
        <w:t xml:space="preserve">ля </w:t>
      </w:r>
      <w:r w:rsidR="003F465D" w:rsidRPr="007F5722">
        <w:rPr>
          <w:rFonts w:ascii="Times New Roman" w:eastAsia="Times New Roman" w:hAnsi="Times New Roman" w:cs="Times New Roman"/>
          <w:color w:val="000000"/>
          <w:sz w:val="28"/>
          <w:szCs w:val="28"/>
        </w:rPr>
        <w:t>спостерігалася</w:t>
      </w:r>
      <w:r w:rsidR="00B551D5" w:rsidRPr="007F5722">
        <w:rPr>
          <w:rFonts w:ascii="Times New Roman" w:eastAsia="Times New Roman" w:hAnsi="Times New Roman" w:cs="Times New Roman"/>
          <w:color w:val="000000"/>
          <w:sz w:val="28"/>
          <w:szCs w:val="28"/>
        </w:rPr>
        <w:t xml:space="preserve"> зворотня тенденція</w:t>
      </w:r>
      <w:r w:rsidR="006E72AD" w:rsidRPr="007F5722">
        <w:rPr>
          <w:rFonts w:ascii="Times New Roman" w:eastAsia="Times New Roman" w:hAnsi="Times New Roman" w:cs="Times New Roman"/>
          <w:color w:val="000000"/>
          <w:sz w:val="28"/>
          <w:szCs w:val="28"/>
        </w:rPr>
        <w:t xml:space="preserve"> </w:t>
      </w:r>
      <w:r w:rsidR="00B551D5" w:rsidRPr="007F5722">
        <w:rPr>
          <w:rFonts w:ascii="Times New Roman" w:eastAsia="Times New Roman" w:hAnsi="Times New Roman" w:cs="Times New Roman"/>
          <w:color w:val="000000"/>
          <w:sz w:val="28"/>
          <w:szCs w:val="28"/>
        </w:rPr>
        <w:t>в порівнянні з хворими 1-го тертіля: нормальна та</w:t>
      </w:r>
      <w:r w:rsidR="006E72AD" w:rsidRPr="007F5722">
        <w:rPr>
          <w:rFonts w:ascii="Times New Roman" w:eastAsia="Times New Roman" w:hAnsi="Times New Roman" w:cs="Times New Roman"/>
          <w:color w:val="000000"/>
          <w:sz w:val="28"/>
          <w:szCs w:val="28"/>
        </w:rPr>
        <w:t xml:space="preserve"> </w:t>
      </w:r>
      <w:r w:rsidR="00B551D5" w:rsidRPr="007F5722">
        <w:rPr>
          <w:rFonts w:ascii="Times New Roman" w:eastAsia="Times New Roman" w:hAnsi="Times New Roman" w:cs="Times New Roman"/>
          <w:color w:val="000000"/>
          <w:sz w:val="28"/>
          <w:szCs w:val="28"/>
        </w:rPr>
        <w:t>надлишкова маса ті</w:t>
      </w:r>
      <w:r w:rsidR="006E72AD" w:rsidRPr="007F5722">
        <w:rPr>
          <w:rFonts w:ascii="Times New Roman" w:eastAsia="Times New Roman" w:hAnsi="Times New Roman" w:cs="Times New Roman"/>
          <w:color w:val="000000"/>
          <w:sz w:val="28"/>
          <w:szCs w:val="28"/>
        </w:rPr>
        <w:t xml:space="preserve">ла не </w:t>
      </w:r>
      <w:r w:rsidR="00B551D5" w:rsidRPr="007F5722">
        <w:rPr>
          <w:rFonts w:ascii="Times New Roman" w:eastAsia="Times New Roman" w:hAnsi="Times New Roman" w:cs="Times New Roman"/>
          <w:color w:val="000000"/>
          <w:sz w:val="28"/>
          <w:szCs w:val="28"/>
        </w:rPr>
        <w:t>відмічена у жодного з пацієнтів 3-го тертіля, ожиріння 1 ступеня</w:t>
      </w:r>
      <w:r w:rsidR="006E72AD" w:rsidRPr="007F5722">
        <w:rPr>
          <w:rFonts w:ascii="Times New Roman" w:eastAsia="Times New Roman" w:hAnsi="Times New Roman" w:cs="Times New Roman"/>
          <w:color w:val="000000"/>
          <w:sz w:val="28"/>
          <w:szCs w:val="28"/>
        </w:rPr>
        <w:t xml:space="preserve"> </w:t>
      </w:r>
      <w:r w:rsidR="00B551D5" w:rsidRPr="007F5722">
        <w:rPr>
          <w:rFonts w:ascii="Times New Roman" w:eastAsia="Times New Roman" w:hAnsi="Times New Roman" w:cs="Times New Roman"/>
          <w:color w:val="000000"/>
          <w:sz w:val="28"/>
          <w:szCs w:val="28"/>
        </w:rPr>
        <w:t>мали 44,5%</w:t>
      </w:r>
      <w:r w:rsidR="006E72AD" w:rsidRPr="007F5722">
        <w:rPr>
          <w:rFonts w:ascii="Times New Roman" w:eastAsia="Times New Roman" w:hAnsi="Times New Roman" w:cs="Times New Roman"/>
          <w:color w:val="000000"/>
          <w:sz w:val="28"/>
          <w:szCs w:val="28"/>
        </w:rPr>
        <w:t xml:space="preserve"> </w:t>
      </w:r>
      <w:r w:rsidR="00B551D5" w:rsidRPr="007F5722">
        <w:rPr>
          <w:rFonts w:ascii="Times New Roman" w:eastAsia="Times New Roman" w:hAnsi="Times New Roman" w:cs="Times New Roman"/>
          <w:color w:val="000000"/>
          <w:sz w:val="28"/>
          <w:szCs w:val="28"/>
        </w:rPr>
        <w:t>хворих, ожиріння 2 ступеня було відмічено також у 44,5%</w:t>
      </w:r>
      <w:r w:rsidR="006E72AD" w:rsidRPr="007F5722">
        <w:rPr>
          <w:rFonts w:ascii="Times New Roman" w:eastAsia="Times New Roman" w:hAnsi="Times New Roman" w:cs="Times New Roman"/>
          <w:color w:val="000000"/>
          <w:sz w:val="28"/>
          <w:szCs w:val="28"/>
        </w:rPr>
        <w:t xml:space="preserve"> </w:t>
      </w:r>
      <w:r w:rsidR="00B551D5" w:rsidRPr="007F5722">
        <w:rPr>
          <w:rFonts w:ascii="Times New Roman" w:eastAsia="Times New Roman" w:hAnsi="Times New Roman" w:cs="Times New Roman"/>
          <w:color w:val="000000"/>
          <w:sz w:val="28"/>
          <w:szCs w:val="28"/>
        </w:rPr>
        <w:t>хворих, ожиріння 3 ступеня мали 11% хворих</w:t>
      </w:r>
      <w:r w:rsidR="006E72AD" w:rsidRPr="007F5722">
        <w:rPr>
          <w:rFonts w:ascii="Times New Roman" w:eastAsia="Times New Roman" w:hAnsi="Times New Roman" w:cs="Times New Roman"/>
          <w:color w:val="000000"/>
          <w:sz w:val="28"/>
          <w:szCs w:val="28"/>
        </w:rPr>
        <w:t>.</w:t>
      </w:r>
    </w:p>
    <w:p w:rsidR="006E72AD" w:rsidRPr="007F5722" w:rsidRDefault="00B551D5" w:rsidP="006E72A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Кількість хворих на ГХ</w:t>
      </w:r>
      <w:r w:rsidR="006E72AD" w:rsidRPr="007F5722">
        <w:rPr>
          <w:rFonts w:ascii="Times New Roman" w:eastAsia="Times New Roman" w:hAnsi="Times New Roman" w:cs="Times New Roman"/>
          <w:color w:val="000000"/>
          <w:sz w:val="28"/>
          <w:szCs w:val="28"/>
        </w:rPr>
        <w:t xml:space="preserve">, </w:t>
      </w:r>
      <w:r w:rsidRPr="007F5722">
        <w:rPr>
          <w:rFonts w:ascii="Times New Roman" w:eastAsia="Times New Roman" w:hAnsi="Times New Roman" w:cs="Times New Roman"/>
          <w:color w:val="000000"/>
          <w:sz w:val="28"/>
          <w:szCs w:val="28"/>
        </w:rPr>
        <w:t>які мають АО в залежності від рівня ІЛ-22 у терті</w:t>
      </w:r>
      <w:r w:rsidR="00E830F0" w:rsidRPr="007F5722">
        <w:rPr>
          <w:rFonts w:ascii="Times New Roman" w:eastAsia="Times New Roman" w:hAnsi="Times New Roman" w:cs="Times New Roman"/>
          <w:color w:val="000000"/>
          <w:sz w:val="28"/>
          <w:szCs w:val="28"/>
        </w:rPr>
        <w:t>лях відображена на рисунку 3.1.2</w:t>
      </w:r>
    </w:p>
    <w:p w:rsidR="006E72AD" w:rsidRPr="007F5722" w:rsidRDefault="00A42EF9" w:rsidP="006E72A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noProof/>
          <w:color w:val="000000"/>
          <w:sz w:val="28"/>
          <w:szCs w:val="28"/>
          <w:lang w:val="ru-RU" w:eastAsia="ru-RU"/>
        </w:rPr>
        <w:drawing>
          <wp:inline distT="0" distB="0" distL="0" distR="0">
            <wp:extent cx="4518660" cy="2087880"/>
            <wp:effectExtent l="0" t="0" r="15240" b="762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E72AD" w:rsidRPr="007F5722" w:rsidRDefault="00E830F0" w:rsidP="006E72A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Рис.3.1.2</w:t>
      </w:r>
      <w:r w:rsidR="00E85B0E" w:rsidRPr="007F5722">
        <w:rPr>
          <w:rFonts w:ascii="Times New Roman" w:eastAsia="Times New Roman" w:hAnsi="Times New Roman" w:cs="Times New Roman"/>
          <w:color w:val="000000"/>
          <w:sz w:val="28"/>
          <w:szCs w:val="28"/>
        </w:rPr>
        <w:t>.</w:t>
      </w:r>
      <w:r w:rsidR="006E72AD" w:rsidRPr="007F5722">
        <w:rPr>
          <w:rFonts w:ascii="Times New Roman" w:eastAsia="Times New Roman" w:hAnsi="Times New Roman" w:cs="Times New Roman"/>
          <w:color w:val="000000"/>
          <w:sz w:val="28"/>
          <w:szCs w:val="28"/>
        </w:rPr>
        <w:t xml:space="preserve"> </w:t>
      </w:r>
      <w:r w:rsidR="00B551D5" w:rsidRPr="007F5722">
        <w:rPr>
          <w:rFonts w:ascii="Times New Roman" w:eastAsia="Times New Roman" w:hAnsi="Times New Roman" w:cs="Times New Roman"/>
          <w:color w:val="000000"/>
          <w:sz w:val="28"/>
          <w:szCs w:val="28"/>
        </w:rPr>
        <w:t>Наявність АО у хворих на ГХ в тертілях в залежності від рівня ІЛ-22</w:t>
      </w:r>
      <w:r w:rsidR="006E72AD" w:rsidRPr="007F5722">
        <w:rPr>
          <w:rFonts w:ascii="Times New Roman" w:eastAsia="Times New Roman" w:hAnsi="Times New Roman" w:cs="Times New Roman"/>
          <w:color w:val="000000"/>
          <w:sz w:val="28"/>
          <w:szCs w:val="28"/>
        </w:rPr>
        <w:t>.</w:t>
      </w:r>
    </w:p>
    <w:p w:rsidR="00A42EF9" w:rsidRPr="007F5722" w:rsidRDefault="006E72AD" w:rsidP="006E72A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 xml:space="preserve">Таким </w:t>
      </w:r>
      <w:r w:rsidR="00A42EF9" w:rsidRPr="007F5722">
        <w:rPr>
          <w:rFonts w:ascii="Times New Roman" w:eastAsia="Times New Roman" w:hAnsi="Times New Roman" w:cs="Times New Roman"/>
          <w:color w:val="000000"/>
          <w:sz w:val="28"/>
          <w:szCs w:val="28"/>
        </w:rPr>
        <w:t xml:space="preserve">чином на рисунку відображено, що з підвищенням рівня ІЛ-22 в </w:t>
      </w:r>
      <w:r w:rsidR="00796EC3">
        <w:rPr>
          <w:rFonts w:ascii="Times New Roman" w:eastAsia="Times New Roman" w:hAnsi="Times New Roman" w:cs="Times New Roman"/>
          <w:color w:val="000000"/>
          <w:sz w:val="28"/>
          <w:szCs w:val="28"/>
        </w:rPr>
        <w:t>плазмі</w:t>
      </w:r>
      <w:r w:rsidR="00A42EF9" w:rsidRPr="007F5722">
        <w:rPr>
          <w:rFonts w:ascii="Times New Roman" w:eastAsia="Times New Roman" w:hAnsi="Times New Roman" w:cs="Times New Roman"/>
          <w:color w:val="000000"/>
          <w:sz w:val="28"/>
          <w:szCs w:val="28"/>
        </w:rPr>
        <w:t xml:space="preserve"> крові збільшується кількість хворих, які мають абдомінальне ожиріння.</w:t>
      </w:r>
    </w:p>
    <w:p w:rsidR="00686267" w:rsidRPr="007F5722" w:rsidRDefault="00883BEF" w:rsidP="006E72A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При проведенні кореляційного аналізу у пацієнтів 1-го та 2-го тертілів нами не виявлено статистично достовірного взаємозв</w:t>
      </w:r>
      <w:r w:rsidRPr="007F5722">
        <w:rPr>
          <w:rFonts w:ascii="Times New Roman" w:eastAsia="Times New Roman" w:hAnsi="Times New Roman" w:cs="Times New Roman"/>
          <w:color w:val="000000"/>
          <w:sz w:val="28"/>
          <w:szCs w:val="28"/>
          <w:lang w:val="ru-RU"/>
        </w:rPr>
        <w:t>’</w:t>
      </w:r>
      <w:r w:rsidRPr="007F5722">
        <w:rPr>
          <w:rFonts w:ascii="Times New Roman" w:eastAsia="Times New Roman" w:hAnsi="Times New Roman" w:cs="Times New Roman"/>
          <w:color w:val="000000"/>
          <w:sz w:val="28"/>
          <w:szCs w:val="28"/>
        </w:rPr>
        <w:t xml:space="preserve">язку між ІЛ-22 та </w:t>
      </w:r>
      <w:r w:rsidRPr="007F5722">
        <w:rPr>
          <w:rFonts w:ascii="Times New Roman" w:eastAsia="Times New Roman" w:hAnsi="Times New Roman" w:cs="Times New Roman"/>
          <w:color w:val="000000"/>
          <w:sz w:val="28"/>
          <w:szCs w:val="28"/>
        </w:rPr>
        <w:lastRenderedPageBreak/>
        <w:t>антропометричними</w:t>
      </w:r>
      <w:r w:rsidR="00864156" w:rsidRPr="007F5722">
        <w:rPr>
          <w:rFonts w:ascii="Times New Roman" w:eastAsia="Times New Roman" w:hAnsi="Times New Roman" w:cs="Times New Roman"/>
          <w:color w:val="000000"/>
          <w:sz w:val="28"/>
          <w:szCs w:val="28"/>
        </w:rPr>
        <w:t xml:space="preserve"> показниками, такими як маса ті</w:t>
      </w:r>
      <w:r w:rsidRPr="007F5722">
        <w:rPr>
          <w:rFonts w:ascii="Times New Roman" w:eastAsia="Times New Roman" w:hAnsi="Times New Roman" w:cs="Times New Roman"/>
          <w:color w:val="000000"/>
          <w:sz w:val="28"/>
          <w:szCs w:val="28"/>
        </w:rPr>
        <w:t>ла, ІМТ, ОТ, ОС та співвідношення ОТ/ОС.</w:t>
      </w:r>
    </w:p>
    <w:p w:rsidR="00883BEF" w:rsidRPr="007F5722" w:rsidRDefault="00883BEF" w:rsidP="006E72A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На відміну від цих результатів у пацієнтів хворих на ГХ 3-го тертилю, які характеризувалися максимальними значеннями ІЛ-22, кореляційний аналіз показав наявність достовірних прямих взаємозв’язків між рівнем ІЛ-22 та масою тіла пацієнтів (R=0,64; р&lt;0,05), що графічно відображено на рисунку 3.1.3.</w:t>
      </w:r>
    </w:p>
    <w:p w:rsidR="009A3CEA" w:rsidRPr="007F5722" w:rsidRDefault="009A3CEA" w:rsidP="0090704F">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noProof/>
          <w:color w:val="000000"/>
          <w:sz w:val="28"/>
          <w:szCs w:val="28"/>
          <w:lang w:val="ru-RU" w:eastAsia="ru-RU"/>
        </w:rPr>
        <w:drawing>
          <wp:inline distT="0" distB="0" distL="0" distR="0">
            <wp:extent cx="3848100" cy="24231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48100" cy="2423160"/>
                    </a:xfrm>
                    <a:prstGeom prst="rect">
                      <a:avLst/>
                    </a:prstGeom>
                    <a:noFill/>
                    <a:ln>
                      <a:noFill/>
                    </a:ln>
                  </pic:spPr>
                </pic:pic>
              </a:graphicData>
            </a:graphic>
          </wp:inline>
        </w:drawing>
      </w:r>
    </w:p>
    <w:p w:rsidR="00883BEF" w:rsidRPr="007F5722" w:rsidRDefault="00E830F0" w:rsidP="00C62EFF">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Рис. 3</w:t>
      </w:r>
      <w:r w:rsidR="00FB4B7D" w:rsidRPr="007F5722">
        <w:rPr>
          <w:rFonts w:ascii="Times New Roman" w:eastAsia="Times New Roman" w:hAnsi="Times New Roman" w:cs="Times New Roman"/>
          <w:color w:val="000000"/>
          <w:sz w:val="28"/>
          <w:szCs w:val="28"/>
        </w:rPr>
        <w:t>.1.3</w:t>
      </w:r>
      <w:r w:rsidR="00E85B0E" w:rsidRPr="007F5722">
        <w:rPr>
          <w:rFonts w:ascii="Times New Roman" w:eastAsia="Times New Roman" w:hAnsi="Times New Roman" w:cs="Times New Roman"/>
          <w:color w:val="000000"/>
          <w:sz w:val="28"/>
          <w:szCs w:val="28"/>
        </w:rPr>
        <w:t>.</w:t>
      </w:r>
      <w:r w:rsidRPr="007F5722">
        <w:rPr>
          <w:rFonts w:ascii="Times New Roman" w:eastAsia="Times New Roman" w:hAnsi="Times New Roman" w:cs="Times New Roman"/>
          <w:color w:val="000000"/>
          <w:sz w:val="28"/>
          <w:szCs w:val="28"/>
        </w:rPr>
        <w:t xml:space="preserve"> Кореляційні взаємозв’язки між ІЛ-22 та масою тіла у пацієнтів 3-го </w:t>
      </w:r>
      <w:r w:rsidR="00883BEF" w:rsidRPr="007F5722">
        <w:rPr>
          <w:rFonts w:ascii="Times New Roman" w:eastAsia="Times New Roman" w:hAnsi="Times New Roman" w:cs="Times New Roman"/>
          <w:color w:val="000000"/>
          <w:sz w:val="28"/>
          <w:szCs w:val="28"/>
        </w:rPr>
        <w:t>тертилю</w:t>
      </w:r>
    </w:p>
    <w:p w:rsidR="00883BEF" w:rsidRPr="007F5722" w:rsidRDefault="00883BEF" w:rsidP="0090704F">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Також нами виявлено сильний позитивний зв'язок між рівнем цитокі</w:t>
      </w:r>
      <w:r w:rsidR="00864156" w:rsidRPr="007F5722">
        <w:rPr>
          <w:rFonts w:ascii="Times New Roman" w:eastAsia="Times New Roman" w:hAnsi="Times New Roman" w:cs="Times New Roman"/>
          <w:color w:val="000000"/>
          <w:sz w:val="28"/>
          <w:szCs w:val="28"/>
        </w:rPr>
        <w:t>ну та ІМТ (R=0,75; р&lt;0,05) (рисунок</w:t>
      </w:r>
      <w:r w:rsidRPr="007F5722">
        <w:rPr>
          <w:rFonts w:ascii="Times New Roman" w:eastAsia="Times New Roman" w:hAnsi="Times New Roman" w:cs="Times New Roman"/>
          <w:color w:val="000000"/>
          <w:sz w:val="28"/>
          <w:szCs w:val="28"/>
        </w:rPr>
        <w:t xml:space="preserve"> 3.1.4)</w:t>
      </w:r>
    </w:p>
    <w:p w:rsidR="00E830F0" w:rsidRPr="007F5722" w:rsidRDefault="00E830F0" w:rsidP="0090704F">
      <w:pPr>
        <w:shd w:val="clear" w:color="auto" w:fill="FFFFFF"/>
        <w:spacing w:after="0" w:line="360" w:lineRule="auto"/>
        <w:ind w:firstLine="709"/>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noProof/>
          <w:color w:val="000000"/>
          <w:sz w:val="28"/>
          <w:szCs w:val="28"/>
          <w:lang w:val="ru-RU" w:eastAsia="ru-RU"/>
        </w:rPr>
        <w:drawing>
          <wp:inline distT="0" distB="0" distL="0" distR="0">
            <wp:extent cx="3939540" cy="2308860"/>
            <wp:effectExtent l="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39540" cy="2308860"/>
                    </a:xfrm>
                    <a:prstGeom prst="rect">
                      <a:avLst/>
                    </a:prstGeom>
                    <a:noFill/>
                    <a:ln>
                      <a:noFill/>
                    </a:ln>
                  </pic:spPr>
                </pic:pic>
              </a:graphicData>
            </a:graphic>
          </wp:inline>
        </w:drawing>
      </w:r>
    </w:p>
    <w:p w:rsidR="00E830F0" w:rsidRPr="007F5722" w:rsidRDefault="00E830F0" w:rsidP="00E830F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Рис. 3.1.4</w:t>
      </w:r>
      <w:r w:rsidR="00E85B0E" w:rsidRPr="007F5722">
        <w:rPr>
          <w:rFonts w:ascii="Times New Roman" w:eastAsia="Times New Roman" w:hAnsi="Times New Roman" w:cs="Times New Roman"/>
          <w:color w:val="000000"/>
          <w:sz w:val="28"/>
          <w:szCs w:val="28"/>
        </w:rPr>
        <w:t>.</w:t>
      </w:r>
      <w:r w:rsidRPr="007F5722">
        <w:rPr>
          <w:rFonts w:ascii="Times New Roman" w:eastAsia="Times New Roman" w:hAnsi="Times New Roman" w:cs="Times New Roman"/>
          <w:color w:val="000000"/>
          <w:sz w:val="28"/>
          <w:szCs w:val="28"/>
        </w:rPr>
        <w:t xml:space="preserve"> Кореляційні взаємозв’язки між ІЛ-22 та ІМТ у пацієнтів 3-го </w:t>
      </w:r>
      <w:r w:rsidR="00864156" w:rsidRPr="007F5722">
        <w:rPr>
          <w:rFonts w:ascii="Times New Roman" w:eastAsia="Times New Roman" w:hAnsi="Times New Roman" w:cs="Times New Roman"/>
          <w:color w:val="000000"/>
          <w:sz w:val="28"/>
          <w:szCs w:val="28"/>
        </w:rPr>
        <w:t>тертілю</w:t>
      </w:r>
    </w:p>
    <w:p w:rsidR="00864156" w:rsidRPr="007F5722" w:rsidRDefault="00864156" w:rsidP="00E830F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lastRenderedPageBreak/>
        <w:t>Прямий середньої сили достовірний кореляційний зв'язок (R=0,48; р&lt;0,05) мав місце між ІЛ-22 та ОТ у пацієнтів 3-го тертілю (рисунок 3.1.5)</w:t>
      </w:r>
    </w:p>
    <w:p w:rsidR="00E830F0" w:rsidRPr="007F5722" w:rsidRDefault="00E830F0" w:rsidP="00E830F0">
      <w:pPr>
        <w:shd w:val="clear" w:color="auto" w:fill="FFFFFF"/>
        <w:spacing w:after="0" w:line="360" w:lineRule="auto"/>
        <w:ind w:firstLine="709"/>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noProof/>
          <w:color w:val="000000"/>
          <w:sz w:val="28"/>
          <w:szCs w:val="28"/>
          <w:lang w:val="ru-RU" w:eastAsia="ru-RU"/>
        </w:rPr>
        <w:drawing>
          <wp:inline distT="0" distB="0" distL="0" distR="0">
            <wp:extent cx="4008120" cy="2529840"/>
            <wp:effectExtent l="0" t="0" r="0"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08120" cy="2529840"/>
                    </a:xfrm>
                    <a:prstGeom prst="rect">
                      <a:avLst/>
                    </a:prstGeom>
                    <a:noFill/>
                    <a:ln>
                      <a:noFill/>
                    </a:ln>
                  </pic:spPr>
                </pic:pic>
              </a:graphicData>
            </a:graphic>
          </wp:inline>
        </w:drawing>
      </w:r>
    </w:p>
    <w:p w:rsidR="00E830F0" w:rsidRPr="007F5722" w:rsidRDefault="00E830F0" w:rsidP="00E830F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Рис. 3.1.5</w:t>
      </w:r>
      <w:r w:rsidR="00E85B0E" w:rsidRPr="007F5722">
        <w:rPr>
          <w:rFonts w:ascii="Times New Roman" w:eastAsia="Times New Roman" w:hAnsi="Times New Roman" w:cs="Times New Roman"/>
          <w:color w:val="000000"/>
          <w:sz w:val="28"/>
          <w:szCs w:val="28"/>
        </w:rPr>
        <w:t>.</w:t>
      </w:r>
      <w:r w:rsidRPr="007F5722">
        <w:rPr>
          <w:rFonts w:ascii="Times New Roman" w:eastAsia="Times New Roman" w:hAnsi="Times New Roman" w:cs="Times New Roman"/>
          <w:color w:val="000000"/>
          <w:sz w:val="28"/>
          <w:szCs w:val="28"/>
        </w:rPr>
        <w:t xml:space="preserve"> Кореляційні взаємозв’язки між ІЛ-22 та ОТ у пацієнтів 3-го </w:t>
      </w:r>
      <w:r w:rsidR="00864156" w:rsidRPr="007F5722">
        <w:rPr>
          <w:rFonts w:ascii="Times New Roman" w:eastAsia="Times New Roman" w:hAnsi="Times New Roman" w:cs="Times New Roman"/>
          <w:color w:val="000000"/>
          <w:sz w:val="28"/>
          <w:szCs w:val="28"/>
        </w:rPr>
        <w:t>тертилю</w:t>
      </w:r>
    </w:p>
    <w:p w:rsidR="00864156" w:rsidRPr="007F5722" w:rsidRDefault="00864156" w:rsidP="00E830F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Взаємозв’язки між ІЛ-22 та ОС у пацієнтів хворих на ГХ 3-го тертілю мали подібні характеристики, тобто середні достовірні та позитивної направленості (R=0,39; р&lt;0,05) (Рисунок 3.1.6)</w:t>
      </w:r>
    </w:p>
    <w:p w:rsidR="00E830F0" w:rsidRPr="007F5722" w:rsidRDefault="009977C1" w:rsidP="0090704F">
      <w:pPr>
        <w:shd w:val="clear" w:color="auto" w:fill="FFFFFF"/>
        <w:spacing w:after="0" w:line="360" w:lineRule="auto"/>
        <w:ind w:firstLine="709"/>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noProof/>
          <w:color w:val="000000"/>
          <w:sz w:val="28"/>
          <w:szCs w:val="28"/>
          <w:lang w:val="ru-RU" w:eastAsia="ru-RU"/>
        </w:rPr>
        <w:drawing>
          <wp:inline distT="0" distB="0" distL="0" distR="0">
            <wp:extent cx="3939540" cy="2743200"/>
            <wp:effectExtent l="0" t="0" r="381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39540" cy="2743200"/>
                    </a:xfrm>
                    <a:prstGeom prst="rect">
                      <a:avLst/>
                    </a:prstGeom>
                    <a:noFill/>
                    <a:ln>
                      <a:noFill/>
                    </a:ln>
                  </pic:spPr>
                </pic:pic>
              </a:graphicData>
            </a:graphic>
          </wp:inline>
        </w:drawing>
      </w:r>
    </w:p>
    <w:p w:rsidR="009977C1" w:rsidRPr="007F5722" w:rsidRDefault="009977C1" w:rsidP="009977C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Рис. 3.1.6</w:t>
      </w:r>
      <w:r w:rsidR="00E85B0E" w:rsidRPr="007F5722">
        <w:rPr>
          <w:rFonts w:ascii="Times New Roman" w:eastAsia="Times New Roman" w:hAnsi="Times New Roman" w:cs="Times New Roman"/>
          <w:color w:val="000000"/>
          <w:sz w:val="28"/>
          <w:szCs w:val="28"/>
        </w:rPr>
        <w:t>.</w:t>
      </w:r>
      <w:r w:rsidRPr="007F5722">
        <w:rPr>
          <w:rFonts w:ascii="Times New Roman" w:eastAsia="Times New Roman" w:hAnsi="Times New Roman" w:cs="Times New Roman"/>
          <w:color w:val="000000"/>
          <w:sz w:val="28"/>
          <w:szCs w:val="28"/>
        </w:rPr>
        <w:t xml:space="preserve"> Кореляційні взаємозв’язки між ІЛ-22 та ОС у пацієнтів 3-го </w:t>
      </w:r>
      <w:r w:rsidR="00864156" w:rsidRPr="007F5722">
        <w:rPr>
          <w:rFonts w:ascii="Times New Roman" w:eastAsia="Times New Roman" w:hAnsi="Times New Roman" w:cs="Times New Roman"/>
          <w:color w:val="000000"/>
          <w:sz w:val="28"/>
          <w:szCs w:val="28"/>
        </w:rPr>
        <w:t>тертилю</w:t>
      </w:r>
    </w:p>
    <w:p w:rsidR="00864156" w:rsidRPr="007F5722" w:rsidRDefault="00864156" w:rsidP="009977C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В той час, як кореляційний зв'язок між ІЛ-22 та індексом ОТ/ОС виявився більш щільним (R=0,56; р&lt;0,05) та також був прямим та достовірним (Рисунок 3.1.7)</w:t>
      </w:r>
    </w:p>
    <w:p w:rsidR="009977C1" w:rsidRPr="007F5722" w:rsidRDefault="009977C1" w:rsidP="009977C1">
      <w:pPr>
        <w:shd w:val="clear" w:color="auto" w:fill="FFFFFF"/>
        <w:spacing w:after="0" w:line="360" w:lineRule="auto"/>
        <w:ind w:firstLine="709"/>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noProof/>
          <w:color w:val="000000"/>
          <w:sz w:val="28"/>
          <w:szCs w:val="28"/>
          <w:lang w:val="ru-RU" w:eastAsia="ru-RU"/>
        </w:rPr>
        <w:lastRenderedPageBreak/>
        <w:drawing>
          <wp:inline distT="0" distB="0" distL="0" distR="0">
            <wp:extent cx="3909060" cy="257556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09060" cy="2575560"/>
                    </a:xfrm>
                    <a:prstGeom prst="rect">
                      <a:avLst/>
                    </a:prstGeom>
                    <a:noFill/>
                    <a:ln>
                      <a:noFill/>
                    </a:ln>
                  </pic:spPr>
                </pic:pic>
              </a:graphicData>
            </a:graphic>
          </wp:inline>
        </w:drawing>
      </w:r>
    </w:p>
    <w:p w:rsidR="009977C1" w:rsidRPr="007F5722" w:rsidRDefault="009977C1" w:rsidP="009977C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Рис. 3.1.7</w:t>
      </w:r>
      <w:r w:rsidR="00E85B0E" w:rsidRPr="007F5722">
        <w:rPr>
          <w:rFonts w:ascii="Times New Roman" w:eastAsia="Times New Roman" w:hAnsi="Times New Roman" w:cs="Times New Roman"/>
          <w:color w:val="000000"/>
          <w:sz w:val="28"/>
          <w:szCs w:val="28"/>
        </w:rPr>
        <w:t>.</w:t>
      </w:r>
      <w:r w:rsidRPr="007F5722">
        <w:rPr>
          <w:rFonts w:ascii="Times New Roman" w:eastAsia="Times New Roman" w:hAnsi="Times New Roman" w:cs="Times New Roman"/>
          <w:color w:val="000000"/>
          <w:sz w:val="28"/>
          <w:szCs w:val="28"/>
        </w:rPr>
        <w:t xml:space="preserve"> Кореляційні взаємозв’язки між ІЛ-22 та індексом ОТ/ОС у пацієнтів 3-го тертілю</w:t>
      </w:r>
    </w:p>
    <w:p w:rsidR="00433097" w:rsidRPr="007F5722" w:rsidRDefault="00864156" w:rsidP="006E72AD">
      <w:pPr>
        <w:shd w:val="clear" w:color="auto" w:fill="FFFFFF"/>
        <w:spacing w:after="0" w:line="360" w:lineRule="auto"/>
        <w:ind w:firstLine="709"/>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color w:val="000000"/>
          <w:sz w:val="28"/>
          <w:szCs w:val="28"/>
        </w:rPr>
        <w:t xml:space="preserve">Ми провели </w:t>
      </w:r>
      <w:r w:rsidRPr="007F5722">
        <w:rPr>
          <w:rFonts w:ascii="Times New Roman" w:hAnsi="Times New Roman"/>
          <w:sz w:val="28"/>
          <w:szCs w:val="28"/>
        </w:rPr>
        <w:t>п</w:t>
      </w:r>
      <w:r w:rsidR="00433097" w:rsidRPr="007F5722">
        <w:rPr>
          <w:rFonts w:ascii="Times New Roman" w:hAnsi="Times New Roman"/>
          <w:sz w:val="28"/>
          <w:szCs w:val="28"/>
        </w:rPr>
        <w:t xml:space="preserve">орівняльний аналіз середніх значень вмісту ІЛ-22 </w:t>
      </w:r>
      <w:r w:rsidR="00686900">
        <w:rPr>
          <w:rFonts w:ascii="Times New Roman" w:hAnsi="Times New Roman"/>
          <w:sz w:val="28"/>
          <w:szCs w:val="28"/>
        </w:rPr>
        <w:t>у плазмі</w:t>
      </w:r>
      <w:r w:rsidR="00433097" w:rsidRPr="007F5722">
        <w:rPr>
          <w:rFonts w:ascii="Times New Roman" w:hAnsi="Times New Roman"/>
          <w:sz w:val="28"/>
          <w:szCs w:val="28"/>
        </w:rPr>
        <w:t xml:space="preserve"> крові хворих на ГХ в залежності від наявності АО та групи контролю</w:t>
      </w:r>
      <w:r w:rsidRPr="007F5722">
        <w:rPr>
          <w:rFonts w:ascii="Times New Roman" w:hAnsi="Times New Roman"/>
          <w:sz w:val="28"/>
          <w:szCs w:val="28"/>
        </w:rPr>
        <w:t xml:space="preserve">, результати якого відображено на рисунку </w:t>
      </w:r>
      <w:r w:rsidR="009977C1" w:rsidRPr="007F5722">
        <w:rPr>
          <w:rFonts w:ascii="Times New Roman" w:hAnsi="Times New Roman"/>
          <w:sz w:val="28"/>
          <w:szCs w:val="28"/>
        </w:rPr>
        <w:t>3.1.8</w:t>
      </w:r>
      <w:r w:rsidR="00440ED6" w:rsidRPr="007F5722">
        <w:rPr>
          <w:rFonts w:ascii="Times New Roman" w:hAnsi="Times New Roman"/>
          <w:sz w:val="28"/>
          <w:szCs w:val="28"/>
        </w:rPr>
        <w:t>.</w:t>
      </w:r>
    </w:p>
    <w:p w:rsidR="00433097" w:rsidRPr="007F5722" w:rsidRDefault="00440ED6" w:rsidP="006E72AD">
      <w:pPr>
        <w:shd w:val="clear" w:color="auto" w:fill="FFFFFF"/>
        <w:spacing w:after="0" w:line="360" w:lineRule="auto"/>
        <w:ind w:firstLine="709"/>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noProof/>
          <w:color w:val="000000"/>
          <w:sz w:val="28"/>
          <w:szCs w:val="28"/>
          <w:lang w:val="ru-RU" w:eastAsia="ru-RU"/>
        </w:rPr>
        <w:drawing>
          <wp:inline distT="0" distB="0" distL="0" distR="0">
            <wp:extent cx="4434840" cy="2865120"/>
            <wp:effectExtent l="0" t="0" r="381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srcRect/>
                    <a:stretch>
                      <a:fillRect/>
                    </a:stretch>
                  </pic:blipFill>
                  <pic:spPr bwMode="auto">
                    <a:xfrm>
                      <a:off x="0" y="0"/>
                      <a:ext cx="4434840" cy="2865120"/>
                    </a:xfrm>
                    <a:prstGeom prst="rect">
                      <a:avLst/>
                    </a:prstGeom>
                    <a:noFill/>
                    <a:ln w="9525">
                      <a:noFill/>
                      <a:miter lim="800000"/>
                      <a:headEnd/>
                      <a:tailEnd/>
                    </a:ln>
                  </pic:spPr>
                </pic:pic>
              </a:graphicData>
            </a:graphic>
          </wp:inline>
        </w:drawing>
      </w:r>
    </w:p>
    <w:p w:rsidR="00440ED6" w:rsidRPr="007F5722" w:rsidRDefault="009977C1" w:rsidP="006E72AD">
      <w:pPr>
        <w:shd w:val="clear" w:color="auto" w:fill="FFFFFF"/>
        <w:spacing w:after="0" w:line="360" w:lineRule="auto"/>
        <w:ind w:firstLine="709"/>
        <w:jc w:val="both"/>
        <w:rPr>
          <w:rFonts w:ascii="Times New Roman" w:hAnsi="Times New Roman"/>
          <w:sz w:val="28"/>
          <w:szCs w:val="28"/>
        </w:rPr>
      </w:pPr>
      <w:r w:rsidRPr="007F5722">
        <w:rPr>
          <w:rFonts w:ascii="Times New Roman" w:eastAsia="Times New Roman" w:hAnsi="Times New Roman" w:cs="Times New Roman"/>
          <w:color w:val="000000"/>
          <w:sz w:val="28"/>
          <w:szCs w:val="28"/>
        </w:rPr>
        <w:t>Рис.3.1.8</w:t>
      </w:r>
      <w:r w:rsidR="00E85B0E" w:rsidRPr="007F5722">
        <w:rPr>
          <w:rFonts w:ascii="Times New Roman" w:eastAsia="Times New Roman" w:hAnsi="Times New Roman" w:cs="Times New Roman"/>
          <w:color w:val="000000"/>
          <w:sz w:val="28"/>
          <w:szCs w:val="28"/>
        </w:rPr>
        <w:t>.</w:t>
      </w:r>
      <w:r w:rsidR="00440ED6" w:rsidRPr="007F5722">
        <w:rPr>
          <w:rFonts w:ascii="Times New Roman" w:eastAsia="Times New Roman" w:hAnsi="Times New Roman" w:cs="Times New Roman"/>
          <w:color w:val="000000"/>
          <w:sz w:val="28"/>
          <w:szCs w:val="28"/>
        </w:rPr>
        <w:t xml:space="preserve"> </w:t>
      </w:r>
      <w:r w:rsidR="00726BD0" w:rsidRPr="007F5722">
        <w:rPr>
          <w:rFonts w:ascii="Times New Roman" w:hAnsi="Times New Roman"/>
          <w:sz w:val="28"/>
          <w:szCs w:val="28"/>
        </w:rPr>
        <w:t xml:space="preserve">Вміст ІЛ-22 </w:t>
      </w:r>
      <w:r w:rsidR="00686900">
        <w:rPr>
          <w:rFonts w:ascii="Times New Roman" w:hAnsi="Times New Roman"/>
          <w:sz w:val="28"/>
          <w:szCs w:val="28"/>
        </w:rPr>
        <w:t>у</w:t>
      </w:r>
      <w:r w:rsidR="00726BD0" w:rsidRPr="007F5722">
        <w:rPr>
          <w:rFonts w:ascii="Times New Roman" w:hAnsi="Times New Roman"/>
          <w:sz w:val="28"/>
          <w:szCs w:val="28"/>
        </w:rPr>
        <w:t xml:space="preserve"> </w:t>
      </w:r>
      <w:r w:rsidR="00686900">
        <w:rPr>
          <w:rFonts w:ascii="Times New Roman" w:hAnsi="Times New Roman"/>
          <w:sz w:val="28"/>
          <w:szCs w:val="28"/>
        </w:rPr>
        <w:t>плазмі</w:t>
      </w:r>
      <w:r w:rsidR="00726BD0" w:rsidRPr="007F5722">
        <w:rPr>
          <w:rFonts w:ascii="Times New Roman" w:hAnsi="Times New Roman"/>
          <w:sz w:val="28"/>
          <w:szCs w:val="28"/>
        </w:rPr>
        <w:t xml:space="preserve"> крові у досліджених хворих</w:t>
      </w:r>
    </w:p>
    <w:p w:rsidR="009A3CEA" w:rsidRPr="007F5722" w:rsidRDefault="009A3CEA" w:rsidP="006E72AD">
      <w:pPr>
        <w:shd w:val="clear" w:color="auto" w:fill="FFFFFF"/>
        <w:spacing w:after="0" w:line="360" w:lineRule="auto"/>
        <w:ind w:firstLine="709"/>
        <w:jc w:val="both"/>
        <w:rPr>
          <w:rFonts w:ascii="Times New Roman" w:hAnsi="Times New Roman"/>
          <w:sz w:val="28"/>
          <w:szCs w:val="28"/>
        </w:rPr>
      </w:pPr>
    </w:p>
    <w:p w:rsidR="00726BD0" w:rsidRPr="007F5722" w:rsidRDefault="00726BD0" w:rsidP="006E72AD">
      <w:pPr>
        <w:shd w:val="clear" w:color="auto" w:fill="FFFFFF"/>
        <w:spacing w:after="0" w:line="360" w:lineRule="auto"/>
        <w:ind w:firstLine="709"/>
        <w:jc w:val="both"/>
        <w:rPr>
          <w:rFonts w:ascii="Times New Roman" w:hAnsi="Times New Roman"/>
          <w:sz w:val="28"/>
          <w:szCs w:val="28"/>
        </w:rPr>
      </w:pPr>
      <w:r w:rsidRPr="007F5722">
        <w:rPr>
          <w:rFonts w:ascii="Times New Roman" w:hAnsi="Times New Roman"/>
          <w:sz w:val="28"/>
          <w:szCs w:val="28"/>
        </w:rPr>
        <w:t xml:space="preserve">Нами отримані дані, що свідчать про достовірно вищій рівень ІЛ-22 у пацієнтів хворих на ГХ з АО (30,82 (28,43; 49,26) пг/мл) порівняно з пацієнтами хворими на ГХ без АО 2 (26,95 (23,22; 29,61) пг/мл); (р&lt;0,001). А </w:t>
      </w:r>
      <w:r w:rsidRPr="007F5722">
        <w:rPr>
          <w:rFonts w:ascii="Times New Roman" w:hAnsi="Times New Roman"/>
          <w:sz w:val="28"/>
          <w:szCs w:val="28"/>
        </w:rPr>
        <w:lastRenderedPageBreak/>
        <w:t>також</w:t>
      </w:r>
      <w:r w:rsidRPr="007F5722">
        <w:rPr>
          <w:rFonts w:ascii="Times New Roman" w:hAnsi="Times New Roman"/>
          <w:color w:val="0070C0"/>
          <w:sz w:val="28"/>
          <w:szCs w:val="28"/>
        </w:rPr>
        <w:t xml:space="preserve"> </w:t>
      </w:r>
      <w:r w:rsidRPr="007F5722">
        <w:rPr>
          <w:rFonts w:ascii="Times New Roman" w:hAnsi="Times New Roman"/>
          <w:sz w:val="28"/>
          <w:szCs w:val="28"/>
        </w:rPr>
        <w:t>відзначено, що вміст ІЛ-22 в обох групах хворих значно та достовірно перевищував вміст у групі контролю (19,81 (18,77; 20,15) пг/мл); (р&lt;0,05).</w:t>
      </w:r>
    </w:p>
    <w:p w:rsidR="00726BD0" w:rsidRPr="007F5722" w:rsidRDefault="00726BD0" w:rsidP="006E72AD">
      <w:pPr>
        <w:shd w:val="clear" w:color="auto" w:fill="FFFFFF"/>
        <w:spacing w:after="0" w:line="360" w:lineRule="auto"/>
        <w:ind w:firstLine="709"/>
        <w:jc w:val="both"/>
        <w:rPr>
          <w:rFonts w:ascii="Times New Roman" w:hAnsi="Times New Roman"/>
          <w:sz w:val="28"/>
          <w:szCs w:val="28"/>
        </w:rPr>
      </w:pPr>
      <w:r w:rsidRPr="007F5722">
        <w:rPr>
          <w:rFonts w:ascii="Times New Roman" w:hAnsi="Times New Roman"/>
          <w:sz w:val="28"/>
          <w:szCs w:val="28"/>
        </w:rPr>
        <w:t>При порівнянні показників концентрації ІЛ-22 серед чоловіків у групі хворих на ГХ з АО (51,64 (35,23; 53,02) пг/мл) та у групі хворих на ГХ без АО (28,84 (23,73; 31,61) пг/мл), вони виявились достовірно вищими у чоловіків хворих на ГХ в поєднанні з АО (р&lt;0,05). Порівнюючи рівні ІЛ-22 у чоловіків в основних групах хворих з чоловіками контрольної групи (20,15 (20,07; 20,62) пг/мл), встановлено достовірно вищий рівень ІЛ-22 у чоловіків в основних групах (р&lt;0,05), що графічно відображено на рисунку 3.1.</w:t>
      </w:r>
      <w:r w:rsidR="009977C1" w:rsidRPr="007F5722">
        <w:rPr>
          <w:rFonts w:ascii="Times New Roman" w:hAnsi="Times New Roman"/>
          <w:sz w:val="28"/>
          <w:szCs w:val="28"/>
        </w:rPr>
        <w:t>9</w:t>
      </w:r>
      <w:r w:rsidRPr="007F5722">
        <w:rPr>
          <w:rFonts w:ascii="Times New Roman" w:hAnsi="Times New Roman"/>
          <w:sz w:val="28"/>
          <w:szCs w:val="28"/>
        </w:rPr>
        <w:t>.</w:t>
      </w:r>
    </w:p>
    <w:p w:rsidR="00726BD0" w:rsidRPr="007F5722" w:rsidRDefault="00726BD0" w:rsidP="006E72AD">
      <w:pPr>
        <w:shd w:val="clear" w:color="auto" w:fill="FFFFFF"/>
        <w:spacing w:after="0" w:line="360" w:lineRule="auto"/>
        <w:ind w:firstLine="709"/>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noProof/>
          <w:color w:val="000000"/>
          <w:sz w:val="28"/>
          <w:szCs w:val="28"/>
          <w:lang w:val="ru-RU" w:eastAsia="ru-RU"/>
        </w:rPr>
        <w:drawing>
          <wp:inline distT="0" distB="0" distL="0" distR="0">
            <wp:extent cx="4419600" cy="2880360"/>
            <wp:effectExtent l="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srcRect/>
                    <a:stretch>
                      <a:fillRect/>
                    </a:stretch>
                  </pic:blipFill>
                  <pic:spPr bwMode="auto">
                    <a:xfrm>
                      <a:off x="0" y="0"/>
                      <a:ext cx="4419600" cy="2880360"/>
                    </a:xfrm>
                    <a:prstGeom prst="rect">
                      <a:avLst/>
                    </a:prstGeom>
                    <a:noFill/>
                    <a:ln w="9525">
                      <a:noFill/>
                      <a:miter lim="800000"/>
                      <a:headEnd/>
                      <a:tailEnd/>
                    </a:ln>
                  </pic:spPr>
                </pic:pic>
              </a:graphicData>
            </a:graphic>
          </wp:inline>
        </w:drawing>
      </w:r>
    </w:p>
    <w:p w:rsidR="00726BD0" w:rsidRPr="007F5722" w:rsidRDefault="009977C1" w:rsidP="00726BD0">
      <w:pPr>
        <w:spacing w:line="360" w:lineRule="auto"/>
        <w:ind w:firstLine="709"/>
        <w:rPr>
          <w:rFonts w:ascii="Times New Roman" w:hAnsi="Times New Roman"/>
          <w:sz w:val="28"/>
          <w:szCs w:val="28"/>
        </w:rPr>
      </w:pPr>
      <w:r w:rsidRPr="007F5722">
        <w:rPr>
          <w:rFonts w:ascii="Times New Roman" w:eastAsia="Times New Roman" w:hAnsi="Times New Roman" w:cs="Times New Roman"/>
          <w:color w:val="000000"/>
          <w:sz w:val="28"/>
          <w:szCs w:val="28"/>
        </w:rPr>
        <w:t>Рис. 3.1.9</w:t>
      </w:r>
      <w:r w:rsidR="00E85B0E" w:rsidRPr="007F5722">
        <w:rPr>
          <w:rFonts w:ascii="Times New Roman" w:eastAsia="Times New Roman" w:hAnsi="Times New Roman" w:cs="Times New Roman"/>
          <w:color w:val="000000"/>
          <w:sz w:val="28"/>
          <w:szCs w:val="28"/>
        </w:rPr>
        <w:t>.</w:t>
      </w:r>
      <w:r w:rsidR="00726BD0" w:rsidRPr="007F5722">
        <w:rPr>
          <w:rFonts w:ascii="Times New Roman" w:eastAsia="Times New Roman" w:hAnsi="Times New Roman" w:cs="Times New Roman"/>
          <w:color w:val="000000"/>
          <w:sz w:val="28"/>
          <w:szCs w:val="28"/>
        </w:rPr>
        <w:t xml:space="preserve"> </w:t>
      </w:r>
      <w:r w:rsidR="00726BD0" w:rsidRPr="007F5722">
        <w:rPr>
          <w:rFonts w:ascii="Times New Roman" w:hAnsi="Times New Roman"/>
          <w:sz w:val="28"/>
          <w:szCs w:val="28"/>
        </w:rPr>
        <w:t xml:space="preserve">Вміст ІЛ-22 </w:t>
      </w:r>
      <w:r w:rsidR="00686900">
        <w:rPr>
          <w:rFonts w:ascii="Times New Roman" w:hAnsi="Times New Roman"/>
          <w:sz w:val="28"/>
          <w:szCs w:val="28"/>
        </w:rPr>
        <w:t>у плазмі</w:t>
      </w:r>
      <w:r w:rsidR="00726BD0" w:rsidRPr="007F5722">
        <w:rPr>
          <w:rFonts w:ascii="Times New Roman" w:hAnsi="Times New Roman"/>
          <w:sz w:val="28"/>
          <w:szCs w:val="28"/>
        </w:rPr>
        <w:t xml:space="preserve"> крові чоловіків у групах хворих на ГХ та групі контролю.</w:t>
      </w:r>
    </w:p>
    <w:p w:rsidR="009A3CEA" w:rsidRPr="007F5722" w:rsidRDefault="009A3CEA" w:rsidP="00726BD0">
      <w:pPr>
        <w:spacing w:line="360" w:lineRule="auto"/>
        <w:ind w:firstLine="709"/>
        <w:rPr>
          <w:rFonts w:ascii="Times New Roman" w:hAnsi="Times New Roman"/>
          <w:sz w:val="28"/>
          <w:szCs w:val="28"/>
        </w:rPr>
      </w:pPr>
    </w:p>
    <w:p w:rsidR="00726BD0" w:rsidRPr="007F5722" w:rsidRDefault="00726BD0" w:rsidP="006E72AD">
      <w:pPr>
        <w:shd w:val="clear" w:color="auto" w:fill="FFFFFF"/>
        <w:spacing w:after="0" w:line="360" w:lineRule="auto"/>
        <w:ind w:firstLine="709"/>
        <w:jc w:val="both"/>
        <w:rPr>
          <w:rFonts w:ascii="Times New Roman" w:hAnsi="Times New Roman"/>
          <w:sz w:val="28"/>
          <w:szCs w:val="28"/>
        </w:rPr>
      </w:pPr>
      <w:r w:rsidRPr="007F5722">
        <w:rPr>
          <w:rFonts w:ascii="Times New Roman" w:hAnsi="Times New Roman"/>
          <w:sz w:val="28"/>
          <w:szCs w:val="28"/>
        </w:rPr>
        <w:t xml:space="preserve">Жінки хворі на ГХ з АО також характеризувалися достовірно вищими показниками рівню ІЛ-22 </w:t>
      </w:r>
      <w:r w:rsidR="00686900">
        <w:rPr>
          <w:rFonts w:ascii="Times New Roman" w:hAnsi="Times New Roman"/>
          <w:sz w:val="28"/>
          <w:szCs w:val="28"/>
        </w:rPr>
        <w:t>у плазмі</w:t>
      </w:r>
      <w:r w:rsidRPr="007F5722">
        <w:rPr>
          <w:rFonts w:ascii="Times New Roman" w:hAnsi="Times New Roman"/>
          <w:sz w:val="28"/>
          <w:szCs w:val="28"/>
        </w:rPr>
        <w:t xml:space="preserve"> крові (29,21 (28,22; 39,95) пг/мл) в порівнянні з жінками хворими на ГХ без ознак АО (24,93 (22,54; 27,49) пг/мл); (р&lt;0,05). При порівнянні вмісту ІЛ-22 у жінок в основних групах з групою контролю (18,93 (18,66; 19,81) пг/мл), він виявився значно та достовірно вищим у жінок в основних групах (р&lt;0,05). </w:t>
      </w:r>
      <w:r w:rsidR="00FF0A67" w:rsidRPr="007F5722">
        <w:rPr>
          <w:rFonts w:ascii="Times New Roman" w:hAnsi="Times New Roman"/>
          <w:sz w:val="28"/>
          <w:szCs w:val="28"/>
        </w:rPr>
        <w:t>Отримані дані графіч</w:t>
      </w:r>
      <w:r w:rsidR="009977C1" w:rsidRPr="007F5722">
        <w:rPr>
          <w:rFonts w:ascii="Times New Roman" w:hAnsi="Times New Roman"/>
          <w:sz w:val="28"/>
          <w:szCs w:val="28"/>
        </w:rPr>
        <w:t>но представлені на рисунку 3.1.10</w:t>
      </w:r>
      <w:r w:rsidR="00FF0A67" w:rsidRPr="007F5722">
        <w:rPr>
          <w:rFonts w:ascii="Times New Roman" w:hAnsi="Times New Roman"/>
          <w:sz w:val="28"/>
          <w:szCs w:val="28"/>
        </w:rPr>
        <w:t>.</w:t>
      </w:r>
    </w:p>
    <w:p w:rsidR="00FF0A67" w:rsidRPr="007F5722" w:rsidRDefault="00FF0A67" w:rsidP="006E72AD">
      <w:pPr>
        <w:shd w:val="clear" w:color="auto" w:fill="FFFFFF"/>
        <w:spacing w:after="0" w:line="360" w:lineRule="auto"/>
        <w:ind w:firstLine="709"/>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noProof/>
          <w:color w:val="000000"/>
          <w:sz w:val="28"/>
          <w:szCs w:val="28"/>
          <w:lang w:val="ru-RU" w:eastAsia="ru-RU"/>
        </w:rPr>
        <w:lastRenderedPageBreak/>
        <w:drawing>
          <wp:inline distT="0" distB="0" distL="0" distR="0">
            <wp:extent cx="4450080" cy="2956560"/>
            <wp:effectExtent l="0" t="0" r="7620" b="0"/>
            <wp:docPr id="1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srcRect/>
                    <a:stretch>
                      <a:fillRect/>
                    </a:stretch>
                  </pic:blipFill>
                  <pic:spPr bwMode="auto">
                    <a:xfrm>
                      <a:off x="0" y="0"/>
                      <a:ext cx="4450080" cy="2956560"/>
                    </a:xfrm>
                    <a:prstGeom prst="rect">
                      <a:avLst/>
                    </a:prstGeom>
                    <a:noFill/>
                    <a:ln w="9525">
                      <a:noFill/>
                      <a:miter lim="800000"/>
                      <a:headEnd/>
                      <a:tailEnd/>
                    </a:ln>
                  </pic:spPr>
                </pic:pic>
              </a:graphicData>
            </a:graphic>
          </wp:inline>
        </w:drawing>
      </w:r>
    </w:p>
    <w:p w:rsidR="00153EB9" w:rsidRPr="007F5722" w:rsidRDefault="009977C1" w:rsidP="006E72AD">
      <w:pPr>
        <w:shd w:val="clear" w:color="auto" w:fill="FFFFFF"/>
        <w:spacing w:after="0" w:line="360" w:lineRule="auto"/>
        <w:ind w:firstLine="709"/>
        <w:jc w:val="both"/>
        <w:rPr>
          <w:rFonts w:ascii="Times New Roman" w:hAnsi="Times New Roman"/>
          <w:sz w:val="28"/>
          <w:szCs w:val="28"/>
        </w:rPr>
      </w:pPr>
      <w:r w:rsidRPr="007F5722">
        <w:rPr>
          <w:rFonts w:ascii="Times New Roman" w:eastAsia="Times New Roman" w:hAnsi="Times New Roman" w:cs="Times New Roman"/>
          <w:color w:val="000000"/>
          <w:sz w:val="28"/>
          <w:szCs w:val="28"/>
        </w:rPr>
        <w:t>Рис. 3.1.10</w:t>
      </w:r>
      <w:r w:rsidR="00E85B0E" w:rsidRPr="007F5722">
        <w:rPr>
          <w:rFonts w:ascii="Times New Roman" w:eastAsia="Times New Roman" w:hAnsi="Times New Roman" w:cs="Times New Roman"/>
          <w:color w:val="000000"/>
          <w:sz w:val="28"/>
          <w:szCs w:val="28"/>
        </w:rPr>
        <w:t>.</w:t>
      </w:r>
      <w:r w:rsidR="00153EB9" w:rsidRPr="007F5722">
        <w:rPr>
          <w:rFonts w:ascii="Times New Roman" w:eastAsia="Times New Roman" w:hAnsi="Times New Roman" w:cs="Times New Roman"/>
          <w:color w:val="000000"/>
          <w:sz w:val="28"/>
          <w:szCs w:val="28"/>
        </w:rPr>
        <w:t xml:space="preserve"> </w:t>
      </w:r>
      <w:r w:rsidR="00153EB9" w:rsidRPr="007F5722">
        <w:rPr>
          <w:rFonts w:ascii="Times New Roman" w:hAnsi="Times New Roman"/>
          <w:sz w:val="28"/>
          <w:szCs w:val="28"/>
        </w:rPr>
        <w:t xml:space="preserve">Вміст ІЛ-22 </w:t>
      </w:r>
      <w:r w:rsidR="00686900">
        <w:rPr>
          <w:rFonts w:ascii="Times New Roman" w:hAnsi="Times New Roman"/>
          <w:sz w:val="28"/>
          <w:szCs w:val="28"/>
        </w:rPr>
        <w:t>у плазмі</w:t>
      </w:r>
      <w:r w:rsidR="00153EB9" w:rsidRPr="007F5722">
        <w:rPr>
          <w:rFonts w:ascii="Times New Roman" w:hAnsi="Times New Roman"/>
          <w:sz w:val="28"/>
          <w:szCs w:val="28"/>
        </w:rPr>
        <w:t xml:space="preserve"> крові жінок у групах хворих на ГХ та групі контролю.</w:t>
      </w:r>
    </w:p>
    <w:p w:rsidR="009A3CEA" w:rsidRPr="007F5722" w:rsidRDefault="009A3CEA" w:rsidP="006E72AD">
      <w:pPr>
        <w:shd w:val="clear" w:color="auto" w:fill="FFFFFF"/>
        <w:spacing w:after="0" w:line="360" w:lineRule="auto"/>
        <w:ind w:firstLine="709"/>
        <w:jc w:val="both"/>
        <w:rPr>
          <w:rFonts w:ascii="Times New Roman" w:hAnsi="Times New Roman"/>
          <w:sz w:val="28"/>
          <w:szCs w:val="28"/>
        </w:rPr>
      </w:pPr>
    </w:p>
    <w:p w:rsidR="00B4214B" w:rsidRPr="007F5722" w:rsidRDefault="00B4214B" w:rsidP="00B4214B">
      <w:pPr>
        <w:spacing w:line="360" w:lineRule="auto"/>
        <w:ind w:firstLine="709"/>
        <w:rPr>
          <w:rFonts w:ascii="Times New Roman" w:hAnsi="Times New Roman"/>
          <w:sz w:val="28"/>
          <w:szCs w:val="28"/>
        </w:rPr>
      </w:pPr>
      <w:r w:rsidRPr="007F5722">
        <w:rPr>
          <w:rFonts w:ascii="Times New Roman" w:hAnsi="Times New Roman"/>
          <w:sz w:val="28"/>
          <w:szCs w:val="28"/>
        </w:rPr>
        <w:t>При зіставленні рівню ІЛ-22 в групах хворих та контрольній групі залежно від статі нами відзначено достовірно вищі рівні ІЛ-22 у чоловіків всіх груп, що аналізувалися. Отриман</w:t>
      </w:r>
      <w:r w:rsidR="009977C1" w:rsidRPr="007F5722">
        <w:rPr>
          <w:rFonts w:ascii="Times New Roman" w:hAnsi="Times New Roman"/>
          <w:sz w:val="28"/>
          <w:szCs w:val="28"/>
        </w:rPr>
        <w:t>і дані наведено на рисунку 3.1.11</w:t>
      </w:r>
      <w:r w:rsidRPr="007F5722">
        <w:rPr>
          <w:rFonts w:ascii="Times New Roman" w:hAnsi="Times New Roman"/>
          <w:sz w:val="28"/>
          <w:szCs w:val="28"/>
        </w:rPr>
        <w:t>.</w:t>
      </w:r>
    </w:p>
    <w:p w:rsidR="00B4214B" w:rsidRPr="007F5722" w:rsidRDefault="00B4214B" w:rsidP="00B4214B">
      <w:pPr>
        <w:spacing w:line="360" w:lineRule="auto"/>
        <w:ind w:firstLine="709"/>
        <w:rPr>
          <w:rFonts w:ascii="Times New Roman" w:hAnsi="Times New Roman"/>
          <w:sz w:val="28"/>
          <w:szCs w:val="28"/>
        </w:rPr>
      </w:pPr>
      <w:r w:rsidRPr="007F5722">
        <w:rPr>
          <w:rFonts w:ascii="Times New Roman" w:hAnsi="Times New Roman"/>
          <w:noProof/>
          <w:sz w:val="28"/>
          <w:szCs w:val="28"/>
          <w:lang w:val="ru-RU" w:eastAsia="ru-RU"/>
        </w:rPr>
        <w:drawing>
          <wp:inline distT="0" distB="0" distL="0" distR="0">
            <wp:extent cx="4411980" cy="2834640"/>
            <wp:effectExtent l="0" t="0" r="7620" b="3810"/>
            <wp:docPr id="1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srcRect/>
                    <a:stretch>
                      <a:fillRect/>
                    </a:stretch>
                  </pic:blipFill>
                  <pic:spPr bwMode="auto">
                    <a:xfrm>
                      <a:off x="0" y="0"/>
                      <a:ext cx="4411980" cy="2834640"/>
                    </a:xfrm>
                    <a:prstGeom prst="rect">
                      <a:avLst/>
                    </a:prstGeom>
                    <a:noFill/>
                    <a:ln w="9525">
                      <a:noFill/>
                      <a:miter lim="800000"/>
                      <a:headEnd/>
                      <a:tailEnd/>
                    </a:ln>
                  </pic:spPr>
                </pic:pic>
              </a:graphicData>
            </a:graphic>
          </wp:inline>
        </w:drawing>
      </w:r>
    </w:p>
    <w:p w:rsidR="00B4214B" w:rsidRPr="007F5722" w:rsidRDefault="00B4214B" w:rsidP="00B4214B">
      <w:pPr>
        <w:spacing w:line="360" w:lineRule="auto"/>
        <w:ind w:firstLine="709"/>
        <w:rPr>
          <w:rFonts w:ascii="Times New Roman" w:hAnsi="Times New Roman"/>
          <w:sz w:val="28"/>
          <w:szCs w:val="28"/>
        </w:rPr>
      </w:pPr>
      <w:r w:rsidRPr="007F5722">
        <w:rPr>
          <w:rFonts w:ascii="Times New Roman" w:hAnsi="Times New Roman"/>
          <w:sz w:val="28"/>
          <w:szCs w:val="28"/>
        </w:rPr>
        <w:t>Рис.3.1.</w:t>
      </w:r>
      <w:r w:rsidR="009977C1" w:rsidRPr="007F5722">
        <w:rPr>
          <w:rFonts w:ascii="Times New Roman" w:hAnsi="Times New Roman"/>
          <w:sz w:val="28"/>
          <w:szCs w:val="28"/>
        </w:rPr>
        <w:t>11</w:t>
      </w:r>
      <w:r w:rsidR="00E85B0E" w:rsidRPr="007F5722">
        <w:rPr>
          <w:rFonts w:ascii="Times New Roman" w:hAnsi="Times New Roman"/>
          <w:sz w:val="28"/>
          <w:szCs w:val="28"/>
        </w:rPr>
        <w:t>.</w:t>
      </w:r>
      <w:r w:rsidRPr="007F5722">
        <w:rPr>
          <w:rFonts w:ascii="Times New Roman" w:hAnsi="Times New Roman"/>
          <w:sz w:val="28"/>
          <w:szCs w:val="28"/>
        </w:rPr>
        <w:t xml:space="preserve"> Вміст ІЛ-22 </w:t>
      </w:r>
      <w:r w:rsidR="00686900">
        <w:rPr>
          <w:rFonts w:ascii="Times New Roman" w:hAnsi="Times New Roman"/>
          <w:sz w:val="28"/>
          <w:szCs w:val="28"/>
        </w:rPr>
        <w:t>у плазмі</w:t>
      </w:r>
      <w:r w:rsidRPr="007F5722">
        <w:rPr>
          <w:rFonts w:ascii="Times New Roman" w:hAnsi="Times New Roman"/>
          <w:sz w:val="28"/>
          <w:szCs w:val="28"/>
        </w:rPr>
        <w:t xml:space="preserve"> крові хворих основних груп та групи контролю залежно від статі.</w:t>
      </w:r>
    </w:p>
    <w:p w:rsidR="00153EB9" w:rsidRPr="007F5722" w:rsidRDefault="00B4214B" w:rsidP="006E72AD">
      <w:pPr>
        <w:shd w:val="clear" w:color="auto" w:fill="FFFFFF"/>
        <w:spacing w:after="0" w:line="360" w:lineRule="auto"/>
        <w:ind w:firstLine="709"/>
        <w:jc w:val="both"/>
        <w:rPr>
          <w:rFonts w:ascii="Times New Roman" w:hAnsi="Times New Roman"/>
          <w:sz w:val="28"/>
          <w:szCs w:val="28"/>
        </w:rPr>
      </w:pPr>
      <w:r w:rsidRPr="007F5722">
        <w:rPr>
          <w:rFonts w:ascii="Times New Roman" w:hAnsi="Times New Roman"/>
          <w:sz w:val="28"/>
          <w:szCs w:val="28"/>
        </w:rPr>
        <w:lastRenderedPageBreak/>
        <w:t>Так, у групі хворих на ГХ в поєднанні з АО рівень ІЛ-22 чоловіків становив - 51,64 (35,23; 53,02) пг/мл проти жінок – 29,21 (28,22; 39,95) пг/мл; р&lt;0,05. У групі хворих з ізольованою ГХ вміст ІЛ-22 у чоловіків - 28,84 (23,73; 31,61) пг/мл також перевищував рівень ІЛ-22 у жінок – 24,93 (22,54; 27,49) пг/мл; р&lt;0,05. У контрольній групі також мали місце подібні розбіжності, тобто рівень ІЛ-22 у чоловіків – 20,15 (20,07; 20,62) пг/мл був достовірно вищим за жінок – 18,93 (18,66; 19,81) пг/мл; р&lt;0,05.</w:t>
      </w:r>
    </w:p>
    <w:p w:rsidR="00683E50" w:rsidRPr="007F5722" w:rsidRDefault="00683E50" w:rsidP="006E72AD">
      <w:pPr>
        <w:shd w:val="clear" w:color="auto" w:fill="FFFFFF"/>
        <w:spacing w:after="0" w:line="360" w:lineRule="auto"/>
        <w:ind w:firstLine="709"/>
        <w:jc w:val="both"/>
        <w:rPr>
          <w:rFonts w:ascii="Times New Roman" w:hAnsi="Times New Roman"/>
          <w:sz w:val="28"/>
          <w:szCs w:val="28"/>
        </w:rPr>
      </w:pPr>
      <w:r w:rsidRPr="007F5722">
        <w:rPr>
          <w:rFonts w:ascii="Times New Roman" w:hAnsi="Times New Roman"/>
          <w:sz w:val="28"/>
          <w:szCs w:val="28"/>
        </w:rPr>
        <w:t>Кореляційний аналіз взаємозв</w:t>
      </w:r>
      <w:r w:rsidRPr="007F5722">
        <w:rPr>
          <w:rFonts w:ascii="Times New Roman" w:hAnsi="Times New Roman"/>
          <w:sz w:val="28"/>
          <w:szCs w:val="28"/>
          <w:lang w:val="ru-RU"/>
        </w:rPr>
        <w:t>’</w:t>
      </w:r>
      <w:r w:rsidRPr="007F5722">
        <w:rPr>
          <w:rFonts w:ascii="Times New Roman" w:hAnsi="Times New Roman"/>
          <w:sz w:val="28"/>
          <w:szCs w:val="28"/>
        </w:rPr>
        <w:t>язків ІЛ-22 з антропометричними та г</w:t>
      </w:r>
      <w:r w:rsidR="00864156" w:rsidRPr="007F5722">
        <w:rPr>
          <w:rFonts w:ascii="Times New Roman" w:hAnsi="Times New Roman"/>
          <w:sz w:val="28"/>
          <w:szCs w:val="28"/>
        </w:rPr>
        <w:t>емо</w:t>
      </w:r>
      <w:r w:rsidRPr="007F5722">
        <w:rPr>
          <w:rFonts w:ascii="Times New Roman" w:hAnsi="Times New Roman"/>
          <w:sz w:val="28"/>
          <w:szCs w:val="28"/>
        </w:rPr>
        <w:t>динамічними показниками наведений у таблицях 3.1.6 та 3.1.7.</w:t>
      </w:r>
    </w:p>
    <w:p w:rsidR="00683E50" w:rsidRPr="007F5722" w:rsidRDefault="00864156" w:rsidP="00864156">
      <w:pPr>
        <w:shd w:val="clear" w:color="auto" w:fill="FFFFFF"/>
        <w:spacing w:after="0" w:line="360" w:lineRule="auto"/>
        <w:ind w:firstLine="709"/>
        <w:jc w:val="both"/>
        <w:rPr>
          <w:rFonts w:ascii="Times New Roman" w:hAnsi="Times New Roman"/>
          <w:sz w:val="28"/>
          <w:szCs w:val="28"/>
        </w:rPr>
      </w:pPr>
      <w:r w:rsidRPr="007F5722">
        <w:rPr>
          <w:rFonts w:ascii="Times New Roman" w:hAnsi="Times New Roman"/>
          <w:sz w:val="28"/>
          <w:szCs w:val="28"/>
        </w:rPr>
        <w:t>Нами виявлено більшу кількість та більш щільні взаємозв’язки між рівнем ІЛ-22 та гемодинамічними та антропометричними показниками у групі пацієнтів хворих на ГХ з АО в порівнянні з пацієнтами з ГХ без АО.</w:t>
      </w:r>
    </w:p>
    <w:p w:rsidR="00683E50" w:rsidRPr="007F5722" w:rsidRDefault="00683E50" w:rsidP="00AB6B67">
      <w:pPr>
        <w:shd w:val="clear" w:color="auto" w:fill="FFFFFF"/>
        <w:spacing w:after="0" w:line="360" w:lineRule="auto"/>
        <w:rPr>
          <w:rFonts w:ascii="Times New Roman" w:hAnsi="Times New Roman"/>
          <w:sz w:val="28"/>
          <w:szCs w:val="28"/>
        </w:rPr>
      </w:pPr>
    </w:p>
    <w:p w:rsidR="00683E50" w:rsidRPr="007F5722" w:rsidRDefault="00683E50" w:rsidP="00683E50">
      <w:pPr>
        <w:shd w:val="clear" w:color="auto" w:fill="FFFFFF"/>
        <w:spacing w:after="0" w:line="360" w:lineRule="auto"/>
        <w:ind w:firstLine="709"/>
        <w:jc w:val="right"/>
        <w:rPr>
          <w:rFonts w:ascii="Times New Roman" w:hAnsi="Times New Roman"/>
          <w:sz w:val="28"/>
          <w:szCs w:val="28"/>
        </w:rPr>
      </w:pPr>
      <w:r w:rsidRPr="007F5722">
        <w:rPr>
          <w:rFonts w:ascii="Times New Roman" w:hAnsi="Times New Roman"/>
          <w:sz w:val="28"/>
          <w:szCs w:val="28"/>
        </w:rPr>
        <w:t>Таблиця 3.1.6</w:t>
      </w:r>
    </w:p>
    <w:p w:rsidR="00683E50" w:rsidRPr="007F5722" w:rsidRDefault="00683E50" w:rsidP="00683E5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Кореляційні взаємозв’язки між ІЛ-22, гемодинамічними та антропометричними показниками у пацієнтів хворих на ГХ з абдомінальним ожирінням</w:t>
      </w:r>
    </w:p>
    <w:tbl>
      <w:tblPr>
        <w:tblStyle w:val="a9"/>
        <w:tblW w:w="0" w:type="auto"/>
        <w:tblLook w:val="04A0" w:firstRow="1" w:lastRow="0" w:firstColumn="1" w:lastColumn="0" w:noHBand="0" w:noVBand="1"/>
      </w:tblPr>
      <w:tblGrid>
        <w:gridCol w:w="2361"/>
        <w:gridCol w:w="2314"/>
        <w:gridCol w:w="2335"/>
        <w:gridCol w:w="2335"/>
      </w:tblGrid>
      <w:tr w:rsidR="00683E50" w:rsidRPr="007F5722" w:rsidTr="00F72A31">
        <w:tc>
          <w:tcPr>
            <w:tcW w:w="2392" w:type="dxa"/>
          </w:tcPr>
          <w:p w:rsidR="00683E50" w:rsidRPr="007F5722" w:rsidRDefault="00683E5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Показник</w:t>
            </w:r>
          </w:p>
        </w:tc>
        <w:tc>
          <w:tcPr>
            <w:tcW w:w="2393" w:type="dxa"/>
          </w:tcPr>
          <w:p w:rsidR="00683E50" w:rsidRPr="007F5722" w:rsidRDefault="00683E5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N</w:t>
            </w:r>
          </w:p>
        </w:tc>
        <w:tc>
          <w:tcPr>
            <w:tcW w:w="2393" w:type="dxa"/>
          </w:tcPr>
          <w:p w:rsidR="00683E50" w:rsidRPr="007F5722" w:rsidRDefault="00683E5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R</w:t>
            </w:r>
          </w:p>
        </w:tc>
        <w:tc>
          <w:tcPr>
            <w:tcW w:w="2393" w:type="dxa"/>
          </w:tcPr>
          <w:p w:rsidR="00683E50" w:rsidRPr="007F5722" w:rsidRDefault="00683E50" w:rsidP="00F72A31">
            <w:pPr>
              <w:spacing w:after="0" w:line="360" w:lineRule="auto"/>
              <w:jc w:val="both"/>
              <w:rPr>
                <w:rFonts w:ascii="Times New Roman" w:eastAsia="Times New Roman" w:hAnsi="Times New Roman" w:cs="Times New Roman"/>
                <w:color w:val="000000"/>
                <w:sz w:val="28"/>
                <w:szCs w:val="28"/>
                <w:lang w:val="en-US"/>
              </w:rPr>
            </w:pPr>
            <w:r w:rsidRPr="007F5722">
              <w:rPr>
                <w:rFonts w:ascii="Times New Roman" w:eastAsia="Times New Roman" w:hAnsi="Times New Roman" w:cs="Times New Roman"/>
                <w:color w:val="000000"/>
                <w:sz w:val="28"/>
                <w:szCs w:val="28"/>
                <w:lang w:val="en-US"/>
              </w:rPr>
              <w:t>p-level</w:t>
            </w:r>
          </w:p>
        </w:tc>
      </w:tr>
      <w:tr w:rsidR="00683E50" w:rsidRPr="007F5722" w:rsidTr="00F72A31">
        <w:tc>
          <w:tcPr>
            <w:tcW w:w="2392" w:type="dxa"/>
          </w:tcPr>
          <w:p w:rsidR="00683E50" w:rsidRPr="007F5722" w:rsidRDefault="00683E5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САТ&amp;ІЛ-22</w:t>
            </w:r>
          </w:p>
        </w:tc>
        <w:tc>
          <w:tcPr>
            <w:tcW w:w="2393" w:type="dxa"/>
          </w:tcPr>
          <w:p w:rsidR="00683E50" w:rsidRPr="007F5722" w:rsidRDefault="00683E5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43</w:t>
            </w:r>
          </w:p>
        </w:tc>
        <w:tc>
          <w:tcPr>
            <w:tcW w:w="2393" w:type="dxa"/>
          </w:tcPr>
          <w:p w:rsidR="00683E50" w:rsidRPr="007F5722" w:rsidRDefault="00683E50" w:rsidP="00F72A31">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0,5174</w:t>
            </w:r>
          </w:p>
        </w:tc>
        <w:tc>
          <w:tcPr>
            <w:tcW w:w="2393" w:type="dxa"/>
          </w:tcPr>
          <w:p w:rsidR="00683E50" w:rsidRPr="007F5722" w:rsidRDefault="00683E50" w:rsidP="00683E50">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0,0001</w:t>
            </w:r>
          </w:p>
        </w:tc>
      </w:tr>
      <w:tr w:rsidR="00683E50" w:rsidRPr="007F5722" w:rsidTr="00F72A31">
        <w:tc>
          <w:tcPr>
            <w:tcW w:w="2392" w:type="dxa"/>
          </w:tcPr>
          <w:p w:rsidR="00683E50" w:rsidRPr="007F5722" w:rsidRDefault="00683E5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ДАТ&amp;ІЛ-22</w:t>
            </w:r>
          </w:p>
        </w:tc>
        <w:tc>
          <w:tcPr>
            <w:tcW w:w="2393" w:type="dxa"/>
          </w:tcPr>
          <w:p w:rsidR="00683E50" w:rsidRPr="007F5722" w:rsidRDefault="00683E5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43</w:t>
            </w:r>
          </w:p>
        </w:tc>
        <w:tc>
          <w:tcPr>
            <w:tcW w:w="2393" w:type="dxa"/>
          </w:tcPr>
          <w:p w:rsidR="00683E50" w:rsidRPr="007F5722" w:rsidRDefault="00683E5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0,2918</w:t>
            </w:r>
          </w:p>
        </w:tc>
        <w:tc>
          <w:tcPr>
            <w:tcW w:w="2393" w:type="dxa"/>
          </w:tcPr>
          <w:p w:rsidR="00683E50" w:rsidRPr="007F5722" w:rsidRDefault="00683E5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0,058</w:t>
            </w:r>
          </w:p>
        </w:tc>
      </w:tr>
      <w:tr w:rsidR="00683E50" w:rsidRPr="007F5722" w:rsidTr="00F72A31">
        <w:tc>
          <w:tcPr>
            <w:tcW w:w="2392" w:type="dxa"/>
          </w:tcPr>
          <w:p w:rsidR="00683E50" w:rsidRPr="007F5722" w:rsidRDefault="00683E5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ПАТ&amp;ІЛ-22</w:t>
            </w:r>
          </w:p>
        </w:tc>
        <w:tc>
          <w:tcPr>
            <w:tcW w:w="2393" w:type="dxa"/>
          </w:tcPr>
          <w:p w:rsidR="00683E50" w:rsidRPr="007F5722" w:rsidRDefault="00683E5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43</w:t>
            </w:r>
          </w:p>
        </w:tc>
        <w:tc>
          <w:tcPr>
            <w:tcW w:w="2393" w:type="dxa"/>
          </w:tcPr>
          <w:p w:rsidR="00683E50" w:rsidRPr="007F5722" w:rsidRDefault="00683E50" w:rsidP="00F72A31">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0,5381</w:t>
            </w:r>
          </w:p>
        </w:tc>
        <w:tc>
          <w:tcPr>
            <w:tcW w:w="2393" w:type="dxa"/>
          </w:tcPr>
          <w:p w:rsidR="00683E50" w:rsidRPr="007F5722" w:rsidRDefault="00683E50" w:rsidP="00F72A31">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0,0001</w:t>
            </w:r>
          </w:p>
        </w:tc>
      </w:tr>
      <w:tr w:rsidR="00683E50" w:rsidRPr="007F5722" w:rsidTr="00F72A31">
        <w:tc>
          <w:tcPr>
            <w:tcW w:w="2392" w:type="dxa"/>
          </w:tcPr>
          <w:p w:rsidR="00683E50" w:rsidRPr="007F5722" w:rsidRDefault="00683E5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Тривалість АГ&amp;ІЛ-22</w:t>
            </w:r>
          </w:p>
        </w:tc>
        <w:tc>
          <w:tcPr>
            <w:tcW w:w="2393" w:type="dxa"/>
          </w:tcPr>
          <w:p w:rsidR="00683E50" w:rsidRPr="007F5722" w:rsidRDefault="00683E5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43</w:t>
            </w:r>
          </w:p>
        </w:tc>
        <w:tc>
          <w:tcPr>
            <w:tcW w:w="2393" w:type="dxa"/>
          </w:tcPr>
          <w:p w:rsidR="00683E50" w:rsidRPr="007F5722" w:rsidRDefault="00683E5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-0,1872</w:t>
            </w:r>
          </w:p>
        </w:tc>
        <w:tc>
          <w:tcPr>
            <w:tcW w:w="2393" w:type="dxa"/>
          </w:tcPr>
          <w:p w:rsidR="00683E50" w:rsidRPr="007F5722" w:rsidRDefault="00683E5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0,229</w:t>
            </w:r>
          </w:p>
        </w:tc>
      </w:tr>
      <w:tr w:rsidR="00683E50" w:rsidRPr="007F5722" w:rsidTr="00F72A31">
        <w:tc>
          <w:tcPr>
            <w:tcW w:w="2392" w:type="dxa"/>
          </w:tcPr>
          <w:p w:rsidR="00683E50" w:rsidRPr="007F5722" w:rsidRDefault="00683E5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Маса тіла&amp;ІЛ-22</w:t>
            </w:r>
          </w:p>
        </w:tc>
        <w:tc>
          <w:tcPr>
            <w:tcW w:w="2393" w:type="dxa"/>
          </w:tcPr>
          <w:p w:rsidR="00683E50" w:rsidRPr="007F5722" w:rsidRDefault="00683E5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43</w:t>
            </w:r>
          </w:p>
        </w:tc>
        <w:tc>
          <w:tcPr>
            <w:tcW w:w="2393" w:type="dxa"/>
          </w:tcPr>
          <w:p w:rsidR="00683E50" w:rsidRPr="007F5722" w:rsidRDefault="00683E50" w:rsidP="00F72A31">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0,8099</w:t>
            </w:r>
          </w:p>
        </w:tc>
        <w:tc>
          <w:tcPr>
            <w:tcW w:w="2393" w:type="dxa"/>
          </w:tcPr>
          <w:p w:rsidR="00683E50" w:rsidRPr="007F5722" w:rsidRDefault="00683E50" w:rsidP="00F72A31">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0,0001</w:t>
            </w:r>
          </w:p>
        </w:tc>
      </w:tr>
      <w:tr w:rsidR="00683E50" w:rsidRPr="007F5722" w:rsidTr="00F72A31">
        <w:tc>
          <w:tcPr>
            <w:tcW w:w="2392" w:type="dxa"/>
          </w:tcPr>
          <w:p w:rsidR="00683E50" w:rsidRPr="007F5722" w:rsidRDefault="00683E5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ІМТ&amp;ІЛ-22</w:t>
            </w:r>
          </w:p>
        </w:tc>
        <w:tc>
          <w:tcPr>
            <w:tcW w:w="2393" w:type="dxa"/>
          </w:tcPr>
          <w:p w:rsidR="00683E50" w:rsidRPr="007F5722" w:rsidRDefault="00683E5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43</w:t>
            </w:r>
          </w:p>
        </w:tc>
        <w:tc>
          <w:tcPr>
            <w:tcW w:w="2393" w:type="dxa"/>
          </w:tcPr>
          <w:p w:rsidR="00683E50" w:rsidRPr="007F5722" w:rsidRDefault="00683E50" w:rsidP="00F72A31">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0,8371</w:t>
            </w:r>
          </w:p>
        </w:tc>
        <w:tc>
          <w:tcPr>
            <w:tcW w:w="2393" w:type="dxa"/>
          </w:tcPr>
          <w:p w:rsidR="00683E50" w:rsidRPr="007F5722" w:rsidRDefault="00683E50" w:rsidP="00F72A31">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0,0001</w:t>
            </w:r>
          </w:p>
        </w:tc>
      </w:tr>
      <w:tr w:rsidR="00683E50" w:rsidRPr="007F5722" w:rsidTr="00F72A31">
        <w:tc>
          <w:tcPr>
            <w:tcW w:w="2392" w:type="dxa"/>
          </w:tcPr>
          <w:p w:rsidR="00683E50" w:rsidRPr="007F5722" w:rsidRDefault="00683E5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ОТ&amp;ІЛ-22</w:t>
            </w:r>
          </w:p>
        </w:tc>
        <w:tc>
          <w:tcPr>
            <w:tcW w:w="2393" w:type="dxa"/>
          </w:tcPr>
          <w:p w:rsidR="00683E50" w:rsidRPr="007F5722" w:rsidRDefault="00683E5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43</w:t>
            </w:r>
          </w:p>
        </w:tc>
        <w:tc>
          <w:tcPr>
            <w:tcW w:w="2393" w:type="dxa"/>
          </w:tcPr>
          <w:p w:rsidR="00683E50" w:rsidRPr="007F5722" w:rsidRDefault="00683E50" w:rsidP="00F72A31">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0,6348</w:t>
            </w:r>
          </w:p>
        </w:tc>
        <w:tc>
          <w:tcPr>
            <w:tcW w:w="2393" w:type="dxa"/>
          </w:tcPr>
          <w:p w:rsidR="00683E50" w:rsidRPr="007F5722" w:rsidRDefault="00683E50" w:rsidP="00F72A31">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0,0001</w:t>
            </w:r>
          </w:p>
        </w:tc>
      </w:tr>
      <w:tr w:rsidR="00683E50" w:rsidRPr="007F5722" w:rsidTr="00F72A31">
        <w:tc>
          <w:tcPr>
            <w:tcW w:w="2392" w:type="dxa"/>
          </w:tcPr>
          <w:p w:rsidR="00683E50" w:rsidRPr="007F5722" w:rsidRDefault="00683E5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ОС&amp;ІЛ-22</w:t>
            </w:r>
          </w:p>
        </w:tc>
        <w:tc>
          <w:tcPr>
            <w:tcW w:w="2393" w:type="dxa"/>
          </w:tcPr>
          <w:p w:rsidR="00683E50" w:rsidRPr="007F5722" w:rsidRDefault="00683E5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43</w:t>
            </w:r>
          </w:p>
        </w:tc>
        <w:tc>
          <w:tcPr>
            <w:tcW w:w="2393" w:type="dxa"/>
          </w:tcPr>
          <w:p w:rsidR="00683E50" w:rsidRPr="007F5722" w:rsidRDefault="00683E5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0,2104</w:t>
            </w:r>
          </w:p>
        </w:tc>
        <w:tc>
          <w:tcPr>
            <w:tcW w:w="2393" w:type="dxa"/>
          </w:tcPr>
          <w:p w:rsidR="00683E50" w:rsidRPr="007F5722" w:rsidRDefault="00683E5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0,176</w:t>
            </w:r>
          </w:p>
        </w:tc>
      </w:tr>
      <w:tr w:rsidR="00683E50" w:rsidRPr="007F5722" w:rsidTr="00F72A31">
        <w:tc>
          <w:tcPr>
            <w:tcW w:w="2392" w:type="dxa"/>
          </w:tcPr>
          <w:p w:rsidR="00683E50" w:rsidRPr="007F5722" w:rsidRDefault="00683E5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ОТ/ОС&amp;ІЛ-22</w:t>
            </w:r>
          </w:p>
        </w:tc>
        <w:tc>
          <w:tcPr>
            <w:tcW w:w="2393" w:type="dxa"/>
          </w:tcPr>
          <w:p w:rsidR="00683E50" w:rsidRPr="007F5722" w:rsidRDefault="00683E5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43</w:t>
            </w:r>
          </w:p>
        </w:tc>
        <w:tc>
          <w:tcPr>
            <w:tcW w:w="2393" w:type="dxa"/>
          </w:tcPr>
          <w:p w:rsidR="00683E50" w:rsidRPr="007F5722" w:rsidRDefault="00683E50" w:rsidP="00F72A31">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0,7379</w:t>
            </w:r>
          </w:p>
        </w:tc>
        <w:tc>
          <w:tcPr>
            <w:tcW w:w="2393" w:type="dxa"/>
          </w:tcPr>
          <w:p w:rsidR="00683E50" w:rsidRPr="007F5722" w:rsidRDefault="00683E50" w:rsidP="00F72A31">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0,0001</w:t>
            </w:r>
          </w:p>
        </w:tc>
      </w:tr>
    </w:tbl>
    <w:p w:rsidR="00683E50" w:rsidRPr="007F5722" w:rsidRDefault="00683E50" w:rsidP="00683E50">
      <w:pPr>
        <w:shd w:val="clear" w:color="auto" w:fill="FFFFFF"/>
        <w:spacing w:after="0" w:line="360" w:lineRule="auto"/>
        <w:ind w:firstLine="709"/>
        <w:jc w:val="both"/>
        <w:rPr>
          <w:rFonts w:ascii="Times New Roman" w:eastAsia="Times New Roman" w:hAnsi="Times New Roman" w:cs="Times New Roman"/>
          <w:b/>
          <w:color w:val="000000"/>
          <w:sz w:val="28"/>
          <w:szCs w:val="28"/>
        </w:rPr>
      </w:pPr>
    </w:p>
    <w:p w:rsidR="00683E50" w:rsidRPr="007F5722" w:rsidRDefault="00683E50" w:rsidP="00683E50">
      <w:pPr>
        <w:shd w:val="clear" w:color="auto" w:fill="FFFFFF"/>
        <w:spacing w:after="0" w:line="360" w:lineRule="auto"/>
        <w:ind w:firstLine="709"/>
        <w:jc w:val="right"/>
        <w:rPr>
          <w:rFonts w:ascii="Times New Roman" w:hAnsi="Times New Roman"/>
          <w:sz w:val="28"/>
          <w:szCs w:val="28"/>
        </w:rPr>
      </w:pPr>
      <w:r w:rsidRPr="007F5722">
        <w:rPr>
          <w:rFonts w:ascii="Times New Roman" w:hAnsi="Times New Roman"/>
          <w:sz w:val="28"/>
          <w:szCs w:val="28"/>
        </w:rPr>
        <w:lastRenderedPageBreak/>
        <w:t>Таблиця 3.1.7</w:t>
      </w:r>
    </w:p>
    <w:p w:rsidR="00683E50" w:rsidRPr="007F5722" w:rsidRDefault="00683E50" w:rsidP="00683E5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Кореляційні взаємозв’язки між ІЛ-22, гемодинамічними та антропометричними показниками у пацієнтів хворих на ГХ без абдомінального ожиріння</w:t>
      </w:r>
    </w:p>
    <w:tbl>
      <w:tblPr>
        <w:tblStyle w:val="a9"/>
        <w:tblW w:w="0" w:type="auto"/>
        <w:tblLook w:val="04A0" w:firstRow="1" w:lastRow="0" w:firstColumn="1" w:lastColumn="0" w:noHBand="0" w:noVBand="1"/>
      </w:tblPr>
      <w:tblGrid>
        <w:gridCol w:w="2830"/>
        <w:gridCol w:w="1845"/>
        <w:gridCol w:w="2335"/>
        <w:gridCol w:w="2335"/>
      </w:tblGrid>
      <w:tr w:rsidR="00683E50" w:rsidRPr="007F5722" w:rsidTr="00AB6B67">
        <w:tc>
          <w:tcPr>
            <w:tcW w:w="2830" w:type="dxa"/>
          </w:tcPr>
          <w:p w:rsidR="00683E50" w:rsidRPr="007F5722" w:rsidRDefault="00683E5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Показник</w:t>
            </w:r>
          </w:p>
        </w:tc>
        <w:tc>
          <w:tcPr>
            <w:tcW w:w="1845" w:type="dxa"/>
          </w:tcPr>
          <w:p w:rsidR="00683E50" w:rsidRPr="007F5722" w:rsidRDefault="00683E5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N</w:t>
            </w:r>
          </w:p>
        </w:tc>
        <w:tc>
          <w:tcPr>
            <w:tcW w:w="2335" w:type="dxa"/>
          </w:tcPr>
          <w:p w:rsidR="00683E50" w:rsidRPr="007F5722" w:rsidRDefault="00683E5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R</w:t>
            </w:r>
          </w:p>
        </w:tc>
        <w:tc>
          <w:tcPr>
            <w:tcW w:w="2335" w:type="dxa"/>
          </w:tcPr>
          <w:p w:rsidR="00683E50" w:rsidRPr="007F5722" w:rsidRDefault="00683E50" w:rsidP="00F72A31">
            <w:pPr>
              <w:spacing w:after="0" w:line="360" w:lineRule="auto"/>
              <w:jc w:val="both"/>
              <w:rPr>
                <w:rFonts w:ascii="Times New Roman" w:eastAsia="Times New Roman" w:hAnsi="Times New Roman" w:cs="Times New Roman"/>
                <w:color w:val="000000"/>
                <w:sz w:val="28"/>
                <w:szCs w:val="28"/>
                <w:lang w:val="en-US"/>
              </w:rPr>
            </w:pPr>
            <w:r w:rsidRPr="007F5722">
              <w:rPr>
                <w:rFonts w:ascii="Times New Roman" w:eastAsia="Times New Roman" w:hAnsi="Times New Roman" w:cs="Times New Roman"/>
                <w:color w:val="000000"/>
                <w:sz w:val="28"/>
                <w:szCs w:val="28"/>
                <w:lang w:val="en-US"/>
              </w:rPr>
              <w:t>p-level</w:t>
            </w:r>
          </w:p>
        </w:tc>
      </w:tr>
      <w:tr w:rsidR="00683E50" w:rsidRPr="007F5722" w:rsidTr="00AB6B67">
        <w:tc>
          <w:tcPr>
            <w:tcW w:w="2830" w:type="dxa"/>
          </w:tcPr>
          <w:p w:rsidR="00683E50" w:rsidRPr="007F5722" w:rsidRDefault="00683E5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САТ&amp;ІЛ-22</w:t>
            </w:r>
          </w:p>
        </w:tc>
        <w:tc>
          <w:tcPr>
            <w:tcW w:w="1845" w:type="dxa"/>
          </w:tcPr>
          <w:p w:rsidR="00683E50" w:rsidRPr="007F5722" w:rsidRDefault="00C0048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40</w:t>
            </w:r>
          </w:p>
        </w:tc>
        <w:tc>
          <w:tcPr>
            <w:tcW w:w="2335" w:type="dxa"/>
          </w:tcPr>
          <w:p w:rsidR="00683E50" w:rsidRPr="007F5722" w:rsidRDefault="00C0048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0,0857</w:t>
            </w:r>
          </w:p>
        </w:tc>
        <w:tc>
          <w:tcPr>
            <w:tcW w:w="2335" w:type="dxa"/>
          </w:tcPr>
          <w:p w:rsidR="00683E50" w:rsidRPr="007F5722" w:rsidRDefault="00C0048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0,599</w:t>
            </w:r>
          </w:p>
        </w:tc>
      </w:tr>
      <w:tr w:rsidR="00683E50" w:rsidRPr="007F5722" w:rsidTr="00AB6B67">
        <w:tc>
          <w:tcPr>
            <w:tcW w:w="2830" w:type="dxa"/>
          </w:tcPr>
          <w:p w:rsidR="00683E50" w:rsidRPr="007F5722" w:rsidRDefault="00683E5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ДАТ&amp;ІЛ-22</w:t>
            </w:r>
          </w:p>
        </w:tc>
        <w:tc>
          <w:tcPr>
            <w:tcW w:w="1845" w:type="dxa"/>
          </w:tcPr>
          <w:p w:rsidR="00683E50" w:rsidRPr="007F5722" w:rsidRDefault="00C0048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40</w:t>
            </w:r>
          </w:p>
        </w:tc>
        <w:tc>
          <w:tcPr>
            <w:tcW w:w="2335" w:type="dxa"/>
          </w:tcPr>
          <w:p w:rsidR="00683E50" w:rsidRPr="007F5722" w:rsidRDefault="00C0048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-0,1756</w:t>
            </w:r>
          </w:p>
        </w:tc>
        <w:tc>
          <w:tcPr>
            <w:tcW w:w="2335" w:type="dxa"/>
          </w:tcPr>
          <w:p w:rsidR="00683E50" w:rsidRPr="007F5722" w:rsidRDefault="00C0048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0,279</w:t>
            </w:r>
          </w:p>
        </w:tc>
      </w:tr>
      <w:tr w:rsidR="00683E50" w:rsidRPr="007F5722" w:rsidTr="00AB6B67">
        <w:tc>
          <w:tcPr>
            <w:tcW w:w="2830" w:type="dxa"/>
          </w:tcPr>
          <w:p w:rsidR="00683E50" w:rsidRPr="007F5722" w:rsidRDefault="00683E5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ПАТ&amp;ІЛ-22</w:t>
            </w:r>
          </w:p>
        </w:tc>
        <w:tc>
          <w:tcPr>
            <w:tcW w:w="1845" w:type="dxa"/>
          </w:tcPr>
          <w:p w:rsidR="00683E50" w:rsidRPr="007F5722" w:rsidRDefault="00C0048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40</w:t>
            </w:r>
          </w:p>
        </w:tc>
        <w:tc>
          <w:tcPr>
            <w:tcW w:w="2335" w:type="dxa"/>
          </w:tcPr>
          <w:p w:rsidR="00683E50" w:rsidRPr="007F5722" w:rsidRDefault="00C0048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0,2489</w:t>
            </w:r>
          </w:p>
        </w:tc>
        <w:tc>
          <w:tcPr>
            <w:tcW w:w="2335" w:type="dxa"/>
          </w:tcPr>
          <w:p w:rsidR="00683E50" w:rsidRPr="007F5722" w:rsidRDefault="00C0048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0,1</w:t>
            </w:r>
            <w:r w:rsidR="00683E50" w:rsidRPr="007F5722">
              <w:rPr>
                <w:rFonts w:ascii="Times New Roman" w:eastAsia="Times New Roman" w:hAnsi="Times New Roman" w:cs="Times New Roman"/>
                <w:color w:val="000000"/>
                <w:sz w:val="28"/>
                <w:szCs w:val="28"/>
              </w:rPr>
              <w:t>21</w:t>
            </w:r>
          </w:p>
        </w:tc>
      </w:tr>
      <w:tr w:rsidR="00683E50" w:rsidRPr="007F5722" w:rsidTr="00AB6B67">
        <w:tc>
          <w:tcPr>
            <w:tcW w:w="2830" w:type="dxa"/>
          </w:tcPr>
          <w:p w:rsidR="00683E50" w:rsidRPr="007F5722" w:rsidRDefault="00683E5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Тривалість АГ&amp;ІЛ-22</w:t>
            </w:r>
          </w:p>
        </w:tc>
        <w:tc>
          <w:tcPr>
            <w:tcW w:w="1845" w:type="dxa"/>
          </w:tcPr>
          <w:p w:rsidR="00683E50" w:rsidRPr="007F5722" w:rsidRDefault="00C0048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40</w:t>
            </w:r>
          </w:p>
        </w:tc>
        <w:tc>
          <w:tcPr>
            <w:tcW w:w="2335" w:type="dxa"/>
          </w:tcPr>
          <w:p w:rsidR="00683E50" w:rsidRPr="007F5722" w:rsidRDefault="00C0048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-0,1647</w:t>
            </w:r>
          </w:p>
        </w:tc>
        <w:tc>
          <w:tcPr>
            <w:tcW w:w="2335" w:type="dxa"/>
          </w:tcPr>
          <w:p w:rsidR="00683E50" w:rsidRPr="007F5722" w:rsidRDefault="00C0048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0,310</w:t>
            </w:r>
          </w:p>
        </w:tc>
      </w:tr>
      <w:tr w:rsidR="00683E50" w:rsidRPr="007F5722" w:rsidTr="00AB6B67">
        <w:tc>
          <w:tcPr>
            <w:tcW w:w="2830" w:type="dxa"/>
          </w:tcPr>
          <w:p w:rsidR="00683E50" w:rsidRPr="007F5722" w:rsidRDefault="00683E5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Маса тіла&amp;ІЛ-22</w:t>
            </w:r>
          </w:p>
        </w:tc>
        <w:tc>
          <w:tcPr>
            <w:tcW w:w="1845" w:type="dxa"/>
          </w:tcPr>
          <w:p w:rsidR="00683E50" w:rsidRPr="007F5722" w:rsidRDefault="00C0048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40</w:t>
            </w:r>
          </w:p>
        </w:tc>
        <w:tc>
          <w:tcPr>
            <w:tcW w:w="2335" w:type="dxa"/>
          </w:tcPr>
          <w:p w:rsidR="00683E50" w:rsidRPr="007F5722" w:rsidRDefault="00C00480" w:rsidP="00F72A31">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0,6786</w:t>
            </w:r>
          </w:p>
        </w:tc>
        <w:tc>
          <w:tcPr>
            <w:tcW w:w="2335" w:type="dxa"/>
          </w:tcPr>
          <w:p w:rsidR="00683E50" w:rsidRPr="007F5722" w:rsidRDefault="00683E50" w:rsidP="00F72A31">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0,0001</w:t>
            </w:r>
          </w:p>
        </w:tc>
      </w:tr>
      <w:tr w:rsidR="00683E50" w:rsidRPr="007F5722" w:rsidTr="00AB6B67">
        <w:tc>
          <w:tcPr>
            <w:tcW w:w="2830" w:type="dxa"/>
          </w:tcPr>
          <w:p w:rsidR="00683E50" w:rsidRPr="007F5722" w:rsidRDefault="00683E5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ІМТ&amp;ІЛ-22</w:t>
            </w:r>
          </w:p>
        </w:tc>
        <w:tc>
          <w:tcPr>
            <w:tcW w:w="1845" w:type="dxa"/>
          </w:tcPr>
          <w:p w:rsidR="00683E50" w:rsidRPr="007F5722" w:rsidRDefault="00C0048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40</w:t>
            </w:r>
          </w:p>
        </w:tc>
        <w:tc>
          <w:tcPr>
            <w:tcW w:w="2335" w:type="dxa"/>
          </w:tcPr>
          <w:p w:rsidR="00683E50" w:rsidRPr="007F5722" w:rsidRDefault="00C00480" w:rsidP="00F72A31">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0,8222</w:t>
            </w:r>
          </w:p>
        </w:tc>
        <w:tc>
          <w:tcPr>
            <w:tcW w:w="2335" w:type="dxa"/>
          </w:tcPr>
          <w:p w:rsidR="00683E50" w:rsidRPr="007F5722" w:rsidRDefault="00683E50" w:rsidP="00F72A31">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0,0001</w:t>
            </w:r>
          </w:p>
        </w:tc>
      </w:tr>
      <w:tr w:rsidR="00683E50" w:rsidRPr="007F5722" w:rsidTr="00AB6B67">
        <w:tc>
          <w:tcPr>
            <w:tcW w:w="2830" w:type="dxa"/>
          </w:tcPr>
          <w:p w:rsidR="00683E50" w:rsidRPr="007F5722" w:rsidRDefault="00683E5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ОТ&amp;ІЛ-22</w:t>
            </w:r>
          </w:p>
        </w:tc>
        <w:tc>
          <w:tcPr>
            <w:tcW w:w="1845" w:type="dxa"/>
          </w:tcPr>
          <w:p w:rsidR="00683E50" w:rsidRPr="007F5722" w:rsidRDefault="00C00480"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40</w:t>
            </w:r>
          </w:p>
        </w:tc>
        <w:tc>
          <w:tcPr>
            <w:tcW w:w="2335" w:type="dxa"/>
          </w:tcPr>
          <w:p w:rsidR="00683E50" w:rsidRPr="007F5722" w:rsidRDefault="00C00480" w:rsidP="00F72A31">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0,6456</w:t>
            </w:r>
          </w:p>
        </w:tc>
        <w:tc>
          <w:tcPr>
            <w:tcW w:w="2335" w:type="dxa"/>
          </w:tcPr>
          <w:p w:rsidR="00683E50" w:rsidRPr="007F5722" w:rsidRDefault="00C00480" w:rsidP="00F72A31">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0,0001</w:t>
            </w:r>
          </w:p>
        </w:tc>
      </w:tr>
      <w:tr w:rsidR="00864156" w:rsidRPr="007F5722" w:rsidTr="00AB6B67">
        <w:tc>
          <w:tcPr>
            <w:tcW w:w="2830" w:type="dxa"/>
          </w:tcPr>
          <w:p w:rsidR="00864156" w:rsidRPr="007F5722" w:rsidRDefault="00864156"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ОС&amp;ІЛ-22</w:t>
            </w:r>
          </w:p>
        </w:tc>
        <w:tc>
          <w:tcPr>
            <w:tcW w:w="1845" w:type="dxa"/>
          </w:tcPr>
          <w:p w:rsidR="00864156" w:rsidRPr="007F5722" w:rsidRDefault="00864156"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40</w:t>
            </w:r>
          </w:p>
        </w:tc>
        <w:tc>
          <w:tcPr>
            <w:tcW w:w="2335" w:type="dxa"/>
          </w:tcPr>
          <w:p w:rsidR="00864156" w:rsidRPr="007F5722" w:rsidRDefault="00864156" w:rsidP="00F72A31">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0,4244</w:t>
            </w:r>
          </w:p>
        </w:tc>
        <w:tc>
          <w:tcPr>
            <w:tcW w:w="2335" w:type="dxa"/>
          </w:tcPr>
          <w:p w:rsidR="00864156" w:rsidRPr="007F5722" w:rsidRDefault="00864156" w:rsidP="00F72A31">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0,006</w:t>
            </w:r>
          </w:p>
        </w:tc>
      </w:tr>
      <w:tr w:rsidR="00864156" w:rsidRPr="007F5722" w:rsidTr="00AB6B67">
        <w:tc>
          <w:tcPr>
            <w:tcW w:w="2830" w:type="dxa"/>
          </w:tcPr>
          <w:p w:rsidR="00864156" w:rsidRPr="007F5722" w:rsidRDefault="00864156"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ОТ/ОС&amp;ІЛ-22</w:t>
            </w:r>
          </w:p>
        </w:tc>
        <w:tc>
          <w:tcPr>
            <w:tcW w:w="1845" w:type="dxa"/>
          </w:tcPr>
          <w:p w:rsidR="00864156" w:rsidRPr="007F5722" w:rsidRDefault="00864156" w:rsidP="00F72A3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40</w:t>
            </w:r>
          </w:p>
        </w:tc>
        <w:tc>
          <w:tcPr>
            <w:tcW w:w="2335" w:type="dxa"/>
          </w:tcPr>
          <w:p w:rsidR="00864156" w:rsidRPr="007F5722" w:rsidRDefault="00864156" w:rsidP="00F72A31">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0,6374</w:t>
            </w:r>
          </w:p>
        </w:tc>
        <w:tc>
          <w:tcPr>
            <w:tcW w:w="2335" w:type="dxa"/>
          </w:tcPr>
          <w:p w:rsidR="00864156" w:rsidRPr="007F5722" w:rsidRDefault="00864156" w:rsidP="00F72A31">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0,0001</w:t>
            </w:r>
          </w:p>
        </w:tc>
      </w:tr>
    </w:tbl>
    <w:p w:rsidR="00C00480" w:rsidRPr="007F5722" w:rsidRDefault="00C00480" w:rsidP="00C00480">
      <w:pPr>
        <w:shd w:val="clear" w:color="auto" w:fill="FFFFFF"/>
        <w:spacing w:after="0" w:line="360" w:lineRule="auto"/>
        <w:jc w:val="both"/>
        <w:rPr>
          <w:rFonts w:ascii="Times New Roman" w:hAnsi="Times New Roman"/>
          <w:sz w:val="28"/>
          <w:szCs w:val="28"/>
        </w:rPr>
      </w:pPr>
    </w:p>
    <w:p w:rsidR="00374549" w:rsidRPr="007F5722" w:rsidRDefault="00374549" w:rsidP="006E72AD">
      <w:pPr>
        <w:shd w:val="clear" w:color="auto" w:fill="FFFFFF"/>
        <w:spacing w:after="0" w:line="360" w:lineRule="auto"/>
        <w:ind w:firstLine="709"/>
        <w:jc w:val="both"/>
        <w:rPr>
          <w:rFonts w:ascii="Times New Roman" w:hAnsi="Times New Roman"/>
          <w:sz w:val="28"/>
          <w:szCs w:val="28"/>
        </w:rPr>
      </w:pPr>
      <w:r w:rsidRPr="007F5722">
        <w:rPr>
          <w:rFonts w:ascii="Times New Roman" w:hAnsi="Times New Roman"/>
          <w:sz w:val="28"/>
          <w:szCs w:val="28"/>
        </w:rPr>
        <w:t>Отримані нами результати узгоджуються з даними отриманими в попередніх дослідженнях, де було визначено гендерні відмінності рівня ІЛ-22, а саме його переважне зростання у чоловіків хворих на ішемічну хворобу серця (ІХС) та цукровий діабет 2 типу [</w:t>
      </w:r>
      <w:r w:rsidR="00133129" w:rsidRPr="007F5722">
        <w:rPr>
          <w:rFonts w:ascii="Times New Roman" w:hAnsi="Times New Roman"/>
          <w:sz w:val="28"/>
          <w:szCs w:val="28"/>
        </w:rPr>
        <w:t>202</w:t>
      </w:r>
      <w:r w:rsidRPr="007F5722">
        <w:rPr>
          <w:rFonts w:ascii="Times New Roman" w:hAnsi="Times New Roman"/>
          <w:sz w:val="28"/>
          <w:szCs w:val="28"/>
        </w:rPr>
        <w:t>]. В нашому дослідженні ми отримали подібні дані у хворих на ГХ в поєднанні з АО.</w:t>
      </w:r>
    </w:p>
    <w:p w:rsidR="004434B9" w:rsidRPr="007F5722" w:rsidRDefault="00070E51" w:rsidP="006E72AD">
      <w:pPr>
        <w:shd w:val="clear" w:color="auto" w:fill="FFFFFF"/>
        <w:spacing w:after="0" w:line="360" w:lineRule="auto"/>
        <w:ind w:firstLine="709"/>
        <w:jc w:val="both"/>
        <w:rPr>
          <w:rFonts w:ascii="Times New Roman" w:hAnsi="Times New Roman"/>
          <w:sz w:val="28"/>
          <w:szCs w:val="28"/>
        </w:rPr>
      </w:pPr>
      <w:r w:rsidRPr="007F5722">
        <w:rPr>
          <w:rFonts w:ascii="Times New Roman" w:hAnsi="Times New Roman" w:cs="Times New Roman"/>
          <w:sz w:val="28"/>
          <w:szCs w:val="28"/>
        </w:rPr>
        <w:t xml:space="preserve">Вміст інтерлейкіну-22 достовірно збільшується у хворих на гіпертонічну хворобу в порівнянні з </w:t>
      </w:r>
      <w:r w:rsidR="007E7C29" w:rsidRPr="007F5722">
        <w:rPr>
          <w:rFonts w:ascii="Times New Roman" w:hAnsi="Times New Roman" w:cs="Times New Roman"/>
          <w:sz w:val="28"/>
          <w:szCs w:val="28"/>
        </w:rPr>
        <w:t>г</w:t>
      </w:r>
      <w:r w:rsidRPr="007F5722">
        <w:rPr>
          <w:rFonts w:ascii="Times New Roman" w:hAnsi="Times New Roman" w:cs="Times New Roman"/>
          <w:sz w:val="28"/>
          <w:szCs w:val="28"/>
        </w:rPr>
        <w:t xml:space="preserve">рупою контролю, що може свідчити про гіпертензивний ефект цього цитокіну. </w:t>
      </w:r>
      <w:r w:rsidRPr="007F5722">
        <w:rPr>
          <w:rFonts w:ascii="Times New Roman" w:hAnsi="Times New Roman"/>
          <w:sz w:val="28"/>
          <w:szCs w:val="28"/>
        </w:rPr>
        <w:t>За наявності надмірної маси тіла та ожиріння у хворих на гіпертонічну хворобу цей показник достовірно більший в порівнянні з</w:t>
      </w:r>
      <w:r w:rsidRPr="007F5722">
        <w:rPr>
          <w:rFonts w:ascii="Times New Roman" w:hAnsi="Times New Roman"/>
          <w:color w:val="FF0000"/>
          <w:sz w:val="28"/>
          <w:szCs w:val="28"/>
        </w:rPr>
        <w:t xml:space="preserve"> </w:t>
      </w:r>
      <w:r w:rsidRPr="007F5722">
        <w:rPr>
          <w:rFonts w:ascii="Times New Roman" w:hAnsi="Times New Roman"/>
          <w:sz w:val="28"/>
          <w:szCs w:val="28"/>
        </w:rPr>
        <w:t xml:space="preserve">хворими на гіпертонічну хворобу з нормальною </w:t>
      </w:r>
      <w:r w:rsidR="007E7C29" w:rsidRPr="007F5722">
        <w:rPr>
          <w:rFonts w:ascii="Times New Roman" w:hAnsi="Times New Roman"/>
          <w:sz w:val="28"/>
          <w:szCs w:val="28"/>
        </w:rPr>
        <w:t>масою тіла та г</w:t>
      </w:r>
      <w:r w:rsidRPr="007F5722">
        <w:rPr>
          <w:rFonts w:ascii="Times New Roman" w:hAnsi="Times New Roman"/>
          <w:sz w:val="28"/>
          <w:szCs w:val="28"/>
        </w:rPr>
        <w:t>рупою контролю.</w:t>
      </w:r>
    </w:p>
    <w:p w:rsidR="007E7C29" w:rsidRPr="007F5722" w:rsidRDefault="007E7C29" w:rsidP="006E72AD">
      <w:pPr>
        <w:shd w:val="clear" w:color="auto" w:fill="FFFFFF"/>
        <w:spacing w:after="0" w:line="360" w:lineRule="auto"/>
        <w:ind w:firstLine="709"/>
        <w:jc w:val="both"/>
        <w:rPr>
          <w:rFonts w:ascii="Times New Roman" w:hAnsi="Times New Roman"/>
          <w:sz w:val="28"/>
          <w:szCs w:val="28"/>
        </w:rPr>
      </w:pPr>
      <w:r w:rsidRPr="007F5722">
        <w:rPr>
          <w:rFonts w:ascii="Times New Roman" w:hAnsi="Times New Roman"/>
          <w:sz w:val="28"/>
          <w:szCs w:val="28"/>
        </w:rPr>
        <w:t xml:space="preserve">Рівень ІЛ-22 </w:t>
      </w:r>
      <w:r w:rsidR="00A93609">
        <w:rPr>
          <w:rFonts w:ascii="Times New Roman" w:hAnsi="Times New Roman"/>
          <w:sz w:val="28"/>
          <w:szCs w:val="28"/>
        </w:rPr>
        <w:t>у плазмі</w:t>
      </w:r>
      <w:r w:rsidRPr="007F5722">
        <w:rPr>
          <w:rFonts w:ascii="Times New Roman" w:hAnsi="Times New Roman"/>
          <w:sz w:val="28"/>
          <w:szCs w:val="28"/>
        </w:rPr>
        <w:t xml:space="preserve"> крові у хворих на гіпертонічну хворобу в поєднанні з абдомінальним ожирінням – 30,82 (28,43; 49,26) пг/мл достовірно перевищує рівень ІЛ-22 у хворих на гіпертонічну хворобу без ознак абдомінального </w:t>
      </w:r>
      <w:r w:rsidRPr="007F5722">
        <w:rPr>
          <w:rFonts w:ascii="Times New Roman" w:hAnsi="Times New Roman"/>
          <w:sz w:val="28"/>
          <w:szCs w:val="28"/>
        </w:rPr>
        <w:lastRenderedPageBreak/>
        <w:t>ожиріння – 26,95 (23,22; 29,61) пг/мл; (р&lt;0,05), та рівень ІЛ-22 у осіб контрольної групи – 19,81 (18,77; 20,15) пг/мл; (р&lt;0,05).</w:t>
      </w:r>
    </w:p>
    <w:p w:rsidR="004434B9" w:rsidRPr="007F5722" w:rsidRDefault="007E7C29" w:rsidP="007E7C29">
      <w:pPr>
        <w:shd w:val="clear" w:color="auto" w:fill="FFFFFF"/>
        <w:spacing w:after="0" w:line="360" w:lineRule="auto"/>
        <w:ind w:firstLine="709"/>
        <w:jc w:val="both"/>
        <w:rPr>
          <w:rFonts w:ascii="Times New Roman" w:hAnsi="Times New Roman"/>
          <w:sz w:val="28"/>
          <w:szCs w:val="28"/>
        </w:rPr>
      </w:pPr>
      <w:r w:rsidRPr="007F5722">
        <w:rPr>
          <w:rFonts w:ascii="Times New Roman" w:hAnsi="Times New Roman"/>
          <w:sz w:val="28"/>
          <w:szCs w:val="28"/>
        </w:rPr>
        <w:t>Встановлені гендерні відмінності рівня ІЛ-22, показники якого статистично достовірно були вищими у чоловіків хворих на гіпертонічну хворобу з абдомінальним ожирінням порівняно з жінками (чоловіки – 51,64 (35,23; 53,02) пг/мл VS жінки – 29,21 (28,22; 39,95) пг/мл; р&lt;0,05); у чоловіків хворих на гіпертонічну хворобу без абдомінального ожиріння (чоловіки – 28,84 (23,73; 31,61) пг/мл VS жінки – 24,93 (22,54; 27,49) пг/мл; р&lt;0,05); у чоловіків контрольної групи (чоловіки – 20,15 (20,07; 20,62) пг/мл VS жінки – 18,93 (18,66; 19,81) пг/мл; р&lt;0,05).</w:t>
      </w:r>
    </w:p>
    <w:p w:rsidR="00C00480" w:rsidRPr="007F5722" w:rsidRDefault="00C00480" w:rsidP="007E7C29">
      <w:pPr>
        <w:shd w:val="clear" w:color="auto" w:fill="FFFFFF"/>
        <w:spacing w:after="0" w:line="360" w:lineRule="auto"/>
        <w:ind w:firstLine="709"/>
        <w:jc w:val="both"/>
        <w:rPr>
          <w:rFonts w:ascii="Times New Roman" w:hAnsi="Times New Roman"/>
          <w:sz w:val="28"/>
          <w:szCs w:val="28"/>
        </w:rPr>
      </w:pPr>
      <w:r w:rsidRPr="007F5722">
        <w:rPr>
          <w:rFonts w:ascii="Times New Roman" w:hAnsi="Times New Roman"/>
          <w:sz w:val="28"/>
          <w:szCs w:val="28"/>
        </w:rPr>
        <w:t>Виявлено більш щільні прямі достовірні кореляційни зв’язки ІЛ-22 з антропометричними показниками (ОТ, ОС, ОТ/ОС, масою тіла та ІМТ) в групі хворих на гіпертонічну хворобу з супутнім абдомінальним ожирінням порівняно з групою хворих на гіпертонічну хворобу без ознак абдомінального ожиріння.</w:t>
      </w:r>
    </w:p>
    <w:p w:rsidR="007E7C29" w:rsidRPr="007F5722" w:rsidRDefault="007E7C29" w:rsidP="007E7C29">
      <w:pPr>
        <w:shd w:val="clear" w:color="auto" w:fill="FFFFFF"/>
        <w:spacing w:after="0" w:line="360" w:lineRule="auto"/>
        <w:ind w:firstLine="709"/>
        <w:jc w:val="both"/>
        <w:rPr>
          <w:rFonts w:ascii="Times New Roman" w:hAnsi="Times New Roman"/>
          <w:sz w:val="28"/>
          <w:szCs w:val="28"/>
        </w:rPr>
      </w:pPr>
      <w:r w:rsidRPr="007F5722">
        <w:rPr>
          <w:rFonts w:ascii="Times New Roman" w:hAnsi="Times New Roman"/>
          <w:sz w:val="28"/>
          <w:szCs w:val="28"/>
        </w:rPr>
        <w:t>Пацієнти третього тертіля з максимальними значеннями ІЛ-22 характеризувалися достовірно вищими антропометричними показниками (масою тіла, ІМТ, ОТ, ОС і індексом ОТ/ОС).</w:t>
      </w:r>
    </w:p>
    <w:p w:rsidR="007E7C29" w:rsidRPr="007F5722" w:rsidRDefault="007E7C29" w:rsidP="007E7C29">
      <w:pPr>
        <w:shd w:val="clear" w:color="auto" w:fill="FFFFFF"/>
        <w:spacing w:after="0" w:line="360" w:lineRule="auto"/>
        <w:ind w:firstLine="709"/>
        <w:jc w:val="both"/>
        <w:rPr>
          <w:rFonts w:ascii="Times New Roman" w:hAnsi="Times New Roman"/>
          <w:sz w:val="28"/>
          <w:szCs w:val="28"/>
        </w:rPr>
      </w:pPr>
      <w:r w:rsidRPr="007F5722">
        <w:rPr>
          <w:rFonts w:ascii="Times New Roman" w:hAnsi="Times New Roman"/>
          <w:sz w:val="28"/>
          <w:szCs w:val="28"/>
        </w:rPr>
        <w:t xml:space="preserve">Рівень </w:t>
      </w:r>
      <w:r w:rsidR="00B31D01" w:rsidRPr="007F5722">
        <w:rPr>
          <w:rFonts w:ascii="Times New Roman" w:hAnsi="Times New Roman"/>
          <w:sz w:val="28"/>
          <w:szCs w:val="28"/>
        </w:rPr>
        <w:t>АТ</w:t>
      </w:r>
      <w:r w:rsidRPr="007F5722">
        <w:rPr>
          <w:rFonts w:ascii="Times New Roman" w:hAnsi="Times New Roman"/>
          <w:sz w:val="28"/>
          <w:szCs w:val="28"/>
        </w:rPr>
        <w:t xml:space="preserve"> і тривалість його підвищення у пацієнтів з ГХ третього тертіля були максимальними в порівнянні з показниками першого і другого тертіля.</w:t>
      </w:r>
    </w:p>
    <w:p w:rsidR="007E7C29" w:rsidRPr="007F5722" w:rsidRDefault="007E7C29" w:rsidP="007E7C29">
      <w:pPr>
        <w:shd w:val="clear" w:color="auto" w:fill="FFFFFF"/>
        <w:spacing w:after="0" w:line="360" w:lineRule="auto"/>
        <w:ind w:firstLine="709"/>
        <w:jc w:val="both"/>
        <w:rPr>
          <w:rFonts w:ascii="Times New Roman" w:hAnsi="Times New Roman"/>
          <w:sz w:val="28"/>
          <w:szCs w:val="28"/>
        </w:rPr>
      </w:pPr>
      <w:r w:rsidRPr="007F5722">
        <w:rPr>
          <w:rFonts w:ascii="Times New Roman" w:hAnsi="Times New Roman"/>
          <w:sz w:val="28"/>
          <w:szCs w:val="28"/>
        </w:rPr>
        <w:t>Хворі на ГХ з нормальною масою тіла віднесені до першого тертілю з мінімальним рівнем ІЛ-22, в той час як у другому тертілі переважали пацієнти з надмірною масою тіла, і в третьому, з максимальним рівнем ІЛ-22, превалювали пацієнти з 1 і 2 ступенями ожиріння.</w:t>
      </w:r>
    </w:p>
    <w:p w:rsidR="007E7C29" w:rsidRPr="007F5722" w:rsidRDefault="007E7C29" w:rsidP="007E7C29">
      <w:pPr>
        <w:shd w:val="clear" w:color="auto" w:fill="FFFFFF"/>
        <w:spacing w:after="0" w:line="360" w:lineRule="auto"/>
        <w:ind w:firstLine="709"/>
        <w:jc w:val="both"/>
        <w:rPr>
          <w:rFonts w:ascii="Times New Roman" w:hAnsi="Times New Roman"/>
          <w:sz w:val="28"/>
          <w:szCs w:val="28"/>
        </w:rPr>
      </w:pPr>
      <w:r w:rsidRPr="007F5722">
        <w:rPr>
          <w:rFonts w:ascii="Times New Roman" w:hAnsi="Times New Roman"/>
          <w:sz w:val="28"/>
          <w:szCs w:val="28"/>
        </w:rPr>
        <w:t xml:space="preserve">Кількість хворих на ГХ, які мають АО, зростає в тертілях паралельно підвищенню рівня </w:t>
      </w:r>
      <w:r w:rsidR="00B31D01" w:rsidRPr="007F5722">
        <w:rPr>
          <w:rFonts w:ascii="Times New Roman" w:hAnsi="Times New Roman"/>
          <w:sz w:val="28"/>
          <w:szCs w:val="28"/>
        </w:rPr>
        <w:t>ІЛ</w:t>
      </w:r>
      <w:r w:rsidRPr="007F5722">
        <w:rPr>
          <w:rFonts w:ascii="Times New Roman" w:hAnsi="Times New Roman"/>
          <w:sz w:val="28"/>
          <w:szCs w:val="28"/>
        </w:rPr>
        <w:t xml:space="preserve">-22 </w:t>
      </w:r>
      <w:r w:rsidR="00A93609">
        <w:rPr>
          <w:rFonts w:ascii="Times New Roman" w:hAnsi="Times New Roman"/>
          <w:sz w:val="28"/>
          <w:szCs w:val="28"/>
        </w:rPr>
        <w:t>у плазмі</w:t>
      </w:r>
      <w:r w:rsidRPr="007F5722">
        <w:rPr>
          <w:rFonts w:ascii="Times New Roman" w:hAnsi="Times New Roman"/>
          <w:sz w:val="28"/>
          <w:szCs w:val="28"/>
        </w:rPr>
        <w:t xml:space="preserve"> крові.</w:t>
      </w:r>
    </w:p>
    <w:p w:rsidR="000F5870" w:rsidRDefault="00B31D01" w:rsidP="00864156">
      <w:pPr>
        <w:shd w:val="clear" w:color="auto" w:fill="FFFFFF"/>
        <w:spacing w:after="0" w:line="360" w:lineRule="auto"/>
        <w:ind w:firstLine="709"/>
        <w:jc w:val="both"/>
        <w:rPr>
          <w:rFonts w:ascii="Times New Roman" w:hAnsi="Times New Roman"/>
          <w:sz w:val="28"/>
          <w:szCs w:val="28"/>
        </w:rPr>
      </w:pPr>
      <w:r w:rsidRPr="007F5722">
        <w:rPr>
          <w:rFonts w:ascii="Times New Roman" w:hAnsi="Times New Roman"/>
          <w:sz w:val="28"/>
          <w:szCs w:val="28"/>
        </w:rPr>
        <w:t>У тертілі</w:t>
      </w:r>
      <w:r w:rsidR="007E7C29" w:rsidRPr="007F5722">
        <w:rPr>
          <w:rFonts w:ascii="Times New Roman" w:hAnsi="Times New Roman"/>
          <w:sz w:val="28"/>
          <w:szCs w:val="28"/>
        </w:rPr>
        <w:t xml:space="preserve"> з найвищим вмістом </w:t>
      </w:r>
      <w:r w:rsidRPr="007F5722">
        <w:rPr>
          <w:rFonts w:ascii="Times New Roman" w:hAnsi="Times New Roman"/>
          <w:sz w:val="28"/>
          <w:szCs w:val="28"/>
        </w:rPr>
        <w:t>ІЛ</w:t>
      </w:r>
      <w:r w:rsidR="007E7C29" w:rsidRPr="007F5722">
        <w:rPr>
          <w:rFonts w:ascii="Times New Roman" w:hAnsi="Times New Roman"/>
          <w:sz w:val="28"/>
          <w:szCs w:val="28"/>
        </w:rPr>
        <w:t xml:space="preserve">-22 </w:t>
      </w:r>
      <w:r w:rsidR="00A93609">
        <w:rPr>
          <w:rFonts w:ascii="Times New Roman" w:hAnsi="Times New Roman"/>
          <w:sz w:val="28"/>
          <w:szCs w:val="28"/>
        </w:rPr>
        <w:t>у плазмі</w:t>
      </w:r>
      <w:r w:rsidR="007E7C29" w:rsidRPr="007F5722">
        <w:rPr>
          <w:rFonts w:ascii="Times New Roman" w:hAnsi="Times New Roman"/>
          <w:sz w:val="28"/>
          <w:szCs w:val="28"/>
        </w:rPr>
        <w:t xml:space="preserve"> крові відзначені тісні прямі кореляційні зв'язки між рівнем</w:t>
      </w:r>
      <w:r w:rsidRPr="007F5722">
        <w:rPr>
          <w:rFonts w:ascii="Times New Roman" w:hAnsi="Times New Roman"/>
          <w:sz w:val="28"/>
          <w:szCs w:val="28"/>
        </w:rPr>
        <w:t xml:space="preserve"> ІЛ</w:t>
      </w:r>
      <w:r w:rsidR="007E7C29" w:rsidRPr="007F5722">
        <w:rPr>
          <w:rFonts w:ascii="Times New Roman" w:hAnsi="Times New Roman"/>
          <w:sz w:val="28"/>
          <w:szCs w:val="28"/>
        </w:rPr>
        <w:t xml:space="preserve">-22 і масою тіла, </w:t>
      </w:r>
      <w:r w:rsidRPr="007F5722">
        <w:rPr>
          <w:rFonts w:ascii="Times New Roman" w:hAnsi="Times New Roman"/>
          <w:sz w:val="28"/>
          <w:szCs w:val="28"/>
        </w:rPr>
        <w:t>ІМТ</w:t>
      </w:r>
      <w:r w:rsidR="007E7C29" w:rsidRPr="007F5722">
        <w:rPr>
          <w:rFonts w:ascii="Times New Roman" w:hAnsi="Times New Roman"/>
          <w:sz w:val="28"/>
          <w:szCs w:val="28"/>
        </w:rPr>
        <w:t xml:space="preserve">, </w:t>
      </w:r>
      <w:r w:rsidRPr="007F5722">
        <w:rPr>
          <w:rFonts w:ascii="Times New Roman" w:hAnsi="Times New Roman"/>
          <w:sz w:val="28"/>
          <w:szCs w:val="28"/>
        </w:rPr>
        <w:t>ОТ, індексом ОТ/</w:t>
      </w:r>
      <w:r w:rsidR="007E7C29" w:rsidRPr="007F5722">
        <w:rPr>
          <w:rFonts w:ascii="Times New Roman" w:hAnsi="Times New Roman"/>
          <w:sz w:val="28"/>
          <w:szCs w:val="28"/>
        </w:rPr>
        <w:t>ОС.</w:t>
      </w:r>
    </w:p>
    <w:p w:rsidR="00310757" w:rsidRDefault="00310757" w:rsidP="00864156">
      <w:pPr>
        <w:shd w:val="clear" w:color="auto" w:fill="FFFFFF"/>
        <w:spacing w:after="0" w:line="360" w:lineRule="auto"/>
        <w:ind w:firstLine="709"/>
        <w:jc w:val="both"/>
        <w:rPr>
          <w:rFonts w:ascii="Times New Roman" w:hAnsi="Times New Roman"/>
          <w:sz w:val="28"/>
          <w:szCs w:val="28"/>
        </w:rPr>
      </w:pPr>
    </w:p>
    <w:p w:rsidR="00310757" w:rsidRDefault="00310757" w:rsidP="00864156">
      <w:pPr>
        <w:shd w:val="clear" w:color="auto" w:fill="FFFFFF"/>
        <w:spacing w:after="0" w:line="360" w:lineRule="auto"/>
        <w:ind w:firstLine="709"/>
        <w:jc w:val="both"/>
        <w:rPr>
          <w:rFonts w:ascii="Times New Roman" w:hAnsi="Times New Roman"/>
          <w:sz w:val="28"/>
          <w:szCs w:val="28"/>
        </w:rPr>
      </w:pPr>
      <w:r w:rsidRPr="0013056D">
        <w:rPr>
          <w:rFonts w:ascii="Times New Roman" w:hAnsi="Times New Roman"/>
          <w:sz w:val="28"/>
          <w:szCs w:val="28"/>
        </w:rPr>
        <w:lastRenderedPageBreak/>
        <w:t>Результати, викладені в даному розділі, опубліковані в наступних наукових працях автора</w:t>
      </w:r>
      <w:r>
        <w:rPr>
          <w:rFonts w:ascii="Times New Roman" w:hAnsi="Times New Roman"/>
          <w:sz w:val="28"/>
          <w:szCs w:val="28"/>
        </w:rPr>
        <w:t>:</w:t>
      </w:r>
    </w:p>
    <w:p w:rsidR="00310757" w:rsidRPr="00310757" w:rsidRDefault="00310757" w:rsidP="00310757">
      <w:pPr>
        <w:pStyle w:val="a8"/>
        <w:numPr>
          <w:ilvl w:val="0"/>
          <w:numId w:val="43"/>
        </w:numPr>
        <w:shd w:val="clear" w:color="auto" w:fill="FFFFFF"/>
        <w:spacing w:after="0" w:line="360" w:lineRule="auto"/>
        <w:ind w:left="0" w:firstLine="709"/>
        <w:jc w:val="both"/>
        <w:rPr>
          <w:rFonts w:ascii="Times New Roman" w:hAnsi="Times New Roman"/>
          <w:sz w:val="28"/>
          <w:szCs w:val="28"/>
        </w:rPr>
      </w:pPr>
      <w:r w:rsidRPr="00645092">
        <w:rPr>
          <w:rFonts w:ascii="Times New Roman" w:hAnsi="Times New Roman"/>
          <w:sz w:val="28"/>
          <w:szCs w:val="28"/>
        </w:rPr>
        <w:t>Кисиленко К.В. Інтерлейкін-22 у хворих на гіпертонічну хворобу з абдомінальним ожирінням / О.М. Ковальова, Т.В. Ащеулова, К.В. Кисиленко // Вісник проблем біології і медицини. – 2017, Вип. 4, том 1 (139). – С.</w:t>
      </w:r>
      <w:r w:rsidRPr="00645092">
        <w:rPr>
          <w:rFonts w:ascii="Times New Roman" w:hAnsi="Times New Roman"/>
          <w:color w:val="000000"/>
          <w:sz w:val="28"/>
          <w:szCs w:val="28"/>
        </w:rPr>
        <w:t xml:space="preserve"> 161-167.</w:t>
      </w:r>
    </w:p>
    <w:p w:rsidR="00310757" w:rsidRPr="00310757" w:rsidRDefault="00310757" w:rsidP="00310757">
      <w:pPr>
        <w:pStyle w:val="a8"/>
        <w:numPr>
          <w:ilvl w:val="0"/>
          <w:numId w:val="43"/>
        </w:numPr>
        <w:shd w:val="clear" w:color="auto" w:fill="FFFFFF"/>
        <w:spacing w:after="0" w:line="360" w:lineRule="auto"/>
        <w:ind w:left="0" w:firstLine="709"/>
        <w:jc w:val="both"/>
        <w:rPr>
          <w:rFonts w:ascii="Times New Roman" w:hAnsi="Times New Roman"/>
          <w:sz w:val="28"/>
          <w:szCs w:val="28"/>
        </w:rPr>
      </w:pPr>
      <w:r w:rsidRPr="00645092">
        <w:rPr>
          <w:rFonts w:ascii="Times New Roman" w:hAnsi="Times New Roman"/>
          <w:sz w:val="28"/>
          <w:szCs w:val="28"/>
        </w:rPr>
        <w:t xml:space="preserve">Кисиленко К.В. Взаимосвязь уровня интерлейкина−22 с развитием </w:t>
      </w:r>
      <w:r w:rsidRPr="004E2F6A">
        <w:rPr>
          <w:rFonts w:ascii="Times New Roman" w:hAnsi="Times New Roman"/>
          <w:sz w:val="28"/>
          <w:szCs w:val="28"/>
        </w:rPr>
        <w:t>ожирения у пациентов с гипертонической болезнью / К.В. Кисиленко // Международный медицинский журнал. – 2018. – № 1. – С. 29-32.</w:t>
      </w:r>
    </w:p>
    <w:p w:rsidR="000F5870" w:rsidRPr="007F5722" w:rsidRDefault="000F5870">
      <w:pPr>
        <w:spacing w:after="0" w:line="240" w:lineRule="auto"/>
        <w:jc w:val="both"/>
        <w:rPr>
          <w:rFonts w:ascii="Times New Roman" w:hAnsi="Times New Roman"/>
          <w:sz w:val="28"/>
          <w:szCs w:val="28"/>
        </w:rPr>
      </w:pPr>
      <w:r w:rsidRPr="007F5722">
        <w:rPr>
          <w:rFonts w:ascii="Times New Roman" w:hAnsi="Times New Roman"/>
          <w:sz w:val="28"/>
          <w:szCs w:val="28"/>
        </w:rPr>
        <w:br w:type="page"/>
      </w:r>
    </w:p>
    <w:p w:rsidR="00E85B0E" w:rsidRPr="007F5722" w:rsidRDefault="00E85B0E" w:rsidP="00864156">
      <w:pPr>
        <w:shd w:val="clear" w:color="auto" w:fill="FFFFFF"/>
        <w:spacing w:after="0" w:line="360" w:lineRule="auto"/>
        <w:ind w:firstLine="709"/>
        <w:jc w:val="both"/>
        <w:rPr>
          <w:rFonts w:ascii="Times New Roman" w:hAnsi="Times New Roman"/>
          <w:sz w:val="28"/>
          <w:szCs w:val="28"/>
        </w:rPr>
        <w:sectPr w:rsidR="00E85B0E" w:rsidRPr="007F5722" w:rsidSect="007C1547">
          <w:pgSz w:w="11906" w:h="16838"/>
          <w:pgMar w:top="1134" w:right="850" w:bottom="1276" w:left="1701" w:header="708" w:footer="708" w:gutter="0"/>
          <w:cols w:space="708"/>
          <w:docGrid w:linePitch="360"/>
        </w:sectPr>
      </w:pPr>
    </w:p>
    <w:p w:rsidR="009C7F6B" w:rsidRPr="007F5722" w:rsidRDefault="00F72A31" w:rsidP="00F72A31">
      <w:pPr>
        <w:shd w:val="clear" w:color="auto" w:fill="FFFFFF"/>
        <w:spacing w:after="0" w:line="360" w:lineRule="auto"/>
        <w:ind w:firstLine="709"/>
        <w:jc w:val="center"/>
        <w:rPr>
          <w:rFonts w:ascii="Times New Roman" w:eastAsia="Times New Roman" w:hAnsi="Times New Roman" w:cs="Times New Roman"/>
          <w:b/>
          <w:bCs/>
          <w:color w:val="000000"/>
          <w:sz w:val="28"/>
          <w:szCs w:val="28"/>
        </w:rPr>
      </w:pPr>
      <w:r w:rsidRPr="007F5722">
        <w:rPr>
          <w:rFonts w:ascii="Times New Roman" w:eastAsia="Times New Roman" w:hAnsi="Times New Roman" w:cs="Times New Roman"/>
          <w:b/>
          <w:bCs/>
          <w:color w:val="000000"/>
          <w:sz w:val="28"/>
          <w:szCs w:val="28"/>
        </w:rPr>
        <w:lastRenderedPageBreak/>
        <w:t>3.2. Базова оцінка ліпідного спектру натще та постпрандіально, аполіпопротеїну В у пацієнтів хворих на гіпертонічну хворобу з ожирінням: взаємозв</w:t>
      </w:r>
      <w:r w:rsidR="00816392" w:rsidRPr="007F5722">
        <w:rPr>
          <w:rFonts w:ascii="Times New Roman" w:eastAsia="Times New Roman" w:hAnsi="Times New Roman" w:cs="Times New Roman"/>
          <w:b/>
          <w:bCs/>
          <w:color w:val="000000"/>
          <w:sz w:val="28"/>
          <w:szCs w:val="28"/>
        </w:rPr>
        <w:t>’</w:t>
      </w:r>
      <w:r w:rsidRPr="007F5722">
        <w:rPr>
          <w:rFonts w:ascii="Times New Roman" w:eastAsia="Times New Roman" w:hAnsi="Times New Roman" w:cs="Times New Roman"/>
          <w:b/>
          <w:bCs/>
          <w:color w:val="000000"/>
          <w:sz w:val="28"/>
          <w:szCs w:val="28"/>
        </w:rPr>
        <w:t>язок з рівнем інтерлейкіну-22</w:t>
      </w:r>
    </w:p>
    <w:p w:rsidR="00864156" w:rsidRPr="007F5722" w:rsidRDefault="00864156" w:rsidP="004C4426">
      <w:pPr>
        <w:shd w:val="clear" w:color="auto" w:fill="FFFFFF"/>
        <w:spacing w:after="0" w:line="360" w:lineRule="auto"/>
        <w:ind w:firstLine="709"/>
        <w:jc w:val="both"/>
        <w:rPr>
          <w:rFonts w:ascii="Times New Roman" w:eastAsia="Times New Roman" w:hAnsi="Times New Roman" w:cs="Times New Roman"/>
          <w:bCs/>
          <w:color w:val="000000"/>
          <w:sz w:val="28"/>
          <w:szCs w:val="28"/>
        </w:rPr>
      </w:pPr>
    </w:p>
    <w:p w:rsidR="00A05B1C" w:rsidRPr="007F5722" w:rsidRDefault="00A05B1C" w:rsidP="00A05B1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Нами були досліджені рівні показників ліпідного спектру у групах хворих на ГХ в залежності від наявності ожиріння та надмірної маси тіла.</w:t>
      </w:r>
    </w:p>
    <w:p w:rsidR="00A05B1C" w:rsidRPr="007F5722" w:rsidRDefault="00A05B1C" w:rsidP="00A05B1C">
      <w:pPr>
        <w:shd w:val="clear" w:color="auto" w:fill="FFFFFF"/>
        <w:spacing w:after="0" w:line="360" w:lineRule="auto"/>
        <w:ind w:firstLine="709"/>
        <w:jc w:val="both"/>
        <w:rPr>
          <w:rFonts w:ascii="Times New Roman" w:eastAsia="Times New Roman" w:hAnsi="Times New Roman" w:cs="Times New Roman"/>
          <w:color w:val="000000"/>
          <w:sz w:val="28"/>
          <w:szCs w:val="28"/>
          <w:lang w:val="ru-RU"/>
        </w:rPr>
      </w:pPr>
      <w:r w:rsidRPr="007F5722">
        <w:rPr>
          <w:rFonts w:ascii="Times New Roman" w:eastAsia="Times New Roman" w:hAnsi="Times New Roman" w:cs="Times New Roman"/>
          <w:color w:val="000000"/>
          <w:sz w:val="28"/>
          <w:szCs w:val="28"/>
        </w:rPr>
        <w:t>Аналіз рівнів ліпідного профілю, в</w:t>
      </w:r>
      <w:r w:rsidR="00A93609">
        <w:rPr>
          <w:rFonts w:ascii="Times New Roman" w:eastAsia="Times New Roman" w:hAnsi="Times New Roman" w:cs="Times New Roman"/>
          <w:color w:val="000000"/>
          <w:sz w:val="28"/>
          <w:szCs w:val="28"/>
        </w:rPr>
        <w:t>иявив достовірне підвищення ЗХС</w:t>
      </w:r>
      <w:r w:rsidRPr="007F5722">
        <w:rPr>
          <w:rFonts w:ascii="Times New Roman" w:eastAsia="Times New Roman" w:hAnsi="Times New Roman" w:cs="Times New Roman"/>
          <w:color w:val="000000"/>
          <w:sz w:val="28"/>
          <w:szCs w:val="28"/>
        </w:rPr>
        <w:t xml:space="preserve"> у групах хворих з ізольованою ГХ та ГХ з ожирінням в порівнянні з групою контролю. Також спостерігалася достовірна різниця між показниками ЗХС в основній групі та групі порівняння. </w:t>
      </w:r>
    </w:p>
    <w:p w:rsidR="00A05B1C" w:rsidRPr="007F5722" w:rsidRDefault="00A05B1C" w:rsidP="00A05B1C">
      <w:pPr>
        <w:shd w:val="clear" w:color="auto" w:fill="FFFFFF"/>
        <w:spacing w:after="0" w:line="360" w:lineRule="auto"/>
        <w:ind w:firstLine="709"/>
        <w:jc w:val="both"/>
        <w:rPr>
          <w:rFonts w:ascii="Times New Roman" w:eastAsia="Times New Roman" w:hAnsi="Times New Roman" w:cs="Times New Roman"/>
          <w:noProof/>
          <w:color w:val="000000"/>
          <w:sz w:val="28"/>
          <w:szCs w:val="28"/>
          <w:lang w:eastAsia="ru-RU"/>
        </w:rPr>
      </w:pPr>
      <w:r w:rsidRPr="007F5722">
        <w:rPr>
          <w:rFonts w:ascii="Times New Roman" w:eastAsia="Times New Roman" w:hAnsi="Times New Roman" w:cs="Times New Roman"/>
          <w:color w:val="000000"/>
          <w:sz w:val="28"/>
          <w:szCs w:val="28"/>
        </w:rPr>
        <w:t>Встановлено також, що через 6 годин після проведення стандартного жирового навантаження у обстежених хворих на ГХ з ожирінням відзначалось статистично значиме підвищення рівню ЗХС майже на 9% і тригліцеридів на 18% (рисунок 3.2.1).</w:t>
      </w:r>
    </w:p>
    <w:p w:rsidR="00A05B1C" w:rsidRPr="007F5722" w:rsidRDefault="00A05B1C" w:rsidP="00A05B1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noProof/>
          <w:color w:val="000000"/>
          <w:sz w:val="28"/>
          <w:szCs w:val="28"/>
          <w:lang w:val="ru-RU" w:eastAsia="ru-RU"/>
        </w:rPr>
        <w:drawing>
          <wp:inline distT="0" distB="0" distL="0" distR="0">
            <wp:extent cx="5486400" cy="32004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05B1C" w:rsidRPr="007F5722" w:rsidRDefault="00A05B1C" w:rsidP="00A05B1C">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color w:val="000000"/>
          <w:sz w:val="28"/>
          <w:szCs w:val="28"/>
        </w:rPr>
        <w:t xml:space="preserve">Рис. 3.2.1. </w:t>
      </w:r>
      <w:r w:rsidRPr="007F5722">
        <w:rPr>
          <w:rFonts w:ascii="Times New Roman" w:eastAsia="Times New Roman" w:hAnsi="Times New Roman" w:cs="Times New Roman"/>
          <w:bCs/>
          <w:color w:val="000000"/>
          <w:sz w:val="28"/>
          <w:szCs w:val="28"/>
        </w:rPr>
        <w:t>Рівень ЗХС натще та постпрандіально в групах обстежених осіб</w:t>
      </w:r>
    </w:p>
    <w:p w:rsidR="00A05B1C" w:rsidRPr="007F5722" w:rsidRDefault="00A05B1C" w:rsidP="00A05B1C">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 xml:space="preserve">Рівень ТГ був максимальним, як натще так і постпрандіально у пацієнтів хворих на ГХ з ожирінням, достовірно вищим за аналогічні показники КГ (рисунок 3.2.2). Разом з тим, нами не виявлено достовірних відмінностей рівня </w:t>
      </w:r>
      <w:r w:rsidRPr="007F5722">
        <w:rPr>
          <w:rFonts w:ascii="Times New Roman" w:eastAsia="Times New Roman" w:hAnsi="Times New Roman" w:cs="Times New Roman"/>
          <w:bCs/>
          <w:color w:val="000000"/>
          <w:sz w:val="28"/>
          <w:szCs w:val="28"/>
        </w:rPr>
        <w:lastRenderedPageBreak/>
        <w:t>ТГ натще та через 6 годин після стандартного жирового навантаження постпрандіально у пацієнтів хворих на ГХ з нормальною масою тіла та КГ.</w:t>
      </w:r>
    </w:p>
    <w:p w:rsidR="00A05B1C" w:rsidRPr="007F5722" w:rsidRDefault="00E53088" w:rsidP="00A05B1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noProof/>
          <w:color w:val="000000"/>
          <w:sz w:val="28"/>
          <w:szCs w:val="28"/>
          <w:lang w:val="ru-RU" w:eastAsia="ru-RU"/>
        </w:rPr>
        <mc:AlternateContent>
          <mc:Choice Requires="wps">
            <w:drawing>
              <wp:anchor distT="0" distB="0" distL="114300" distR="114300" simplePos="0" relativeHeight="251663360" behindDoc="0" locked="0" layoutInCell="1" allowOverlap="1">
                <wp:simplePos x="0" y="0"/>
                <wp:positionH relativeFrom="column">
                  <wp:posOffset>4119245</wp:posOffset>
                </wp:positionH>
                <wp:positionV relativeFrom="paragraph">
                  <wp:posOffset>1852930</wp:posOffset>
                </wp:positionV>
                <wp:extent cx="1786255" cy="1329055"/>
                <wp:effectExtent l="0" t="0" r="4445" b="4445"/>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329055"/>
                        </a:xfrm>
                        <a:prstGeom prst="rect">
                          <a:avLst/>
                        </a:prstGeom>
                        <a:solidFill>
                          <a:srgbClr val="FFFFFF"/>
                        </a:solidFill>
                        <a:ln w="9525">
                          <a:solidFill>
                            <a:schemeClr val="bg1">
                              <a:lumMod val="100000"/>
                              <a:lumOff val="0"/>
                            </a:schemeClr>
                          </a:solidFill>
                          <a:miter lim="800000"/>
                          <a:headEnd/>
                          <a:tailEnd/>
                        </a:ln>
                      </wps:spPr>
                      <wps:txbx>
                        <w:txbxContent>
                          <w:p w:rsidR="000B5F47" w:rsidRPr="002A2DFE" w:rsidRDefault="000B5F47" w:rsidP="00A05B1C">
                            <w:pPr>
                              <w:spacing w:after="0" w:line="240" w:lineRule="auto"/>
                              <w:jc w:val="both"/>
                              <w:rPr>
                                <w:rFonts w:ascii="Times New Roman" w:hAnsi="Times New Roman" w:cs="Times New Roman"/>
                                <w:sz w:val="24"/>
                                <w:szCs w:val="24"/>
                                <w:lang w:val="ru-RU"/>
                              </w:rPr>
                            </w:pPr>
                            <w:r w:rsidRPr="002A2DFE">
                              <w:rPr>
                                <w:rFonts w:ascii="Times New Roman" w:hAnsi="Times New Roman" w:cs="Times New Roman"/>
                                <w:b/>
                                <w:bCs/>
                                <w:sz w:val="28"/>
                                <w:szCs w:val="28"/>
                              </w:rPr>
                              <w:t>*</w:t>
                            </w:r>
                            <w:r w:rsidRPr="002A2DFE">
                              <w:rPr>
                                <w:rFonts w:ascii="Times New Roman" w:hAnsi="Times New Roman" w:cs="Times New Roman"/>
                                <w:sz w:val="24"/>
                                <w:szCs w:val="24"/>
                              </w:rPr>
                              <w:t xml:space="preserve">достовірна </w:t>
                            </w:r>
                            <w:r w:rsidRPr="002A2DFE">
                              <w:rPr>
                                <w:rFonts w:ascii="Times New Roman" w:hAnsi="Times New Roman" w:cs="Times New Roman"/>
                                <w:sz w:val="24"/>
                                <w:szCs w:val="24"/>
                                <w:lang w:val="ru-RU"/>
                              </w:rPr>
                              <w:t>відмінність з КГ(р&lt;0,05);</w:t>
                            </w:r>
                          </w:p>
                          <w:p w:rsidR="000B5F47" w:rsidRPr="002A2DFE" w:rsidRDefault="000B5F47" w:rsidP="00A05B1C">
                            <w:pPr>
                              <w:spacing w:after="0" w:line="240" w:lineRule="auto"/>
                              <w:jc w:val="both"/>
                              <w:rPr>
                                <w:rFonts w:ascii="Times New Roman" w:hAnsi="Times New Roman" w:cs="Times New Roman"/>
                                <w:lang w:val="ru-RU"/>
                              </w:rPr>
                            </w:pPr>
                            <w:r w:rsidRPr="002A2DFE">
                              <w:rPr>
                                <w:rFonts w:ascii="Times New Roman" w:hAnsi="Times New Roman" w:cs="Times New Roman"/>
                                <w:b/>
                                <w:bCs/>
                                <w:sz w:val="28"/>
                                <w:szCs w:val="28"/>
                              </w:rPr>
                              <w:t>**</w:t>
                            </w:r>
                            <w:r w:rsidRPr="002A2DFE">
                              <w:rPr>
                                <w:rFonts w:ascii="Times New Roman" w:hAnsi="Times New Roman" w:cs="Times New Roman"/>
                                <w:sz w:val="24"/>
                                <w:szCs w:val="24"/>
                              </w:rPr>
                              <w:t>достовірна</w:t>
                            </w:r>
                            <w:r w:rsidRPr="002A2DFE">
                              <w:rPr>
                                <w:rFonts w:ascii="Times New Roman" w:hAnsi="Times New Roman" w:cs="Times New Roman"/>
                              </w:rPr>
                              <w:t xml:space="preserve"> </w:t>
                            </w:r>
                            <w:r w:rsidRPr="002A2DFE">
                              <w:rPr>
                                <w:rFonts w:ascii="Times New Roman" w:hAnsi="Times New Roman" w:cs="Times New Roman"/>
                                <w:sz w:val="24"/>
                                <w:szCs w:val="24"/>
                                <w:lang w:val="ru-RU"/>
                              </w:rPr>
                              <w:t>відмінність з</w:t>
                            </w:r>
                            <w:r>
                              <w:rPr>
                                <w:rFonts w:ascii="Times New Roman" w:hAnsi="Times New Roman" w:cs="Times New Roman"/>
                                <w:sz w:val="24"/>
                                <w:szCs w:val="24"/>
                                <w:lang w:val="ru-RU"/>
                              </w:rPr>
                              <w:t> </w:t>
                            </w:r>
                            <w:r w:rsidRPr="002A2DFE">
                              <w:rPr>
                                <w:rFonts w:ascii="Times New Roman" w:hAnsi="Times New Roman" w:cs="Times New Roman"/>
                                <w:sz w:val="24"/>
                                <w:szCs w:val="24"/>
                                <w:lang w:val="ru-RU"/>
                              </w:rPr>
                              <w:t>групою</w:t>
                            </w:r>
                            <w:r>
                              <w:rPr>
                                <w:rFonts w:ascii="Times New Roman" w:hAnsi="Times New Roman" w:cs="Times New Roman"/>
                                <w:sz w:val="24"/>
                                <w:szCs w:val="24"/>
                                <w:lang w:val="ru-RU"/>
                              </w:rPr>
                              <w:t xml:space="preserve"> </w:t>
                            </w:r>
                            <w:r w:rsidRPr="002A2DFE">
                              <w:rPr>
                                <w:rFonts w:ascii="Times New Roman" w:hAnsi="Times New Roman" w:cs="Times New Roman"/>
                                <w:sz w:val="24"/>
                                <w:szCs w:val="24"/>
                              </w:rPr>
                              <w:t>хворих на ГХ (р&lt;0,05)</w:t>
                            </w:r>
                          </w:p>
                          <w:p w:rsidR="000B5F47" w:rsidRPr="002A2DFE" w:rsidRDefault="000B5F47" w:rsidP="00A05B1C">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24.35pt;margin-top:145.9pt;width:140.65pt;height:10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" strokecolor="white [3212]">
                <v:textbox>
                  <w:txbxContent>
                    <w:p w:rsidR="000B5F47" w:rsidRPr="002A2DFE" w:rsidRDefault="000B5F47" w:rsidP="00A05B1C">
                      <w:pPr>
                        <w:spacing w:after="0" w:line="240" w:lineRule="auto"/>
                        <w:jc w:val="both"/>
                        <w:rPr>
                          <w:rFonts w:ascii="Times New Roman" w:hAnsi="Times New Roman" w:cs="Times New Roman"/>
                          <w:sz w:val="24"/>
                          <w:szCs w:val="24"/>
                          <w:lang w:val="ru-RU"/>
                        </w:rPr>
                      </w:pPr>
                      <w:r w:rsidRPr="002A2DFE">
                        <w:rPr>
                          <w:rFonts w:ascii="Times New Roman" w:hAnsi="Times New Roman" w:cs="Times New Roman"/>
                          <w:b/>
                          <w:bCs/>
                          <w:sz w:val="28"/>
                          <w:szCs w:val="28"/>
                        </w:rPr>
                        <w:t>*</w:t>
                      </w:r>
                      <w:r w:rsidRPr="002A2DFE">
                        <w:rPr>
                          <w:rFonts w:ascii="Times New Roman" w:hAnsi="Times New Roman" w:cs="Times New Roman"/>
                          <w:sz w:val="24"/>
                          <w:szCs w:val="24"/>
                        </w:rPr>
                        <w:t xml:space="preserve">достовірна </w:t>
                      </w:r>
                      <w:r w:rsidRPr="002A2DFE">
                        <w:rPr>
                          <w:rFonts w:ascii="Times New Roman" w:hAnsi="Times New Roman" w:cs="Times New Roman"/>
                          <w:sz w:val="24"/>
                          <w:szCs w:val="24"/>
                          <w:lang w:val="ru-RU"/>
                        </w:rPr>
                        <w:t>відмінність з КГ(р&lt;0,05);</w:t>
                      </w:r>
                    </w:p>
                    <w:p w:rsidR="000B5F47" w:rsidRPr="002A2DFE" w:rsidRDefault="000B5F47" w:rsidP="00A05B1C">
                      <w:pPr>
                        <w:spacing w:after="0" w:line="240" w:lineRule="auto"/>
                        <w:jc w:val="both"/>
                        <w:rPr>
                          <w:rFonts w:ascii="Times New Roman" w:hAnsi="Times New Roman" w:cs="Times New Roman"/>
                          <w:lang w:val="ru-RU"/>
                        </w:rPr>
                      </w:pPr>
                      <w:r w:rsidRPr="002A2DFE">
                        <w:rPr>
                          <w:rFonts w:ascii="Times New Roman" w:hAnsi="Times New Roman" w:cs="Times New Roman"/>
                          <w:b/>
                          <w:bCs/>
                          <w:sz w:val="28"/>
                          <w:szCs w:val="28"/>
                        </w:rPr>
                        <w:t>**</w:t>
                      </w:r>
                      <w:r w:rsidRPr="002A2DFE">
                        <w:rPr>
                          <w:rFonts w:ascii="Times New Roman" w:hAnsi="Times New Roman" w:cs="Times New Roman"/>
                          <w:sz w:val="24"/>
                          <w:szCs w:val="24"/>
                        </w:rPr>
                        <w:t>достовірна</w:t>
                      </w:r>
                      <w:r w:rsidRPr="002A2DFE">
                        <w:rPr>
                          <w:rFonts w:ascii="Times New Roman" w:hAnsi="Times New Roman" w:cs="Times New Roman"/>
                        </w:rPr>
                        <w:t xml:space="preserve"> </w:t>
                      </w:r>
                      <w:r w:rsidRPr="002A2DFE">
                        <w:rPr>
                          <w:rFonts w:ascii="Times New Roman" w:hAnsi="Times New Roman" w:cs="Times New Roman"/>
                          <w:sz w:val="24"/>
                          <w:szCs w:val="24"/>
                          <w:lang w:val="ru-RU"/>
                        </w:rPr>
                        <w:t>відмінність з</w:t>
                      </w:r>
                      <w:r>
                        <w:rPr>
                          <w:rFonts w:ascii="Times New Roman" w:hAnsi="Times New Roman" w:cs="Times New Roman"/>
                          <w:sz w:val="24"/>
                          <w:szCs w:val="24"/>
                          <w:lang w:val="ru-RU"/>
                        </w:rPr>
                        <w:t> </w:t>
                      </w:r>
                      <w:r w:rsidRPr="002A2DFE">
                        <w:rPr>
                          <w:rFonts w:ascii="Times New Roman" w:hAnsi="Times New Roman" w:cs="Times New Roman"/>
                          <w:sz w:val="24"/>
                          <w:szCs w:val="24"/>
                          <w:lang w:val="ru-RU"/>
                        </w:rPr>
                        <w:t>групою</w:t>
                      </w:r>
                      <w:r>
                        <w:rPr>
                          <w:rFonts w:ascii="Times New Roman" w:hAnsi="Times New Roman" w:cs="Times New Roman"/>
                          <w:sz w:val="24"/>
                          <w:szCs w:val="24"/>
                          <w:lang w:val="ru-RU"/>
                        </w:rPr>
                        <w:t xml:space="preserve"> </w:t>
                      </w:r>
                      <w:r w:rsidRPr="002A2DFE">
                        <w:rPr>
                          <w:rFonts w:ascii="Times New Roman" w:hAnsi="Times New Roman" w:cs="Times New Roman"/>
                          <w:sz w:val="24"/>
                          <w:szCs w:val="24"/>
                        </w:rPr>
                        <w:t>хворих на ГХ (р&lt;0,05)</w:t>
                      </w:r>
                    </w:p>
                    <w:p w:rsidR="000B5F47" w:rsidRPr="002A2DFE" w:rsidRDefault="000B5F47" w:rsidP="00A05B1C">
                      <w:pPr>
                        <w:rPr>
                          <w:lang w:val="ru-RU"/>
                        </w:rPr>
                      </w:pPr>
                    </w:p>
                  </w:txbxContent>
                </v:textbox>
              </v:shape>
            </w:pict>
          </mc:Fallback>
        </mc:AlternateContent>
      </w:r>
      <w:r w:rsidR="00A05B1C" w:rsidRPr="007F5722">
        <w:rPr>
          <w:rFonts w:ascii="Times New Roman" w:eastAsia="Times New Roman" w:hAnsi="Times New Roman" w:cs="Times New Roman"/>
          <w:noProof/>
          <w:color w:val="000000"/>
          <w:sz w:val="28"/>
          <w:szCs w:val="28"/>
          <w:lang w:val="ru-RU" w:eastAsia="ru-RU"/>
        </w:rPr>
        <w:drawing>
          <wp:inline distT="0" distB="0" distL="0" distR="0">
            <wp:extent cx="5486400" cy="320040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05B1C" w:rsidRPr="007F5722" w:rsidRDefault="00A05B1C" w:rsidP="00A05B1C">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color w:val="000000"/>
          <w:sz w:val="28"/>
          <w:szCs w:val="28"/>
        </w:rPr>
        <w:t xml:space="preserve">Рис. 3.2.2. </w:t>
      </w:r>
      <w:r w:rsidRPr="007F5722">
        <w:rPr>
          <w:rFonts w:ascii="Times New Roman" w:eastAsia="Times New Roman" w:hAnsi="Times New Roman" w:cs="Times New Roman"/>
          <w:bCs/>
          <w:color w:val="000000"/>
          <w:sz w:val="28"/>
          <w:szCs w:val="28"/>
        </w:rPr>
        <w:t>Рівень ТГ натще та постпрандіально в групах обстежених осіб</w:t>
      </w:r>
    </w:p>
    <w:p w:rsidR="00A05B1C" w:rsidRPr="007F5722" w:rsidRDefault="00A05B1C" w:rsidP="00A05B1C">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Результати нашого дослідження свідчать про достовірно нижчі показники рівню ХС ЛПВЩ у хворих на ГХ з нормальною масою тіла та у хворих на ГХ з супутнім ожирінням порівняно з КГ (рисунок 3.2.3)</w:t>
      </w:r>
    </w:p>
    <w:p w:rsidR="00A05B1C" w:rsidRPr="007F5722" w:rsidRDefault="00A05B1C" w:rsidP="00A05B1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noProof/>
          <w:color w:val="000000"/>
          <w:sz w:val="28"/>
          <w:szCs w:val="28"/>
          <w:lang w:val="ru-RU" w:eastAsia="ru-RU"/>
        </w:rPr>
        <w:drawing>
          <wp:inline distT="0" distB="0" distL="0" distR="0">
            <wp:extent cx="5486400" cy="320040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05B1C" w:rsidRPr="007F5722" w:rsidRDefault="00A05B1C" w:rsidP="00A05B1C">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color w:val="000000"/>
          <w:sz w:val="28"/>
          <w:szCs w:val="28"/>
        </w:rPr>
        <w:t xml:space="preserve">Рис. 3.2.3. </w:t>
      </w:r>
      <w:r w:rsidRPr="007F5722">
        <w:rPr>
          <w:rFonts w:ascii="Times New Roman" w:eastAsia="Times New Roman" w:hAnsi="Times New Roman" w:cs="Times New Roman"/>
          <w:bCs/>
          <w:color w:val="000000"/>
          <w:sz w:val="28"/>
          <w:szCs w:val="28"/>
        </w:rPr>
        <w:t>Рівень ХС ЛПВЩ натще та постпрандіально в групах обстежених осіб</w:t>
      </w:r>
    </w:p>
    <w:p w:rsidR="00A05B1C" w:rsidRPr="007F5722" w:rsidRDefault="00A05B1C" w:rsidP="00A05B1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bCs/>
          <w:color w:val="000000"/>
          <w:sz w:val="28"/>
          <w:szCs w:val="28"/>
        </w:rPr>
        <w:lastRenderedPageBreak/>
        <w:t xml:space="preserve">При аналізі рівня ХС ЛПНЩ нами встановлено чітку тенденцію зростання його рівня залежно від наявності ГХ та надмірної маси тіла та ожиріння (рисунок 3.2.4). </w:t>
      </w:r>
      <w:r w:rsidRPr="007F5722">
        <w:rPr>
          <w:rFonts w:ascii="Times New Roman" w:eastAsia="Times New Roman" w:hAnsi="Times New Roman" w:cs="Times New Roman"/>
          <w:color w:val="000000"/>
          <w:sz w:val="28"/>
          <w:szCs w:val="28"/>
        </w:rPr>
        <w:t>У групі хворих на ГХ відзначалось стійке підвищення ХС ЛПНЩ на 26% у постпрандіальний період, при тому що базальний рівень їх був майже на верхній межі норми. Це може свідчити про приховану неспроможність компенсаторних метаболічних структур у цих хворих.</w:t>
      </w:r>
    </w:p>
    <w:p w:rsidR="00A05B1C" w:rsidRPr="007F5722" w:rsidRDefault="00A05B1C" w:rsidP="00A05B1C">
      <w:pPr>
        <w:shd w:val="clear" w:color="auto" w:fill="FFFFFF"/>
        <w:spacing w:after="0" w:line="360" w:lineRule="auto"/>
        <w:ind w:firstLine="709"/>
        <w:jc w:val="both"/>
        <w:rPr>
          <w:rFonts w:ascii="Times New Roman" w:eastAsia="Times New Roman" w:hAnsi="Times New Roman" w:cs="Times New Roman"/>
          <w:bCs/>
          <w:color w:val="000000"/>
          <w:sz w:val="28"/>
          <w:szCs w:val="28"/>
        </w:rPr>
      </w:pPr>
    </w:p>
    <w:p w:rsidR="00A05B1C" w:rsidRPr="007F5722" w:rsidRDefault="00E53088" w:rsidP="00A05B1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noProof/>
          <w:color w:val="000000"/>
          <w:sz w:val="28"/>
          <w:szCs w:val="28"/>
          <w:lang w:val="ru-RU" w:eastAsia="ru-RU"/>
        </w:rPr>
        <mc:AlternateContent>
          <mc:Choice Requires="wps">
            <w:drawing>
              <wp:anchor distT="0" distB="0" distL="114300" distR="114300" simplePos="0" relativeHeight="251664384" behindDoc="0" locked="0" layoutInCell="1" allowOverlap="1">
                <wp:simplePos x="0" y="0"/>
                <wp:positionH relativeFrom="column">
                  <wp:posOffset>4193540</wp:posOffset>
                </wp:positionH>
                <wp:positionV relativeFrom="paragraph">
                  <wp:posOffset>1985645</wp:posOffset>
                </wp:positionV>
                <wp:extent cx="1732915" cy="1179830"/>
                <wp:effectExtent l="0" t="0" r="635" b="127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179830"/>
                        </a:xfrm>
                        <a:prstGeom prst="rect">
                          <a:avLst/>
                        </a:prstGeom>
                        <a:solidFill>
                          <a:srgbClr val="FFFFFF"/>
                        </a:solidFill>
                        <a:ln w="9525">
                          <a:solidFill>
                            <a:schemeClr val="bg1">
                              <a:lumMod val="100000"/>
                              <a:lumOff val="0"/>
                            </a:schemeClr>
                          </a:solidFill>
                          <a:miter lim="800000"/>
                          <a:headEnd/>
                          <a:tailEnd/>
                        </a:ln>
                      </wps:spPr>
                      <wps:txbx>
                        <w:txbxContent>
                          <w:p w:rsidR="000B5F47" w:rsidRPr="002A2DFE" w:rsidRDefault="000B5F47" w:rsidP="00A05B1C">
                            <w:pPr>
                              <w:spacing w:after="0" w:line="240" w:lineRule="auto"/>
                              <w:jc w:val="both"/>
                              <w:rPr>
                                <w:rFonts w:ascii="Times New Roman" w:hAnsi="Times New Roman" w:cs="Times New Roman"/>
                                <w:sz w:val="24"/>
                                <w:szCs w:val="24"/>
                                <w:lang w:val="ru-RU"/>
                              </w:rPr>
                            </w:pPr>
                            <w:r w:rsidRPr="002A2DFE">
                              <w:rPr>
                                <w:rFonts w:ascii="Times New Roman" w:hAnsi="Times New Roman" w:cs="Times New Roman"/>
                                <w:b/>
                                <w:bCs/>
                                <w:sz w:val="28"/>
                                <w:szCs w:val="28"/>
                              </w:rPr>
                              <w:t>*</w:t>
                            </w:r>
                            <w:r w:rsidRPr="002A2DFE">
                              <w:rPr>
                                <w:rFonts w:ascii="Times New Roman" w:hAnsi="Times New Roman" w:cs="Times New Roman"/>
                                <w:sz w:val="24"/>
                                <w:szCs w:val="24"/>
                              </w:rPr>
                              <w:t xml:space="preserve">достовірна </w:t>
                            </w:r>
                            <w:r w:rsidRPr="002A2DFE">
                              <w:rPr>
                                <w:rFonts w:ascii="Times New Roman" w:hAnsi="Times New Roman" w:cs="Times New Roman"/>
                                <w:sz w:val="24"/>
                                <w:szCs w:val="24"/>
                                <w:lang w:val="ru-RU"/>
                              </w:rPr>
                              <w:t>відмінність з КГ(р&lt;0,05);</w:t>
                            </w:r>
                          </w:p>
                          <w:p w:rsidR="000B5F47" w:rsidRPr="002A2DFE" w:rsidRDefault="000B5F47" w:rsidP="00A05B1C">
                            <w:pPr>
                              <w:spacing w:after="0" w:line="240" w:lineRule="auto"/>
                              <w:jc w:val="both"/>
                              <w:rPr>
                                <w:rFonts w:ascii="Times New Roman" w:hAnsi="Times New Roman" w:cs="Times New Roman"/>
                                <w:lang w:val="ru-RU"/>
                              </w:rPr>
                            </w:pPr>
                            <w:r w:rsidRPr="002A2DFE">
                              <w:rPr>
                                <w:rFonts w:ascii="Times New Roman" w:hAnsi="Times New Roman" w:cs="Times New Roman"/>
                                <w:b/>
                                <w:bCs/>
                                <w:sz w:val="28"/>
                                <w:szCs w:val="28"/>
                              </w:rPr>
                              <w:t>**</w:t>
                            </w:r>
                            <w:r w:rsidRPr="002A2DFE">
                              <w:rPr>
                                <w:rFonts w:ascii="Times New Roman" w:hAnsi="Times New Roman" w:cs="Times New Roman"/>
                                <w:sz w:val="24"/>
                                <w:szCs w:val="24"/>
                              </w:rPr>
                              <w:t>достовірна</w:t>
                            </w:r>
                            <w:r w:rsidRPr="002A2DFE">
                              <w:rPr>
                                <w:rFonts w:ascii="Times New Roman" w:hAnsi="Times New Roman" w:cs="Times New Roman"/>
                              </w:rPr>
                              <w:t xml:space="preserve"> </w:t>
                            </w:r>
                            <w:r w:rsidRPr="002A2DFE">
                              <w:rPr>
                                <w:rFonts w:ascii="Times New Roman" w:hAnsi="Times New Roman" w:cs="Times New Roman"/>
                                <w:sz w:val="24"/>
                                <w:szCs w:val="24"/>
                                <w:lang w:val="ru-RU"/>
                              </w:rPr>
                              <w:t>відмінність з</w:t>
                            </w:r>
                            <w:r>
                              <w:rPr>
                                <w:rFonts w:ascii="Times New Roman" w:hAnsi="Times New Roman" w:cs="Times New Roman"/>
                                <w:sz w:val="24"/>
                                <w:szCs w:val="24"/>
                                <w:lang w:val="ru-RU"/>
                              </w:rPr>
                              <w:t> </w:t>
                            </w:r>
                            <w:r w:rsidRPr="002A2DFE">
                              <w:rPr>
                                <w:rFonts w:ascii="Times New Roman" w:hAnsi="Times New Roman" w:cs="Times New Roman"/>
                                <w:sz w:val="24"/>
                                <w:szCs w:val="24"/>
                                <w:lang w:val="ru-RU"/>
                              </w:rPr>
                              <w:t>групою</w:t>
                            </w:r>
                            <w:r>
                              <w:rPr>
                                <w:rFonts w:ascii="Times New Roman" w:hAnsi="Times New Roman" w:cs="Times New Roman"/>
                                <w:sz w:val="24"/>
                                <w:szCs w:val="24"/>
                                <w:lang w:val="ru-RU"/>
                              </w:rPr>
                              <w:t xml:space="preserve"> </w:t>
                            </w:r>
                            <w:r w:rsidRPr="002A2DFE">
                              <w:rPr>
                                <w:rFonts w:ascii="Times New Roman" w:hAnsi="Times New Roman" w:cs="Times New Roman"/>
                                <w:sz w:val="24"/>
                                <w:szCs w:val="24"/>
                              </w:rPr>
                              <w:t>хворих на ГХ (р&lt;0,05)</w:t>
                            </w:r>
                          </w:p>
                          <w:p w:rsidR="000B5F47" w:rsidRPr="000361A5" w:rsidRDefault="000B5F47" w:rsidP="00A05B1C">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330.2pt;margin-top:156.35pt;width:136.45pt;height:9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" strokecolor="white [3212]">
                <v:textbox>
                  <w:txbxContent>
                    <w:p w:rsidR="000B5F47" w:rsidRPr="002A2DFE" w:rsidRDefault="000B5F47" w:rsidP="00A05B1C">
                      <w:pPr>
                        <w:spacing w:after="0" w:line="240" w:lineRule="auto"/>
                        <w:jc w:val="both"/>
                        <w:rPr>
                          <w:rFonts w:ascii="Times New Roman" w:hAnsi="Times New Roman" w:cs="Times New Roman"/>
                          <w:sz w:val="24"/>
                          <w:szCs w:val="24"/>
                          <w:lang w:val="ru-RU"/>
                        </w:rPr>
                      </w:pPr>
                      <w:r w:rsidRPr="002A2DFE">
                        <w:rPr>
                          <w:rFonts w:ascii="Times New Roman" w:hAnsi="Times New Roman" w:cs="Times New Roman"/>
                          <w:b/>
                          <w:bCs/>
                          <w:sz w:val="28"/>
                          <w:szCs w:val="28"/>
                        </w:rPr>
                        <w:t>*</w:t>
                      </w:r>
                      <w:r w:rsidRPr="002A2DFE">
                        <w:rPr>
                          <w:rFonts w:ascii="Times New Roman" w:hAnsi="Times New Roman" w:cs="Times New Roman"/>
                          <w:sz w:val="24"/>
                          <w:szCs w:val="24"/>
                        </w:rPr>
                        <w:t xml:space="preserve">достовірна </w:t>
                      </w:r>
                      <w:r w:rsidRPr="002A2DFE">
                        <w:rPr>
                          <w:rFonts w:ascii="Times New Roman" w:hAnsi="Times New Roman" w:cs="Times New Roman"/>
                          <w:sz w:val="24"/>
                          <w:szCs w:val="24"/>
                          <w:lang w:val="ru-RU"/>
                        </w:rPr>
                        <w:t>відмінність з КГ(р&lt;0,05);</w:t>
                      </w:r>
                    </w:p>
                    <w:p w:rsidR="000B5F47" w:rsidRPr="002A2DFE" w:rsidRDefault="000B5F47" w:rsidP="00A05B1C">
                      <w:pPr>
                        <w:spacing w:after="0" w:line="240" w:lineRule="auto"/>
                        <w:jc w:val="both"/>
                        <w:rPr>
                          <w:rFonts w:ascii="Times New Roman" w:hAnsi="Times New Roman" w:cs="Times New Roman"/>
                          <w:lang w:val="ru-RU"/>
                        </w:rPr>
                      </w:pPr>
                      <w:r w:rsidRPr="002A2DFE">
                        <w:rPr>
                          <w:rFonts w:ascii="Times New Roman" w:hAnsi="Times New Roman" w:cs="Times New Roman"/>
                          <w:b/>
                          <w:bCs/>
                          <w:sz w:val="28"/>
                          <w:szCs w:val="28"/>
                        </w:rPr>
                        <w:t>**</w:t>
                      </w:r>
                      <w:r w:rsidRPr="002A2DFE">
                        <w:rPr>
                          <w:rFonts w:ascii="Times New Roman" w:hAnsi="Times New Roman" w:cs="Times New Roman"/>
                          <w:sz w:val="24"/>
                          <w:szCs w:val="24"/>
                        </w:rPr>
                        <w:t>достовірна</w:t>
                      </w:r>
                      <w:r w:rsidRPr="002A2DFE">
                        <w:rPr>
                          <w:rFonts w:ascii="Times New Roman" w:hAnsi="Times New Roman" w:cs="Times New Roman"/>
                        </w:rPr>
                        <w:t xml:space="preserve"> </w:t>
                      </w:r>
                      <w:r w:rsidRPr="002A2DFE">
                        <w:rPr>
                          <w:rFonts w:ascii="Times New Roman" w:hAnsi="Times New Roman" w:cs="Times New Roman"/>
                          <w:sz w:val="24"/>
                          <w:szCs w:val="24"/>
                          <w:lang w:val="ru-RU"/>
                        </w:rPr>
                        <w:t>відмінність з</w:t>
                      </w:r>
                      <w:r>
                        <w:rPr>
                          <w:rFonts w:ascii="Times New Roman" w:hAnsi="Times New Roman" w:cs="Times New Roman"/>
                          <w:sz w:val="24"/>
                          <w:szCs w:val="24"/>
                          <w:lang w:val="ru-RU"/>
                        </w:rPr>
                        <w:t> </w:t>
                      </w:r>
                      <w:r w:rsidRPr="002A2DFE">
                        <w:rPr>
                          <w:rFonts w:ascii="Times New Roman" w:hAnsi="Times New Roman" w:cs="Times New Roman"/>
                          <w:sz w:val="24"/>
                          <w:szCs w:val="24"/>
                          <w:lang w:val="ru-RU"/>
                        </w:rPr>
                        <w:t>групою</w:t>
                      </w:r>
                      <w:r>
                        <w:rPr>
                          <w:rFonts w:ascii="Times New Roman" w:hAnsi="Times New Roman" w:cs="Times New Roman"/>
                          <w:sz w:val="24"/>
                          <w:szCs w:val="24"/>
                          <w:lang w:val="ru-RU"/>
                        </w:rPr>
                        <w:t xml:space="preserve"> </w:t>
                      </w:r>
                      <w:r w:rsidRPr="002A2DFE">
                        <w:rPr>
                          <w:rFonts w:ascii="Times New Roman" w:hAnsi="Times New Roman" w:cs="Times New Roman"/>
                          <w:sz w:val="24"/>
                          <w:szCs w:val="24"/>
                        </w:rPr>
                        <w:t>хворих на ГХ (р&lt;0,05)</w:t>
                      </w:r>
                    </w:p>
                    <w:p w:rsidR="000B5F47" w:rsidRPr="000361A5" w:rsidRDefault="000B5F47" w:rsidP="00A05B1C">
                      <w:pPr>
                        <w:rPr>
                          <w:lang w:val="ru-RU"/>
                        </w:rPr>
                      </w:pPr>
                    </w:p>
                  </w:txbxContent>
                </v:textbox>
              </v:shape>
            </w:pict>
          </mc:Fallback>
        </mc:AlternateContent>
      </w:r>
      <w:r w:rsidR="00A05B1C" w:rsidRPr="007F5722">
        <w:rPr>
          <w:rFonts w:ascii="Times New Roman" w:eastAsia="Times New Roman" w:hAnsi="Times New Roman" w:cs="Times New Roman"/>
          <w:noProof/>
          <w:color w:val="000000"/>
          <w:sz w:val="28"/>
          <w:szCs w:val="28"/>
          <w:lang w:val="ru-RU" w:eastAsia="ru-RU"/>
        </w:rPr>
        <w:drawing>
          <wp:inline distT="0" distB="0" distL="0" distR="0">
            <wp:extent cx="5486400" cy="3200400"/>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05B1C" w:rsidRPr="007F5722" w:rsidRDefault="00A05B1C" w:rsidP="00A05B1C">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color w:val="000000"/>
          <w:sz w:val="28"/>
          <w:szCs w:val="28"/>
        </w:rPr>
        <w:t xml:space="preserve">Рис. 3.2.4. </w:t>
      </w:r>
      <w:r w:rsidRPr="007F5722">
        <w:rPr>
          <w:rFonts w:ascii="Times New Roman" w:eastAsia="Times New Roman" w:hAnsi="Times New Roman" w:cs="Times New Roman"/>
          <w:bCs/>
          <w:color w:val="000000"/>
          <w:sz w:val="28"/>
          <w:szCs w:val="28"/>
        </w:rPr>
        <w:t>Рівень ХС ЛПНЩ натще та постпрандіально в групах обстежених осіб</w:t>
      </w:r>
    </w:p>
    <w:p w:rsidR="00A05B1C" w:rsidRPr="007F5722" w:rsidRDefault="00A05B1C" w:rsidP="00A05B1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Під час тесту з жировим навантаженням ми отримали наступні результати, підвищений рівень ЗХС натще мали 37,9 % пацієнтів, постпрандіально підвищений рівень ЗХС мали 62,1 % пацієнтів. Слід зазначити, що серед цих пацієнтів з постпрандіальною гіперхолестеринемією, у 38,9 % рівень ЗХС натще був у межах норми. Тобто, у них мало місце приховане порушення метаболізму ЗХС. Підвищений рівень ТГ до проведення жирового навантаження мали</w:t>
      </w:r>
      <w:r w:rsidR="00E0411A" w:rsidRPr="007F5722">
        <w:rPr>
          <w:rFonts w:ascii="Times New Roman" w:eastAsia="Times New Roman" w:hAnsi="Times New Roman" w:cs="Times New Roman"/>
          <w:color w:val="000000"/>
          <w:sz w:val="28"/>
          <w:szCs w:val="28"/>
        </w:rPr>
        <w:t xml:space="preserve"> </w:t>
      </w:r>
      <w:r w:rsidRPr="007F5722">
        <w:rPr>
          <w:rFonts w:ascii="Times New Roman" w:eastAsia="Times New Roman" w:hAnsi="Times New Roman" w:cs="Times New Roman"/>
          <w:color w:val="000000"/>
          <w:sz w:val="28"/>
          <w:szCs w:val="28"/>
        </w:rPr>
        <w:t xml:space="preserve">10,3 % пацієнтів, після жирового навантаження </w:t>
      </w:r>
      <w:r w:rsidR="00E0411A" w:rsidRPr="007F5722">
        <w:rPr>
          <w:rFonts w:ascii="Times New Roman" w:eastAsia="Times New Roman" w:hAnsi="Times New Roman" w:cs="Times New Roman"/>
          <w:color w:val="000000"/>
          <w:sz w:val="28"/>
          <w:szCs w:val="28"/>
        </w:rPr>
        <w:t xml:space="preserve">кількість пацієнтів з </w:t>
      </w:r>
      <w:r w:rsidRPr="007F5722">
        <w:rPr>
          <w:rFonts w:ascii="Times New Roman" w:eastAsia="Times New Roman" w:hAnsi="Times New Roman" w:cs="Times New Roman"/>
          <w:color w:val="000000"/>
          <w:sz w:val="28"/>
          <w:szCs w:val="28"/>
        </w:rPr>
        <w:t>гіпертр</w:t>
      </w:r>
      <w:r w:rsidR="00443C87" w:rsidRPr="007F5722">
        <w:rPr>
          <w:rFonts w:ascii="Times New Roman" w:eastAsia="Times New Roman" w:hAnsi="Times New Roman" w:cs="Times New Roman"/>
          <w:color w:val="000000"/>
          <w:sz w:val="28"/>
          <w:szCs w:val="28"/>
        </w:rPr>
        <w:t>и</w:t>
      </w:r>
      <w:r w:rsidRPr="007F5722">
        <w:rPr>
          <w:rFonts w:ascii="Times New Roman" w:eastAsia="Times New Roman" w:hAnsi="Times New Roman" w:cs="Times New Roman"/>
          <w:color w:val="000000"/>
          <w:sz w:val="28"/>
          <w:szCs w:val="28"/>
        </w:rPr>
        <w:t>гліцеридемі</w:t>
      </w:r>
      <w:r w:rsidR="00E0411A" w:rsidRPr="007F5722">
        <w:rPr>
          <w:rFonts w:ascii="Times New Roman" w:eastAsia="Times New Roman" w:hAnsi="Times New Roman" w:cs="Times New Roman"/>
          <w:color w:val="000000"/>
          <w:sz w:val="28"/>
          <w:szCs w:val="28"/>
        </w:rPr>
        <w:t>є</w:t>
      </w:r>
      <w:r w:rsidRPr="007F5722">
        <w:rPr>
          <w:rFonts w:ascii="Times New Roman" w:eastAsia="Times New Roman" w:hAnsi="Times New Roman" w:cs="Times New Roman"/>
          <w:color w:val="000000"/>
          <w:sz w:val="28"/>
          <w:szCs w:val="28"/>
        </w:rPr>
        <w:t>ю</w:t>
      </w:r>
      <w:r w:rsidR="00A93609">
        <w:rPr>
          <w:rFonts w:ascii="Times New Roman" w:eastAsia="Times New Roman" w:hAnsi="Times New Roman" w:cs="Times New Roman"/>
          <w:color w:val="000000"/>
          <w:sz w:val="28"/>
          <w:szCs w:val="28"/>
        </w:rPr>
        <w:t xml:space="preserve"> зросла до</w:t>
      </w:r>
      <w:r w:rsidRPr="007F5722">
        <w:rPr>
          <w:rFonts w:ascii="Times New Roman" w:eastAsia="Times New Roman" w:hAnsi="Times New Roman" w:cs="Times New Roman"/>
          <w:color w:val="000000"/>
          <w:sz w:val="28"/>
          <w:szCs w:val="28"/>
        </w:rPr>
        <w:t xml:space="preserve"> 34,5 % обстежених</w:t>
      </w:r>
      <w:r w:rsidR="00E0411A" w:rsidRPr="007F5722">
        <w:rPr>
          <w:rFonts w:ascii="Times New Roman" w:eastAsia="Times New Roman" w:hAnsi="Times New Roman" w:cs="Times New Roman"/>
          <w:color w:val="000000"/>
          <w:sz w:val="28"/>
          <w:szCs w:val="28"/>
        </w:rPr>
        <w:t>. При цьому</w:t>
      </w:r>
      <w:r w:rsidRPr="007F5722">
        <w:rPr>
          <w:rFonts w:ascii="Times New Roman" w:eastAsia="Times New Roman" w:hAnsi="Times New Roman" w:cs="Times New Roman"/>
          <w:color w:val="000000"/>
          <w:sz w:val="28"/>
          <w:szCs w:val="28"/>
        </w:rPr>
        <w:t xml:space="preserve"> у 70 % з них базальний рівень ТГ був у межах референтних значень. </w:t>
      </w:r>
      <w:r w:rsidR="00E0411A" w:rsidRPr="007F5722">
        <w:rPr>
          <w:rFonts w:ascii="Times New Roman" w:eastAsia="Times New Roman" w:hAnsi="Times New Roman" w:cs="Times New Roman"/>
          <w:color w:val="000000"/>
          <w:sz w:val="28"/>
          <w:szCs w:val="28"/>
        </w:rPr>
        <w:lastRenderedPageBreak/>
        <w:t>Аналіз рівня ХС ЛПНЩ натще виявив у 27,6 % обстежених його підвищений рівень. П</w:t>
      </w:r>
      <w:r w:rsidRPr="007F5722">
        <w:rPr>
          <w:rFonts w:ascii="Times New Roman" w:eastAsia="Times New Roman" w:hAnsi="Times New Roman" w:cs="Times New Roman"/>
          <w:color w:val="000000"/>
          <w:sz w:val="28"/>
          <w:szCs w:val="28"/>
        </w:rPr>
        <w:t>ісля</w:t>
      </w:r>
      <w:r w:rsidR="00E0411A" w:rsidRPr="007F5722">
        <w:rPr>
          <w:rFonts w:ascii="Times New Roman" w:eastAsia="Times New Roman" w:hAnsi="Times New Roman" w:cs="Times New Roman"/>
          <w:color w:val="000000"/>
          <w:sz w:val="28"/>
          <w:szCs w:val="28"/>
        </w:rPr>
        <w:t xml:space="preserve"> проведення тесту у</w:t>
      </w:r>
      <w:r w:rsidRPr="007F5722">
        <w:rPr>
          <w:rFonts w:ascii="Times New Roman" w:eastAsia="Times New Roman" w:hAnsi="Times New Roman" w:cs="Times New Roman"/>
          <w:color w:val="000000"/>
          <w:sz w:val="28"/>
          <w:szCs w:val="28"/>
        </w:rPr>
        <w:t xml:space="preserve"> </w:t>
      </w:r>
      <w:r w:rsidR="00E0411A" w:rsidRPr="007F5722">
        <w:rPr>
          <w:rFonts w:ascii="Times New Roman" w:eastAsia="Times New Roman" w:hAnsi="Times New Roman" w:cs="Times New Roman"/>
          <w:color w:val="000000"/>
          <w:sz w:val="28"/>
          <w:szCs w:val="28"/>
        </w:rPr>
        <w:t>42,3 % пацієнтів виявлено</w:t>
      </w:r>
      <w:r w:rsidRPr="007F5722">
        <w:rPr>
          <w:rFonts w:ascii="Times New Roman" w:eastAsia="Times New Roman" w:hAnsi="Times New Roman" w:cs="Times New Roman"/>
          <w:color w:val="000000"/>
          <w:sz w:val="28"/>
          <w:szCs w:val="28"/>
        </w:rPr>
        <w:t xml:space="preserve"> підвищений рівень ХС ЛПНЩ, </w:t>
      </w:r>
      <w:r w:rsidR="00E0411A" w:rsidRPr="007F5722">
        <w:rPr>
          <w:rFonts w:ascii="Times New Roman" w:eastAsia="Times New Roman" w:hAnsi="Times New Roman" w:cs="Times New Roman"/>
          <w:color w:val="000000"/>
          <w:sz w:val="28"/>
          <w:szCs w:val="28"/>
        </w:rPr>
        <w:t xml:space="preserve">хоча </w:t>
      </w:r>
      <w:r w:rsidRPr="007F5722">
        <w:rPr>
          <w:rFonts w:ascii="Times New Roman" w:eastAsia="Times New Roman" w:hAnsi="Times New Roman" w:cs="Times New Roman"/>
          <w:color w:val="000000"/>
          <w:sz w:val="28"/>
          <w:szCs w:val="28"/>
        </w:rPr>
        <w:t xml:space="preserve">з них 36,4 % мали нормальний рівень ХС ЛПНЩ натще. </w:t>
      </w:r>
      <w:r w:rsidR="00E0411A" w:rsidRPr="007F5722">
        <w:rPr>
          <w:rFonts w:ascii="Times New Roman" w:eastAsia="Times New Roman" w:hAnsi="Times New Roman" w:cs="Times New Roman"/>
          <w:color w:val="000000"/>
          <w:sz w:val="28"/>
          <w:szCs w:val="28"/>
        </w:rPr>
        <w:t>Під час аналізу рівнів</w:t>
      </w:r>
      <w:r w:rsidRPr="007F5722">
        <w:rPr>
          <w:rFonts w:ascii="Times New Roman" w:eastAsia="Times New Roman" w:hAnsi="Times New Roman" w:cs="Times New Roman"/>
          <w:color w:val="000000"/>
          <w:sz w:val="28"/>
          <w:szCs w:val="28"/>
        </w:rPr>
        <w:t xml:space="preserve"> ХС ЛПВЩ</w:t>
      </w:r>
      <w:r w:rsidR="00E0411A" w:rsidRPr="007F5722">
        <w:rPr>
          <w:rFonts w:ascii="Times New Roman" w:eastAsia="Times New Roman" w:hAnsi="Times New Roman" w:cs="Times New Roman"/>
          <w:color w:val="000000"/>
          <w:sz w:val="28"/>
          <w:szCs w:val="28"/>
        </w:rPr>
        <w:t xml:space="preserve"> хворі були розподілені за статтю. Встановлено, що низький рівень ХС ЛПВЩ натще мали </w:t>
      </w:r>
      <w:r w:rsidRPr="007F5722">
        <w:rPr>
          <w:rFonts w:ascii="Times New Roman" w:eastAsia="Times New Roman" w:hAnsi="Times New Roman" w:cs="Times New Roman"/>
          <w:color w:val="000000"/>
          <w:sz w:val="28"/>
          <w:szCs w:val="28"/>
        </w:rPr>
        <w:t>27,6 % хворих</w:t>
      </w:r>
      <w:r w:rsidR="00E0411A" w:rsidRPr="007F5722">
        <w:rPr>
          <w:rFonts w:ascii="Times New Roman" w:eastAsia="Times New Roman" w:hAnsi="Times New Roman" w:cs="Times New Roman"/>
          <w:color w:val="000000"/>
          <w:sz w:val="28"/>
          <w:szCs w:val="28"/>
        </w:rPr>
        <w:t xml:space="preserve"> (з них 87,5 % жінки та 12,5 % чоловіки), </w:t>
      </w:r>
      <w:r w:rsidRPr="007F5722">
        <w:rPr>
          <w:rFonts w:ascii="Times New Roman" w:eastAsia="Times New Roman" w:hAnsi="Times New Roman" w:cs="Times New Roman"/>
          <w:color w:val="000000"/>
          <w:sz w:val="28"/>
          <w:szCs w:val="28"/>
        </w:rPr>
        <w:t xml:space="preserve"> постпрандіально - у 31,1 % хворих був </w:t>
      </w:r>
      <w:r w:rsidR="00E0411A" w:rsidRPr="007F5722">
        <w:rPr>
          <w:rFonts w:ascii="Times New Roman" w:eastAsia="Times New Roman" w:hAnsi="Times New Roman" w:cs="Times New Roman"/>
          <w:color w:val="000000"/>
          <w:sz w:val="28"/>
          <w:szCs w:val="28"/>
        </w:rPr>
        <w:t xml:space="preserve">виявлений </w:t>
      </w:r>
      <w:r w:rsidRPr="007F5722">
        <w:rPr>
          <w:rFonts w:ascii="Times New Roman" w:eastAsia="Times New Roman" w:hAnsi="Times New Roman" w:cs="Times New Roman"/>
          <w:color w:val="000000"/>
          <w:sz w:val="28"/>
          <w:szCs w:val="28"/>
        </w:rPr>
        <w:t>низький рівень ХС ЛПВЩ, серед них 33,3 % пацієнтів</w:t>
      </w:r>
      <w:r w:rsidR="00E0411A" w:rsidRPr="007F5722">
        <w:rPr>
          <w:rFonts w:ascii="Times New Roman" w:eastAsia="Times New Roman" w:hAnsi="Times New Roman" w:cs="Times New Roman"/>
          <w:color w:val="000000"/>
          <w:sz w:val="28"/>
          <w:szCs w:val="28"/>
        </w:rPr>
        <w:t xml:space="preserve"> (серед яких 88,9 % жінки та 11,1 % чоловіки)</w:t>
      </w:r>
      <w:r w:rsidRPr="007F5722">
        <w:rPr>
          <w:rFonts w:ascii="Times New Roman" w:eastAsia="Times New Roman" w:hAnsi="Times New Roman" w:cs="Times New Roman"/>
          <w:color w:val="000000"/>
          <w:sz w:val="28"/>
          <w:szCs w:val="28"/>
        </w:rPr>
        <w:t xml:space="preserve"> мали допустимі значення до проведення жирового навантаження.</w:t>
      </w:r>
    </w:p>
    <w:p w:rsidR="00A05B1C" w:rsidRPr="007F5722" w:rsidRDefault="00A05B1C" w:rsidP="00A05B1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 xml:space="preserve">Отримані нами дані </w:t>
      </w:r>
      <w:r w:rsidR="00E0411A" w:rsidRPr="007F5722">
        <w:rPr>
          <w:rFonts w:ascii="Times New Roman" w:eastAsia="Times New Roman" w:hAnsi="Times New Roman" w:cs="Times New Roman"/>
          <w:color w:val="000000"/>
          <w:sz w:val="28"/>
          <w:szCs w:val="28"/>
        </w:rPr>
        <w:t xml:space="preserve">підтверджують діагностичне значення тесту з жировим навантаженням, оскільки він дає змогу виявити приховані порушення </w:t>
      </w:r>
      <w:r w:rsidR="00A93609">
        <w:rPr>
          <w:rFonts w:ascii="Times New Roman" w:eastAsia="Times New Roman" w:hAnsi="Times New Roman" w:cs="Times New Roman"/>
          <w:color w:val="000000"/>
          <w:sz w:val="28"/>
          <w:szCs w:val="28"/>
        </w:rPr>
        <w:t>ліпідного профілю</w:t>
      </w:r>
      <w:r w:rsidRPr="007F5722">
        <w:rPr>
          <w:rFonts w:ascii="Times New Roman" w:eastAsia="Times New Roman" w:hAnsi="Times New Roman" w:cs="Times New Roman"/>
          <w:color w:val="000000"/>
          <w:sz w:val="28"/>
          <w:szCs w:val="28"/>
        </w:rPr>
        <w:t>.</w:t>
      </w:r>
    </w:p>
    <w:p w:rsidR="0043790B" w:rsidRDefault="0043790B" w:rsidP="0043790B">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lang w:val="ru-RU"/>
        </w:rPr>
        <w:t xml:space="preserve">У </w:t>
      </w:r>
      <w:r w:rsidRPr="007F5722">
        <w:rPr>
          <w:rFonts w:ascii="Times New Roman" w:eastAsia="Times New Roman" w:hAnsi="Times New Roman" w:cs="Times New Roman"/>
          <w:bCs/>
          <w:color w:val="000000"/>
          <w:sz w:val="28"/>
          <w:szCs w:val="28"/>
        </w:rPr>
        <w:t xml:space="preserve">таблиці 3.2.1 представлено кореляційний аналіз зв’язків між ІЛ-22 та показниками ліпідного профілю до та після жирового навантаження у групі хворих на ГХ з ІМТ </w:t>
      </w:r>
      <w:r w:rsidRPr="007F5722">
        <w:rPr>
          <w:rFonts w:ascii="Calibri" w:eastAsia="Times New Roman" w:hAnsi="Calibri" w:cs="Calibri"/>
          <w:bCs/>
          <w:color w:val="000000"/>
          <w:sz w:val="28"/>
          <w:szCs w:val="28"/>
        </w:rPr>
        <w:t>&gt;</w:t>
      </w:r>
      <w:r w:rsidRPr="007F5722">
        <w:rPr>
          <w:rFonts w:ascii="Times New Roman" w:eastAsia="Times New Roman" w:hAnsi="Times New Roman" w:cs="Times New Roman"/>
          <w:bCs/>
          <w:color w:val="000000"/>
          <w:sz w:val="28"/>
          <w:szCs w:val="28"/>
        </w:rPr>
        <w:t xml:space="preserve"> 25м</w:t>
      </w:r>
      <w:r w:rsidRPr="007F5722">
        <w:rPr>
          <w:rFonts w:ascii="Times New Roman" w:eastAsia="Times New Roman" w:hAnsi="Times New Roman" w:cs="Times New Roman"/>
          <w:bCs/>
          <w:color w:val="000000"/>
          <w:sz w:val="28"/>
          <w:szCs w:val="28"/>
          <w:vertAlign w:val="superscript"/>
        </w:rPr>
        <w:t>2</w:t>
      </w:r>
      <w:r w:rsidRPr="007F5722">
        <w:rPr>
          <w:rFonts w:ascii="Times New Roman" w:eastAsia="Times New Roman" w:hAnsi="Times New Roman" w:cs="Times New Roman"/>
          <w:bCs/>
          <w:color w:val="000000"/>
          <w:sz w:val="28"/>
          <w:szCs w:val="28"/>
        </w:rPr>
        <w:t>/кг.</w:t>
      </w:r>
    </w:p>
    <w:p w:rsidR="00A93609" w:rsidRPr="007F5722" w:rsidRDefault="00A93609" w:rsidP="0043790B">
      <w:pPr>
        <w:shd w:val="clear" w:color="auto" w:fill="FFFFFF"/>
        <w:spacing w:after="0" w:line="360" w:lineRule="auto"/>
        <w:ind w:firstLine="709"/>
        <w:jc w:val="both"/>
        <w:rPr>
          <w:rFonts w:ascii="Times New Roman" w:eastAsia="Times New Roman" w:hAnsi="Times New Roman" w:cs="Times New Roman"/>
          <w:bCs/>
          <w:color w:val="000000"/>
          <w:sz w:val="28"/>
          <w:szCs w:val="28"/>
        </w:rPr>
      </w:pPr>
    </w:p>
    <w:p w:rsidR="0043790B" w:rsidRPr="007F5722" w:rsidRDefault="0043790B" w:rsidP="0043790B">
      <w:pPr>
        <w:shd w:val="clear" w:color="auto" w:fill="FFFFFF"/>
        <w:spacing w:after="0" w:line="360" w:lineRule="auto"/>
        <w:ind w:firstLine="709"/>
        <w:jc w:val="right"/>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Таблиця 3.2.1</w:t>
      </w:r>
    </w:p>
    <w:p w:rsidR="0043790B" w:rsidRPr="007F5722" w:rsidRDefault="0043790B" w:rsidP="0043790B">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 xml:space="preserve">Кореляційні взаємозв’язки між ІЛ-22 та показниками ліпідного профілю у пацієнтів хворих на ГХ з ІМТ </w:t>
      </w:r>
      <w:r w:rsidRPr="007F5722">
        <w:rPr>
          <w:rFonts w:ascii="Calibri" w:eastAsia="Times New Roman" w:hAnsi="Calibri" w:cs="Calibri"/>
          <w:bCs/>
          <w:color w:val="000000"/>
          <w:sz w:val="28"/>
          <w:szCs w:val="28"/>
        </w:rPr>
        <w:t>&gt;</w:t>
      </w:r>
      <w:r w:rsidRPr="007F5722">
        <w:rPr>
          <w:rFonts w:ascii="Times New Roman" w:eastAsia="Times New Roman" w:hAnsi="Times New Roman" w:cs="Times New Roman"/>
          <w:bCs/>
          <w:color w:val="000000"/>
          <w:sz w:val="28"/>
          <w:szCs w:val="28"/>
        </w:rPr>
        <w:t xml:space="preserve"> 25 м</w:t>
      </w:r>
      <w:r w:rsidRPr="007F5722">
        <w:rPr>
          <w:rFonts w:ascii="Times New Roman" w:eastAsia="Times New Roman" w:hAnsi="Times New Roman" w:cs="Times New Roman"/>
          <w:bCs/>
          <w:color w:val="000000"/>
          <w:sz w:val="28"/>
          <w:szCs w:val="28"/>
          <w:vertAlign w:val="superscript"/>
        </w:rPr>
        <w:t>2</w:t>
      </w:r>
      <w:r w:rsidRPr="007F5722">
        <w:rPr>
          <w:rFonts w:ascii="Times New Roman" w:eastAsia="Times New Roman" w:hAnsi="Times New Roman" w:cs="Times New Roman"/>
          <w:bCs/>
          <w:color w:val="000000"/>
          <w:sz w:val="28"/>
          <w:szCs w:val="28"/>
        </w:rPr>
        <w:t>/кг</w:t>
      </w:r>
    </w:p>
    <w:tbl>
      <w:tblPr>
        <w:tblStyle w:val="a9"/>
        <w:tblW w:w="0" w:type="auto"/>
        <w:tblLook w:val="04A0" w:firstRow="1" w:lastRow="0" w:firstColumn="1" w:lastColumn="0" w:noHBand="0" w:noVBand="1"/>
      </w:tblPr>
      <w:tblGrid>
        <w:gridCol w:w="3964"/>
        <w:gridCol w:w="1287"/>
        <w:gridCol w:w="2197"/>
        <w:gridCol w:w="1897"/>
      </w:tblGrid>
      <w:tr w:rsidR="0043790B" w:rsidRPr="007F5722" w:rsidTr="00AB6B67">
        <w:tc>
          <w:tcPr>
            <w:tcW w:w="3964" w:type="dxa"/>
          </w:tcPr>
          <w:p w:rsidR="0043790B" w:rsidRPr="007F5722" w:rsidRDefault="0043790B" w:rsidP="0043790B">
            <w:pPr>
              <w:spacing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Показник</w:t>
            </w:r>
          </w:p>
        </w:tc>
        <w:tc>
          <w:tcPr>
            <w:tcW w:w="1287" w:type="dxa"/>
          </w:tcPr>
          <w:p w:rsidR="0043790B" w:rsidRPr="007F5722" w:rsidRDefault="0043790B" w:rsidP="0043790B">
            <w:pPr>
              <w:spacing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N</w:t>
            </w:r>
          </w:p>
        </w:tc>
        <w:tc>
          <w:tcPr>
            <w:tcW w:w="2197" w:type="dxa"/>
          </w:tcPr>
          <w:p w:rsidR="0043790B" w:rsidRPr="007F5722" w:rsidRDefault="0043790B" w:rsidP="0043790B">
            <w:pPr>
              <w:spacing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R</w:t>
            </w:r>
          </w:p>
        </w:tc>
        <w:tc>
          <w:tcPr>
            <w:tcW w:w="1897" w:type="dxa"/>
          </w:tcPr>
          <w:p w:rsidR="0043790B" w:rsidRPr="007F5722" w:rsidRDefault="0043790B" w:rsidP="0043790B">
            <w:pPr>
              <w:spacing w:line="360" w:lineRule="auto"/>
              <w:jc w:val="both"/>
              <w:rPr>
                <w:rFonts w:ascii="Times New Roman" w:eastAsia="Times New Roman" w:hAnsi="Times New Roman" w:cs="Times New Roman"/>
                <w:color w:val="000000"/>
                <w:sz w:val="28"/>
                <w:szCs w:val="28"/>
                <w:lang w:val="en-US"/>
              </w:rPr>
            </w:pPr>
            <w:r w:rsidRPr="007F5722">
              <w:rPr>
                <w:rFonts w:ascii="Times New Roman" w:eastAsia="Times New Roman" w:hAnsi="Times New Roman" w:cs="Times New Roman"/>
                <w:color w:val="000000"/>
                <w:sz w:val="28"/>
                <w:szCs w:val="28"/>
                <w:lang w:val="en-US"/>
              </w:rPr>
              <w:t>p-level</w:t>
            </w:r>
          </w:p>
        </w:tc>
      </w:tr>
      <w:tr w:rsidR="0043790B" w:rsidRPr="007F5722" w:rsidTr="00AB6B67">
        <w:tc>
          <w:tcPr>
            <w:tcW w:w="3964" w:type="dxa"/>
          </w:tcPr>
          <w:p w:rsidR="0043790B" w:rsidRPr="007F5722" w:rsidRDefault="0043790B" w:rsidP="0043790B">
            <w:pPr>
              <w:spacing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ЗХС (натще)</w:t>
            </w:r>
            <w:r w:rsidRPr="007F5722">
              <w:rPr>
                <w:rFonts w:ascii="Times New Roman" w:eastAsia="Times New Roman" w:hAnsi="Times New Roman" w:cs="Times New Roman"/>
                <w:bCs/>
                <w:color w:val="000000"/>
                <w:sz w:val="28"/>
                <w:szCs w:val="28"/>
                <w:lang w:val="en-US"/>
              </w:rPr>
              <w:t>&amp;</w:t>
            </w:r>
            <w:r w:rsidRPr="007F5722">
              <w:rPr>
                <w:rFonts w:ascii="Times New Roman" w:eastAsia="Times New Roman" w:hAnsi="Times New Roman" w:cs="Times New Roman"/>
                <w:bCs/>
                <w:color w:val="000000"/>
                <w:sz w:val="28"/>
                <w:szCs w:val="28"/>
              </w:rPr>
              <w:t>ІЛ-22</w:t>
            </w:r>
          </w:p>
        </w:tc>
        <w:tc>
          <w:tcPr>
            <w:tcW w:w="1287" w:type="dxa"/>
          </w:tcPr>
          <w:p w:rsidR="0043790B" w:rsidRPr="007F5722" w:rsidRDefault="0043790B" w:rsidP="0043790B">
            <w:pPr>
              <w:spacing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64</w:t>
            </w:r>
          </w:p>
        </w:tc>
        <w:tc>
          <w:tcPr>
            <w:tcW w:w="2197" w:type="dxa"/>
          </w:tcPr>
          <w:p w:rsidR="0043790B" w:rsidRPr="007F5722" w:rsidRDefault="0043790B" w:rsidP="0043790B">
            <w:pPr>
              <w:spacing w:line="360" w:lineRule="auto"/>
              <w:jc w:val="both"/>
              <w:rPr>
                <w:rFonts w:ascii="Times New Roman" w:eastAsia="Times New Roman" w:hAnsi="Times New Roman" w:cs="Times New Roman"/>
                <w:b/>
                <w:bCs/>
                <w:color w:val="000000"/>
                <w:sz w:val="28"/>
                <w:szCs w:val="28"/>
              </w:rPr>
            </w:pPr>
            <w:r w:rsidRPr="007F5722">
              <w:rPr>
                <w:rFonts w:ascii="Times New Roman" w:eastAsia="Times New Roman" w:hAnsi="Times New Roman" w:cs="Times New Roman"/>
                <w:b/>
                <w:bCs/>
                <w:color w:val="000000"/>
                <w:sz w:val="28"/>
                <w:szCs w:val="28"/>
              </w:rPr>
              <w:t>0,5766</w:t>
            </w:r>
          </w:p>
        </w:tc>
        <w:tc>
          <w:tcPr>
            <w:tcW w:w="1897" w:type="dxa"/>
          </w:tcPr>
          <w:p w:rsidR="0043790B" w:rsidRPr="007F5722" w:rsidRDefault="0043790B" w:rsidP="0043790B">
            <w:pPr>
              <w:spacing w:line="360" w:lineRule="auto"/>
              <w:jc w:val="both"/>
              <w:rPr>
                <w:rFonts w:ascii="Times New Roman" w:eastAsia="Times New Roman" w:hAnsi="Times New Roman" w:cs="Times New Roman"/>
                <w:b/>
                <w:bCs/>
                <w:color w:val="000000"/>
                <w:sz w:val="28"/>
                <w:szCs w:val="28"/>
              </w:rPr>
            </w:pPr>
            <w:r w:rsidRPr="007F5722">
              <w:rPr>
                <w:rFonts w:ascii="Times New Roman" w:eastAsia="Times New Roman" w:hAnsi="Times New Roman" w:cs="Times New Roman"/>
                <w:b/>
                <w:bCs/>
                <w:color w:val="000000"/>
                <w:sz w:val="28"/>
                <w:szCs w:val="28"/>
              </w:rPr>
              <w:t>0,0001</w:t>
            </w:r>
          </w:p>
        </w:tc>
      </w:tr>
      <w:tr w:rsidR="0043790B" w:rsidRPr="007F5722" w:rsidTr="00AB6B67">
        <w:tc>
          <w:tcPr>
            <w:tcW w:w="3964" w:type="dxa"/>
          </w:tcPr>
          <w:p w:rsidR="0043790B" w:rsidRPr="007F5722" w:rsidRDefault="0043790B" w:rsidP="0043790B">
            <w:pPr>
              <w:spacing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ЗХС (постпрандіально)</w:t>
            </w:r>
            <w:r w:rsidRPr="007F5722">
              <w:rPr>
                <w:rFonts w:ascii="Times New Roman" w:eastAsia="Times New Roman" w:hAnsi="Times New Roman" w:cs="Times New Roman"/>
                <w:bCs/>
                <w:color w:val="000000"/>
                <w:sz w:val="28"/>
                <w:szCs w:val="28"/>
                <w:lang w:val="en-US"/>
              </w:rPr>
              <w:t>&amp;</w:t>
            </w:r>
            <w:r w:rsidRPr="007F5722">
              <w:rPr>
                <w:rFonts w:ascii="Times New Roman" w:eastAsia="Times New Roman" w:hAnsi="Times New Roman" w:cs="Times New Roman"/>
                <w:bCs/>
                <w:color w:val="000000"/>
                <w:sz w:val="28"/>
                <w:szCs w:val="28"/>
              </w:rPr>
              <w:t>ІЛ-22</w:t>
            </w:r>
          </w:p>
        </w:tc>
        <w:tc>
          <w:tcPr>
            <w:tcW w:w="1287" w:type="dxa"/>
          </w:tcPr>
          <w:p w:rsidR="0043790B" w:rsidRPr="007F5722" w:rsidRDefault="0043790B" w:rsidP="0043790B">
            <w:pPr>
              <w:spacing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18</w:t>
            </w:r>
          </w:p>
        </w:tc>
        <w:tc>
          <w:tcPr>
            <w:tcW w:w="2197" w:type="dxa"/>
          </w:tcPr>
          <w:p w:rsidR="0043790B" w:rsidRPr="007F5722" w:rsidRDefault="0043790B" w:rsidP="0043790B">
            <w:pPr>
              <w:spacing w:line="360" w:lineRule="auto"/>
              <w:jc w:val="both"/>
              <w:rPr>
                <w:rFonts w:ascii="Times New Roman" w:eastAsia="Times New Roman" w:hAnsi="Times New Roman" w:cs="Times New Roman"/>
                <w:b/>
                <w:bCs/>
                <w:color w:val="000000"/>
                <w:sz w:val="28"/>
                <w:szCs w:val="28"/>
              </w:rPr>
            </w:pPr>
            <w:r w:rsidRPr="007F5722">
              <w:rPr>
                <w:rFonts w:ascii="Times New Roman" w:eastAsia="Times New Roman" w:hAnsi="Times New Roman" w:cs="Times New Roman"/>
                <w:b/>
                <w:bCs/>
                <w:color w:val="000000"/>
                <w:sz w:val="28"/>
                <w:szCs w:val="28"/>
              </w:rPr>
              <w:t>0,4938</w:t>
            </w:r>
          </w:p>
        </w:tc>
        <w:tc>
          <w:tcPr>
            <w:tcW w:w="1897" w:type="dxa"/>
          </w:tcPr>
          <w:p w:rsidR="0043790B" w:rsidRPr="007F5722" w:rsidRDefault="0043790B" w:rsidP="0043790B">
            <w:pPr>
              <w:spacing w:line="360" w:lineRule="auto"/>
              <w:jc w:val="both"/>
              <w:rPr>
                <w:rFonts w:ascii="Times New Roman" w:eastAsia="Times New Roman" w:hAnsi="Times New Roman" w:cs="Times New Roman"/>
                <w:b/>
                <w:bCs/>
                <w:color w:val="000000"/>
                <w:sz w:val="28"/>
                <w:szCs w:val="28"/>
              </w:rPr>
            </w:pPr>
            <w:r w:rsidRPr="007F5722">
              <w:rPr>
                <w:rFonts w:ascii="Times New Roman" w:eastAsia="Times New Roman" w:hAnsi="Times New Roman" w:cs="Times New Roman"/>
                <w:b/>
                <w:bCs/>
                <w:color w:val="000000"/>
                <w:sz w:val="28"/>
                <w:szCs w:val="28"/>
              </w:rPr>
              <w:t>0,037</w:t>
            </w:r>
          </w:p>
        </w:tc>
      </w:tr>
      <w:tr w:rsidR="0043790B" w:rsidRPr="007F5722" w:rsidTr="00AB6B67">
        <w:tc>
          <w:tcPr>
            <w:tcW w:w="3964" w:type="dxa"/>
          </w:tcPr>
          <w:p w:rsidR="0043790B" w:rsidRPr="007F5722" w:rsidRDefault="0043790B" w:rsidP="0043790B">
            <w:pPr>
              <w:spacing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ТГ (натще)</w:t>
            </w:r>
            <w:r w:rsidRPr="007F5722">
              <w:rPr>
                <w:rFonts w:ascii="Times New Roman" w:eastAsia="Times New Roman" w:hAnsi="Times New Roman" w:cs="Times New Roman"/>
                <w:bCs/>
                <w:color w:val="000000"/>
                <w:sz w:val="28"/>
                <w:szCs w:val="28"/>
                <w:lang w:val="en-US"/>
              </w:rPr>
              <w:t>&amp;</w:t>
            </w:r>
            <w:r w:rsidRPr="007F5722">
              <w:rPr>
                <w:rFonts w:ascii="Times New Roman" w:eastAsia="Times New Roman" w:hAnsi="Times New Roman" w:cs="Times New Roman"/>
                <w:bCs/>
                <w:color w:val="000000"/>
                <w:sz w:val="28"/>
                <w:szCs w:val="28"/>
              </w:rPr>
              <w:t>ІЛ-22</w:t>
            </w:r>
          </w:p>
        </w:tc>
        <w:tc>
          <w:tcPr>
            <w:tcW w:w="1287" w:type="dxa"/>
          </w:tcPr>
          <w:p w:rsidR="0043790B" w:rsidRPr="007F5722" w:rsidRDefault="0043790B" w:rsidP="0043790B">
            <w:pPr>
              <w:spacing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64</w:t>
            </w:r>
          </w:p>
        </w:tc>
        <w:tc>
          <w:tcPr>
            <w:tcW w:w="2197" w:type="dxa"/>
          </w:tcPr>
          <w:p w:rsidR="0043790B" w:rsidRPr="007F5722" w:rsidRDefault="0043790B" w:rsidP="0043790B">
            <w:pPr>
              <w:spacing w:line="360" w:lineRule="auto"/>
              <w:jc w:val="both"/>
              <w:rPr>
                <w:rFonts w:ascii="Times New Roman" w:eastAsia="Times New Roman" w:hAnsi="Times New Roman" w:cs="Times New Roman"/>
                <w:b/>
                <w:bCs/>
                <w:color w:val="000000"/>
                <w:sz w:val="28"/>
                <w:szCs w:val="28"/>
              </w:rPr>
            </w:pPr>
            <w:r w:rsidRPr="007F5722">
              <w:rPr>
                <w:rFonts w:ascii="Times New Roman" w:eastAsia="Times New Roman" w:hAnsi="Times New Roman" w:cs="Times New Roman"/>
                <w:b/>
                <w:bCs/>
                <w:color w:val="000000"/>
                <w:sz w:val="28"/>
                <w:szCs w:val="28"/>
              </w:rPr>
              <w:t>0,4691</w:t>
            </w:r>
          </w:p>
        </w:tc>
        <w:tc>
          <w:tcPr>
            <w:tcW w:w="1897" w:type="dxa"/>
          </w:tcPr>
          <w:p w:rsidR="0043790B" w:rsidRPr="007F5722" w:rsidRDefault="0043790B" w:rsidP="0043790B">
            <w:pPr>
              <w:spacing w:line="360" w:lineRule="auto"/>
              <w:jc w:val="both"/>
              <w:rPr>
                <w:rFonts w:ascii="Times New Roman" w:eastAsia="Times New Roman" w:hAnsi="Times New Roman" w:cs="Times New Roman"/>
                <w:b/>
                <w:bCs/>
                <w:color w:val="000000"/>
                <w:sz w:val="28"/>
                <w:szCs w:val="28"/>
              </w:rPr>
            </w:pPr>
            <w:r w:rsidRPr="007F5722">
              <w:rPr>
                <w:rFonts w:ascii="Times New Roman" w:eastAsia="Times New Roman" w:hAnsi="Times New Roman" w:cs="Times New Roman"/>
                <w:b/>
                <w:bCs/>
                <w:color w:val="000000"/>
                <w:sz w:val="28"/>
                <w:szCs w:val="28"/>
              </w:rPr>
              <w:t>0,0001</w:t>
            </w:r>
          </w:p>
        </w:tc>
      </w:tr>
      <w:tr w:rsidR="0043790B" w:rsidRPr="007F5722" w:rsidTr="00AB6B67">
        <w:tc>
          <w:tcPr>
            <w:tcW w:w="3964" w:type="dxa"/>
          </w:tcPr>
          <w:p w:rsidR="0043790B" w:rsidRPr="007F5722" w:rsidRDefault="0043790B" w:rsidP="0043790B">
            <w:pPr>
              <w:spacing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ТГ (постпрандіально)</w:t>
            </w:r>
            <w:r w:rsidRPr="007F5722">
              <w:rPr>
                <w:rFonts w:ascii="Times New Roman" w:eastAsia="Times New Roman" w:hAnsi="Times New Roman" w:cs="Times New Roman"/>
                <w:bCs/>
                <w:color w:val="000000"/>
                <w:sz w:val="28"/>
                <w:szCs w:val="28"/>
                <w:lang w:val="en-US"/>
              </w:rPr>
              <w:t>&amp;</w:t>
            </w:r>
            <w:r w:rsidRPr="007F5722">
              <w:rPr>
                <w:rFonts w:ascii="Times New Roman" w:eastAsia="Times New Roman" w:hAnsi="Times New Roman" w:cs="Times New Roman"/>
                <w:bCs/>
                <w:color w:val="000000"/>
                <w:sz w:val="28"/>
                <w:szCs w:val="28"/>
              </w:rPr>
              <w:t>ІЛ-22</w:t>
            </w:r>
          </w:p>
        </w:tc>
        <w:tc>
          <w:tcPr>
            <w:tcW w:w="1287" w:type="dxa"/>
          </w:tcPr>
          <w:p w:rsidR="0043790B" w:rsidRPr="007F5722" w:rsidRDefault="0043790B" w:rsidP="0043790B">
            <w:pPr>
              <w:spacing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18</w:t>
            </w:r>
          </w:p>
        </w:tc>
        <w:tc>
          <w:tcPr>
            <w:tcW w:w="2197" w:type="dxa"/>
          </w:tcPr>
          <w:p w:rsidR="0043790B" w:rsidRPr="007F5722" w:rsidRDefault="0043790B" w:rsidP="0043790B">
            <w:pPr>
              <w:spacing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0,0348</w:t>
            </w:r>
          </w:p>
        </w:tc>
        <w:tc>
          <w:tcPr>
            <w:tcW w:w="1897" w:type="dxa"/>
          </w:tcPr>
          <w:p w:rsidR="0043790B" w:rsidRPr="007F5722" w:rsidRDefault="0043790B" w:rsidP="0043790B">
            <w:pPr>
              <w:spacing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0,891</w:t>
            </w:r>
          </w:p>
        </w:tc>
      </w:tr>
      <w:tr w:rsidR="0043790B" w:rsidRPr="007F5722" w:rsidTr="00AB6B67">
        <w:tc>
          <w:tcPr>
            <w:tcW w:w="3964" w:type="dxa"/>
          </w:tcPr>
          <w:p w:rsidR="0043790B" w:rsidRPr="007F5722" w:rsidRDefault="0043790B" w:rsidP="0043790B">
            <w:pPr>
              <w:spacing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ХС ЛПВЩ (натще)</w:t>
            </w:r>
            <w:r w:rsidRPr="007F5722">
              <w:rPr>
                <w:rFonts w:ascii="Times New Roman" w:eastAsia="Times New Roman" w:hAnsi="Times New Roman" w:cs="Times New Roman"/>
                <w:bCs/>
                <w:color w:val="000000"/>
                <w:sz w:val="28"/>
                <w:szCs w:val="28"/>
                <w:lang w:val="en-US"/>
              </w:rPr>
              <w:t>&amp;</w:t>
            </w:r>
            <w:r w:rsidRPr="007F5722">
              <w:rPr>
                <w:rFonts w:ascii="Times New Roman" w:eastAsia="Times New Roman" w:hAnsi="Times New Roman" w:cs="Times New Roman"/>
                <w:bCs/>
                <w:color w:val="000000"/>
                <w:sz w:val="28"/>
                <w:szCs w:val="28"/>
              </w:rPr>
              <w:t>ІЛ-22</w:t>
            </w:r>
          </w:p>
        </w:tc>
        <w:tc>
          <w:tcPr>
            <w:tcW w:w="1287" w:type="dxa"/>
          </w:tcPr>
          <w:p w:rsidR="0043790B" w:rsidRPr="007F5722" w:rsidRDefault="0043790B" w:rsidP="0043790B">
            <w:pPr>
              <w:spacing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64</w:t>
            </w:r>
          </w:p>
        </w:tc>
        <w:tc>
          <w:tcPr>
            <w:tcW w:w="2197" w:type="dxa"/>
          </w:tcPr>
          <w:p w:rsidR="0043790B" w:rsidRPr="007F5722" w:rsidRDefault="0043790B" w:rsidP="0043790B">
            <w:pPr>
              <w:spacing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-0,1258</w:t>
            </w:r>
          </w:p>
        </w:tc>
        <w:tc>
          <w:tcPr>
            <w:tcW w:w="1897" w:type="dxa"/>
          </w:tcPr>
          <w:p w:rsidR="0043790B" w:rsidRPr="007F5722" w:rsidRDefault="0043790B" w:rsidP="0043790B">
            <w:pPr>
              <w:spacing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0,228</w:t>
            </w:r>
          </w:p>
        </w:tc>
      </w:tr>
    </w:tbl>
    <w:p w:rsidR="00A93609" w:rsidRDefault="00A93609"/>
    <w:p w:rsidR="00BA0EB3" w:rsidRDefault="00BA0EB3"/>
    <w:p w:rsidR="00BA0EB3" w:rsidRDefault="00BA0EB3"/>
    <w:p w:rsidR="00A93609" w:rsidRPr="00A93609" w:rsidRDefault="00A93609">
      <w:pPr>
        <w:rPr>
          <w:rFonts w:ascii="Times New Roman" w:hAnsi="Times New Roman" w:cs="Times New Roman"/>
          <w:sz w:val="28"/>
          <w:szCs w:val="28"/>
        </w:rPr>
      </w:pPr>
      <w:r>
        <w:rPr>
          <w:rFonts w:ascii="Times New Roman" w:hAnsi="Times New Roman" w:cs="Times New Roman"/>
          <w:sz w:val="28"/>
          <w:szCs w:val="28"/>
        </w:rPr>
        <w:lastRenderedPageBreak/>
        <w:t>Продовження таблиці 3.2.1</w:t>
      </w:r>
    </w:p>
    <w:tbl>
      <w:tblPr>
        <w:tblStyle w:val="a9"/>
        <w:tblW w:w="0" w:type="auto"/>
        <w:tblLook w:val="04A0" w:firstRow="1" w:lastRow="0" w:firstColumn="1" w:lastColumn="0" w:noHBand="0" w:noVBand="1"/>
      </w:tblPr>
      <w:tblGrid>
        <w:gridCol w:w="4957"/>
        <w:gridCol w:w="1417"/>
        <w:gridCol w:w="1418"/>
        <w:gridCol w:w="1553"/>
      </w:tblGrid>
      <w:tr w:rsidR="00A93609" w:rsidRPr="007F5722" w:rsidTr="00BA0EB3">
        <w:tc>
          <w:tcPr>
            <w:tcW w:w="4957" w:type="dxa"/>
          </w:tcPr>
          <w:p w:rsidR="00A93609" w:rsidRPr="007F5722" w:rsidRDefault="00A93609" w:rsidP="0043790B">
            <w:pPr>
              <w:spacing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color w:val="000000"/>
                <w:sz w:val="28"/>
                <w:szCs w:val="28"/>
              </w:rPr>
              <w:t>Показник</w:t>
            </w:r>
          </w:p>
        </w:tc>
        <w:tc>
          <w:tcPr>
            <w:tcW w:w="1417" w:type="dxa"/>
          </w:tcPr>
          <w:p w:rsidR="00A93609" w:rsidRPr="007F5722" w:rsidRDefault="00A93609" w:rsidP="0043790B">
            <w:pPr>
              <w:spacing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color w:val="000000"/>
                <w:sz w:val="28"/>
                <w:szCs w:val="28"/>
              </w:rPr>
              <w:t>N</w:t>
            </w:r>
          </w:p>
        </w:tc>
        <w:tc>
          <w:tcPr>
            <w:tcW w:w="1418" w:type="dxa"/>
          </w:tcPr>
          <w:p w:rsidR="00A93609" w:rsidRPr="007F5722" w:rsidRDefault="00A93609" w:rsidP="0043790B">
            <w:pPr>
              <w:spacing w:line="360" w:lineRule="auto"/>
              <w:jc w:val="both"/>
              <w:rPr>
                <w:rFonts w:ascii="Times New Roman" w:eastAsia="Times New Roman" w:hAnsi="Times New Roman" w:cs="Times New Roman"/>
                <w:b/>
                <w:bCs/>
                <w:color w:val="000000"/>
                <w:sz w:val="28"/>
                <w:szCs w:val="28"/>
              </w:rPr>
            </w:pPr>
            <w:r w:rsidRPr="007F5722">
              <w:rPr>
                <w:rFonts w:ascii="Times New Roman" w:eastAsia="Times New Roman" w:hAnsi="Times New Roman" w:cs="Times New Roman"/>
                <w:color w:val="000000"/>
                <w:sz w:val="28"/>
                <w:szCs w:val="28"/>
              </w:rPr>
              <w:t>R</w:t>
            </w:r>
          </w:p>
        </w:tc>
        <w:tc>
          <w:tcPr>
            <w:tcW w:w="1553" w:type="dxa"/>
          </w:tcPr>
          <w:p w:rsidR="00A93609" w:rsidRPr="007F5722" w:rsidRDefault="00A93609" w:rsidP="0043790B">
            <w:pPr>
              <w:spacing w:line="360" w:lineRule="auto"/>
              <w:jc w:val="both"/>
              <w:rPr>
                <w:rFonts w:ascii="Times New Roman" w:eastAsia="Times New Roman" w:hAnsi="Times New Roman" w:cs="Times New Roman"/>
                <w:b/>
                <w:bCs/>
                <w:color w:val="000000"/>
                <w:sz w:val="28"/>
                <w:szCs w:val="28"/>
              </w:rPr>
            </w:pPr>
            <w:r w:rsidRPr="007F5722">
              <w:rPr>
                <w:rFonts w:ascii="Times New Roman" w:eastAsia="Times New Roman" w:hAnsi="Times New Roman" w:cs="Times New Roman"/>
                <w:color w:val="000000"/>
                <w:sz w:val="28"/>
                <w:szCs w:val="28"/>
                <w:lang w:val="en-US"/>
              </w:rPr>
              <w:t>p-level</w:t>
            </w:r>
          </w:p>
        </w:tc>
      </w:tr>
      <w:tr w:rsidR="0043790B" w:rsidRPr="007F5722" w:rsidTr="00BA0EB3">
        <w:tc>
          <w:tcPr>
            <w:tcW w:w="4957" w:type="dxa"/>
          </w:tcPr>
          <w:p w:rsidR="0043790B" w:rsidRPr="007F5722" w:rsidRDefault="0043790B" w:rsidP="00A93609">
            <w:pPr>
              <w:spacing w:line="360" w:lineRule="auto"/>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ХС ЛПВЩ (постпрандіально)</w:t>
            </w:r>
            <w:r w:rsidRPr="007F5722">
              <w:rPr>
                <w:rFonts w:ascii="Times New Roman" w:eastAsia="Times New Roman" w:hAnsi="Times New Roman" w:cs="Times New Roman"/>
                <w:bCs/>
                <w:color w:val="000000"/>
                <w:sz w:val="28"/>
                <w:szCs w:val="28"/>
                <w:lang w:val="en-US"/>
              </w:rPr>
              <w:t>&amp;</w:t>
            </w:r>
            <w:r w:rsidRPr="007F5722">
              <w:rPr>
                <w:rFonts w:ascii="Times New Roman" w:eastAsia="Times New Roman" w:hAnsi="Times New Roman" w:cs="Times New Roman"/>
                <w:bCs/>
                <w:color w:val="000000"/>
                <w:sz w:val="28"/>
                <w:szCs w:val="28"/>
              </w:rPr>
              <w:t>ІЛ-22</w:t>
            </w:r>
          </w:p>
        </w:tc>
        <w:tc>
          <w:tcPr>
            <w:tcW w:w="1417" w:type="dxa"/>
          </w:tcPr>
          <w:p w:rsidR="0043790B" w:rsidRPr="007F5722" w:rsidRDefault="0043790B" w:rsidP="0043790B">
            <w:pPr>
              <w:spacing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18</w:t>
            </w:r>
          </w:p>
        </w:tc>
        <w:tc>
          <w:tcPr>
            <w:tcW w:w="1418" w:type="dxa"/>
          </w:tcPr>
          <w:p w:rsidR="0043790B" w:rsidRPr="007F5722" w:rsidRDefault="0043790B" w:rsidP="0043790B">
            <w:pPr>
              <w:spacing w:line="360" w:lineRule="auto"/>
              <w:jc w:val="both"/>
              <w:rPr>
                <w:rFonts w:ascii="Times New Roman" w:eastAsia="Times New Roman" w:hAnsi="Times New Roman" w:cs="Times New Roman"/>
                <w:b/>
                <w:bCs/>
                <w:color w:val="000000"/>
                <w:sz w:val="28"/>
                <w:szCs w:val="28"/>
              </w:rPr>
            </w:pPr>
            <w:r w:rsidRPr="007F5722">
              <w:rPr>
                <w:rFonts w:ascii="Times New Roman" w:eastAsia="Times New Roman" w:hAnsi="Times New Roman" w:cs="Times New Roman"/>
                <w:b/>
                <w:bCs/>
                <w:color w:val="000000"/>
                <w:sz w:val="28"/>
                <w:szCs w:val="28"/>
              </w:rPr>
              <w:t>-0,5522</w:t>
            </w:r>
          </w:p>
        </w:tc>
        <w:tc>
          <w:tcPr>
            <w:tcW w:w="1553" w:type="dxa"/>
          </w:tcPr>
          <w:p w:rsidR="0043790B" w:rsidRPr="007F5722" w:rsidRDefault="0043790B" w:rsidP="0043790B">
            <w:pPr>
              <w:spacing w:line="360" w:lineRule="auto"/>
              <w:jc w:val="both"/>
              <w:rPr>
                <w:rFonts w:ascii="Times New Roman" w:eastAsia="Times New Roman" w:hAnsi="Times New Roman" w:cs="Times New Roman"/>
                <w:b/>
                <w:bCs/>
                <w:color w:val="000000"/>
                <w:sz w:val="28"/>
                <w:szCs w:val="28"/>
              </w:rPr>
            </w:pPr>
            <w:r w:rsidRPr="007F5722">
              <w:rPr>
                <w:rFonts w:ascii="Times New Roman" w:eastAsia="Times New Roman" w:hAnsi="Times New Roman" w:cs="Times New Roman"/>
                <w:b/>
                <w:bCs/>
                <w:color w:val="000000"/>
                <w:sz w:val="28"/>
                <w:szCs w:val="28"/>
              </w:rPr>
              <w:t>0,018</w:t>
            </w:r>
          </w:p>
        </w:tc>
      </w:tr>
      <w:tr w:rsidR="0043790B" w:rsidRPr="007F5722" w:rsidTr="00BA0EB3">
        <w:tc>
          <w:tcPr>
            <w:tcW w:w="4957" w:type="dxa"/>
          </w:tcPr>
          <w:p w:rsidR="0043790B" w:rsidRPr="007F5722" w:rsidRDefault="0043790B" w:rsidP="0043790B">
            <w:pPr>
              <w:spacing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ХС ЛПНЩ (натще)</w:t>
            </w:r>
            <w:r w:rsidRPr="007F5722">
              <w:rPr>
                <w:rFonts w:ascii="Times New Roman" w:eastAsia="Times New Roman" w:hAnsi="Times New Roman" w:cs="Times New Roman"/>
                <w:bCs/>
                <w:color w:val="000000"/>
                <w:sz w:val="28"/>
                <w:szCs w:val="28"/>
                <w:lang w:val="en-US"/>
              </w:rPr>
              <w:t>&amp;</w:t>
            </w:r>
            <w:r w:rsidRPr="007F5722">
              <w:rPr>
                <w:rFonts w:ascii="Times New Roman" w:eastAsia="Times New Roman" w:hAnsi="Times New Roman" w:cs="Times New Roman"/>
                <w:bCs/>
                <w:color w:val="000000"/>
                <w:sz w:val="28"/>
                <w:szCs w:val="28"/>
              </w:rPr>
              <w:t>ІЛ-22</w:t>
            </w:r>
          </w:p>
        </w:tc>
        <w:tc>
          <w:tcPr>
            <w:tcW w:w="1417" w:type="dxa"/>
          </w:tcPr>
          <w:p w:rsidR="0043790B" w:rsidRPr="007F5722" w:rsidRDefault="0043790B" w:rsidP="0043790B">
            <w:pPr>
              <w:spacing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64</w:t>
            </w:r>
          </w:p>
        </w:tc>
        <w:tc>
          <w:tcPr>
            <w:tcW w:w="1418" w:type="dxa"/>
          </w:tcPr>
          <w:p w:rsidR="0043790B" w:rsidRPr="007F5722" w:rsidRDefault="0043790B" w:rsidP="0043790B">
            <w:pPr>
              <w:spacing w:line="360" w:lineRule="auto"/>
              <w:jc w:val="both"/>
              <w:rPr>
                <w:rFonts w:ascii="Times New Roman" w:eastAsia="Times New Roman" w:hAnsi="Times New Roman" w:cs="Times New Roman"/>
                <w:b/>
                <w:bCs/>
                <w:color w:val="000000"/>
                <w:sz w:val="28"/>
                <w:szCs w:val="28"/>
              </w:rPr>
            </w:pPr>
            <w:r w:rsidRPr="007F5722">
              <w:rPr>
                <w:rFonts w:ascii="Times New Roman" w:eastAsia="Times New Roman" w:hAnsi="Times New Roman" w:cs="Times New Roman"/>
                <w:b/>
                <w:bCs/>
                <w:color w:val="000000"/>
                <w:sz w:val="28"/>
                <w:szCs w:val="28"/>
              </w:rPr>
              <w:t>0,6108</w:t>
            </w:r>
          </w:p>
        </w:tc>
        <w:tc>
          <w:tcPr>
            <w:tcW w:w="1553" w:type="dxa"/>
          </w:tcPr>
          <w:p w:rsidR="0043790B" w:rsidRPr="007F5722" w:rsidRDefault="0043790B" w:rsidP="0043790B">
            <w:pPr>
              <w:spacing w:line="360" w:lineRule="auto"/>
              <w:jc w:val="both"/>
              <w:rPr>
                <w:rFonts w:ascii="Times New Roman" w:eastAsia="Times New Roman" w:hAnsi="Times New Roman" w:cs="Times New Roman"/>
                <w:b/>
                <w:bCs/>
                <w:color w:val="000000"/>
                <w:sz w:val="28"/>
                <w:szCs w:val="28"/>
              </w:rPr>
            </w:pPr>
            <w:r w:rsidRPr="007F5722">
              <w:rPr>
                <w:rFonts w:ascii="Times New Roman" w:eastAsia="Times New Roman" w:hAnsi="Times New Roman" w:cs="Times New Roman"/>
                <w:b/>
                <w:bCs/>
                <w:color w:val="000000"/>
                <w:sz w:val="28"/>
                <w:szCs w:val="28"/>
              </w:rPr>
              <w:t>0,0001</w:t>
            </w:r>
          </w:p>
        </w:tc>
      </w:tr>
      <w:tr w:rsidR="0043790B" w:rsidRPr="007F5722" w:rsidTr="00BA0EB3">
        <w:tc>
          <w:tcPr>
            <w:tcW w:w="4957" w:type="dxa"/>
          </w:tcPr>
          <w:p w:rsidR="0043790B" w:rsidRPr="007F5722" w:rsidRDefault="0043790B" w:rsidP="00A93609">
            <w:pPr>
              <w:spacing w:line="360" w:lineRule="auto"/>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ХС ЛПНЩ (постпрандіально)</w:t>
            </w:r>
            <w:r w:rsidRPr="007F5722">
              <w:rPr>
                <w:rFonts w:ascii="Times New Roman" w:eastAsia="Times New Roman" w:hAnsi="Times New Roman" w:cs="Times New Roman"/>
                <w:bCs/>
                <w:color w:val="000000"/>
                <w:sz w:val="28"/>
                <w:szCs w:val="28"/>
                <w:lang w:val="en-US"/>
              </w:rPr>
              <w:t>&amp;</w:t>
            </w:r>
            <w:r w:rsidRPr="007F5722">
              <w:rPr>
                <w:rFonts w:ascii="Times New Roman" w:eastAsia="Times New Roman" w:hAnsi="Times New Roman" w:cs="Times New Roman"/>
                <w:bCs/>
                <w:color w:val="000000"/>
                <w:sz w:val="28"/>
                <w:szCs w:val="28"/>
              </w:rPr>
              <w:t>ІЛ-22</w:t>
            </w:r>
          </w:p>
        </w:tc>
        <w:tc>
          <w:tcPr>
            <w:tcW w:w="1417" w:type="dxa"/>
          </w:tcPr>
          <w:p w:rsidR="0043790B" w:rsidRPr="007F5722" w:rsidRDefault="0043790B" w:rsidP="0043790B">
            <w:pPr>
              <w:spacing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18</w:t>
            </w:r>
          </w:p>
        </w:tc>
        <w:tc>
          <w:tcPr>
            <w:tcW w:w="1418" w:type="dxa"/>
          </w:tcPr>
          <w:p w:rsidR="0043790B" w:rsidRPr="007F5722" w:rsidRDefault="0043790B" w:rsidP="0043790B">
            <w:pPr>
              <w:spacing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0,3417</w:t>
            </w:r>
          </w:p>
        </w:tc>
        <w:tc>
          <w:tcPr>
            <w:tcW w:w="1553" w:type="dxa"/>
          </w:tcPr>
          <w:p w:rsidR="0043790B" w:rsidRPr="007F5722" w:rsidRDefault="0043790B" w:rsidP="0043790B">
            <w:pPr>
              <w:spacing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0,165</w:t>
            </w:r>
          </w:p>
        </w:tc>
      </w:tr>
      <w:tr w:rsidR="0043790B" w:rsidRPr="007F5722" w:rsidTr="00BA0EB3">
        <w:tc>
          <w:tcPr>
            <w:tcW w:w="4957" w:type="dxa"/>
          </w:tcPr>
          <w:p w:rsidR="0043790B" w:rsidRPr="007F5722" w:rsidRDefault="0043790B" w:rsidP="0043790B">
            <w:pPr>
              <w:spacing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ХС ЛПДНЩ (натще)</w:t>
            </w:r>
            <w:r w:rsidRPr="007F5722">
              <w:rPr>
                <w:rFonts w:ascii="Times New Roman" w:eastAsia="Times New Roman" w:hAnsi="Times New Roman" w:cs="Times New Roman"/>
                <w:bCs/>
                <w:color w:val="000000"/>
                <w:sz w:val="28"/>
                <w:szCs w:val="28"/>
                <w:lang w:val="en-US"/>
              </w:rPr>
              <w:t>&amp;</w:t>
            </w:r>
            <w:r w:rsidRPr="007F5722">
              <w:rPr>
                <w:rFonts w:ascii="Times New Roman" w:eastAsia="Times New Roman" w:hAnsi="Times New Roman" w:cs="Times New Roman"/>
                <w:bCs/>
                <w:color w:val="000000"/>
                <w:sz w:val="28"/>
                <w:szCs w:val="28"/>
              </w:rPr>
              <w:t>ІЛ-22</w:t>
            </w:r>
          </w:p>
        </w:tc>
        <w:tc>
          <w:tcPr>
            <w:tcW w:w="1417" w:type="dxa"/>
          </w:tcPr>
          <w:p w:rsidR="0043790B" w:rsidRPr="007F5722" w:rsidRDefault="0043790B" w:rsidP="0043790B">
            <w:pPr>
              <w:spacing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64</w:t>
            </w:r>
          </w:p>
        </w:tc>
        <w:tc>
          <w:tcPr>
            <w:tcW w:w="1418" w:type="dxa"/>
          </w:tcPr>
          <w:p w:rsidR="0043790B" w:rsidRPr="007F5722" w:rsidRDefault="0043790B" w:rsidP="0043790B">
            <w:pPr>
              <w:spacing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
                <w:bCs/>
                <w:color w:val="000000"/>
                <w:sz w:val="28"/>
                <w:szCs w:val="28"/>
              </w:rPr>
              <w:t>0,4691</w:t>
            </w:r>
          </w:p>
        </w:tc>
        <w:tc>
          <w:tcPr>
            <w:tcW w:w="1553" w:type="dxa"/>
          </w:tcPr>
          <w:p w:rsidR="0043790B" w:rsidRPr="007F5722" w:rsidRDefault="0043790B" w:rsidP="0043790B">
            <w:pPr>
              <w:spacing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
                <w:bCs/>
                <w:color w:val="000000"/>
                <w:sz w:val="28"/>
                <w:szCs w:val="28"/>
              </w:rPr>
              <w:t>0,0001</w:t>
            </w:r>
          </w:p>
        </w:tc>
      </w:tr>
      <w:tr w:rsidR="0043790B" w:rsidRPr="007F5722" w:rsidTr="00BA0EB3">
        <w:tc>
          <w:tcPr>
            <w:tcW w:w="4957" w:type="dxa"/>
          </w:tcPr>
          <w:p w:rsidR="0043790B" w:rsidRPr="007F5722" w:rsidRDefault="0043790B" w:rsidP="008F5F6B">
            <w:pPr>
              <w:spacing w:line="360" w:lineRule="auto"/>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ХС ЛПДНЩ (постпрандіально)</w:t>
            </w:r>
            <w:r w:rsidRPr="007F5722">
              <w:rPr>
                <w:rFonts w:ascii="Times New Roman" w:eastAsia="Times New Roman" w:hAnsi="Times New Roman" w:cs="Times New Roman"/>
                <w:bCs/>
                <w:color w:val="000000"/>
                <w:sz w:val="28"/>
                <w:szCs w:val="28"/>
                <w:lang w:val="en-US"/>
              </w:rPr>
              <w:t>&amp;</w:t>
            </w:r>
            <w:r w:rsidRPr="007F5722">
              <w:rPr>
                <w:rFonts w:ascii="Times New Roman" w:eastAsia="Times New Roman" w:hAnsi="Times New Roman" w:cs="Times New Roman"/>
                <w:bCs/>
                <w:color w:val="000000"/>
                <w:sz w:val="28"/>
                <w:szCs w:val="28"/>
              </w:rPr>
              <w:t>ІЛ-22</w:t>
            </w:r>
          </w:p>
        </w:tc>
        <w:tc>
          <w:tcPr>
            <w:tcW w:w="1417" w:type="dxa"/>
          </w:tcPr>
          <w:p w:rsidR="0043790B" w:rsidRPr="007F5722" w:rsidRDefault="0043790B" w:rsidP="0043790B">
            <w:pPr>
              <w:spacing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18</w:t>
            </w:r>
          </w:p>
        </w:tc>
        <w:tc>
          <w:tcPr>
            <w:tcW w:w="1418" w:type="dxa"/>
          </w:tcPr>
          <w:p w:rsidR="0043790B" w:rsidRPr="007F5722" w:rsidRDefault="0043790B" w:rsidP="0043790B">
            <w:pPr>
              <w:spacing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0,0348</w:t>
            </w:r>
          </w:p>
        </w:tc>
        <w:tc>
          <w:tcPr>
            <w:tcW w:w="1553" w:type="dxa"/>
          </w:tcPr>
          <w:p w:rsidR="0043790B" w:rsidRPr="007F5722" w:rsidRDefault="0043790B" w:rsidP="0043790B">
            <w:pPr>
              <w:spacing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0,891</w:t>
            </w:r>
          </w:p>
        </w:tc>
      </w:tr>
      <w:tr w:rsidR="0043790B" w:rsidRPr="007F5722" w:rsidTr="00BA0EB3">
        <w:tc>
          <w:tcPr>
            <w:tcW w:w="4957" w:type="dxa"/>
            <w:tcBorders>
              <w:bottom w:val="nil"/>
            </w:tcBorders>
          </w:tcPr>
          <w:p w:rsidR="0043790B" w:rsidRPr="007F5722" w:rsidRDefault="0043790B" w:rsidP="0043790B">
            <w:pPr>
              <w:spacing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КА (натще)</w:t>
            </w:r>
            <w:r w:rsidRPr="007F5722">
              <w:rPr>
                <w:rFonts w:ascii="Times New Roman" w:eastAsia="Times New Roman" w:hAnsi="Times New Roman" w:cs="Times New Roman"/>
                <w:bCs/>
                <w:color w:val="000000"/>
                <w:sz w:val="28"/>
                <w:szCs w:val="28"/>
                <w:lang w:val="en-US"/>
              </w:rPr>
              <w:t>&amp;</w:t>
            </w:r>
            <w:r w:rsidRPr="007F5722">
              <w:rPr>
                <w:rFonts w:ascii="Times New Roman" w:eastAsia="Times New Roman" w:hAnsi="Times New Roman" w:cs="Times New Roman"/>
                <w:bCs/>
                <w:color w:val="000000"/>
                <w:sz w:val="28"/>
                <w:szCs w:val="28"/>
              </w:rPr>
              <w:t>ІЛ-22</w:t>
            </w:r>
          </w:p>
        </w:tc>
        <w:tc>
          <w:tcPr>
            <w:tcW w:w="1417" w:type="dxa"/>
            <w:tcBorders>
              <w:bottom w:val="nil"/>
            </w:tcBorders>
          </w:tcPr>
          <w:p w:rsidR="0043790B" w:rsidRPr="007F5722" w:rsidRDefault="0043790B" w:rsidP="0043790B">
            <w:pPr>
              <w:spacing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64</w:t>
            </w:r>
          </w:p>
        </w:tc>
        <w:tc>
          <w:tcPr>
            <w:tcW w:w="1418" w:type="dxa"/>
            <w:tcBorders>
              <w:bottom w:val="nil"/>
            </w:tcBorders>
          </w:tcPr>
          <w:p w:rsidR="0043790B" w:rsidRPr="007F5722" w:rsidRDefault="0043790B" w:rsidP="0043790B">
            <w:pPr>
              <w:spacing w:line="360" w:lineRule="auto"/>
              <w:jc w:val="both"/>
              <w:rPr>
                <w:rFonts w:ascii="Times New Roman" w:eastAsia="Times New Roman" w:hAnsi="Times New Roman" w:cs="Times New Roman"/>
                <w:b/>
                <w:bCs/>
                <w:color w:val="000000"/>
                <w:sz w:val="28"/>
                <w:szCs w:val="28"/>
              </w:rPr>
            </w:pPr>
            <w:r w:rsidRPr="007F5722">
              <w:rPr>
                <w:rFonts w:ascii="Times New Roman" w:eastAsia="Times New Roman" w:hAnsi="Times New Roman" w:cs="Times New Roman"/>
                <w:b/>
                <w:bCs/>
                <w:color w:val="000000"/>
                <w:sz w:val="28"/>
                <w:szCs w:val="28"/>
              </w:rPr>
              <w:t>0,5774</w:t>
            </w:r>
          </w:p>
        </w:tc>
        <w:tc>
          <w:tcPr>
            <w:tcW w:w="1553" w:type="dxa"/>
            <w:tcBorders>
              <w:bottom w:val="nil"/>
            </w:tcBorders>
          </w:tcPr>
          <w:p w:rsidR="0043790B" w:rsidRPr="007F5722" w:rsidRDefault="0043790B" w:rsidP="0043790B">
            <w:pPr>
              <w:spacing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
                <w:bCs/>
                <w:color w:val="000000"/>
                <w:sz w:val="28"/>
                <w:szCs w:val="28"/>
              </w:rPr>
              <w:t>0,0001</w:t>
            </w:r>
          </w:p>
        </w:tc>
      </w:tr>
      <w:tr w:rsidR="0043790B" w:rsidRPr="007F5722" w:rsidTr="00BA0EB3">
        <w:tc>
          <w:tcPr>
            <w:tcW w:w="4957" w:type="dxa"/>
          </w:tcPr>
          <w:p w:rsidR="0043790B" w:rsidRPr="007F5722" w:rsidRDefault="0043790B" w:rsidP="0043790B">
            <w:pPr>
              <w:spacing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КА (поспрандіально)</w:t>
            </w:r>
            <w:r w:rsidRPr="007F5722">
              <w:rPr>
                <w:rFonts w:ascii="Times New Roman" w:eastAsia="Times New Roman" w:hAnsi="Times New Roman" w:cs="Times New Roman"/>
                <w:bCs/>
                <w:color w:val="000000"/>
                <w:sz w:val="28"/>
                <w:szCs w:val="28"/>
                <w:lang w:val="en-US"/>
              </w:rPr>
              <w:t>&amp;</w:t>
            </w:r>
            <w:r w:rsidRPr="007F5722">
              <w:rPr>
                <w:rFonts w:ascii="Times New Roman" w:eastAsia="Times New Roman" w:hAnsi="Times New Roman" w:cs="Times New Roman"/>
                <w:bCs/>
                <w:color w:val="000000"/>
                <w:sz w:val="28"/>
                <w:szCs w:val="28"/>
              </w:rPr>
              <w:t>ІЛ-22</w:t>
            </w:r>
          </w:p>
        </w:tc>
        <w:tc>
          <w:tcPr>
            <w:tcW w:w="1417" w:type="dxa"/>
          </w:tcPr>
          <w:p w:rsidR="0043790B" w:rsidRPr="007F5722" w:rsidRDefault="0043790B" w:rsidP="0043790B">
            <w:pPr>
              <w:spacing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18</w:t>
            </w:r>
          </w:p>
        </w:tc>
        <w:tc>
          <w:tcPr>
            <w:tcW w:w="1418" w:type="dxa"/>
          </w:tcPr>
          <w:p w:rsidR="0043790B" w:rsidRPr="007F5722" w:rsidRDefault="0043790B" w:rsidP="0043790B">
            <w:pPr>
              <w:spacing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-0,1538</w:t>
            </w:r>
          </w:p>
        </w:tc>
        <w:tc>
          <w:tcPr>
            <w:tcW w:w="1553" w:type="dxa"/>
          </w:tcPr>
          <w:p w:rsidR="0043790B" w:rsidRPr="007F5722" w:rsidRDefault="0043790B" w:rsidP="0043790B">
            <w:pPr>
              <w:spacing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0,542</w:t>
            </w:r>
          </w:p>
        </w:tc>
      </w:tr>
      <w:tr w:rsidR="0043790B" w:rsidRPr="007F5722" w:rsidTr="00BA0EB3">
        <w:tc>
          <w:tcPr>
            <w:tcW w:w="4957" w:type="dxa"/>
          </w:tcPr>
          <w:p w:rsidR="0043790B" w:rsidRPr="007F5722" w:rsidRDefault="0043790B" w:rsidP="0043790B">
            <w:pPr>
              <w:spacing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ХС не-ЛПВЩ (натще)</w:t>
            </w:r>
            <w:r w:rsidRPr="007F5722">
              <w:rPr>
                <w:rFonts w:ascii="Times New Roman" w:eastAsia="Times New Roman" w:hAnsi="Times New Roman" w:cs="Times New Roman"/>
                <w:bCs/>
                <w:color w:val="000000"/>
                <w:sz w:val="28"/>
                <w:szCs w:val="28"/>
                <w:lang w:val="ru-RU"/>
              </w:rPr>
              <w:t>&amp;</w:t>
            </w:r>
            <w:r w:rsidRPr="007F5722">
              <w:rPr>
                <w:rFonts w:ascii="Times New Roman" w:eastAsia="Times New Roman" w:hAnsi="Times New Roman" w:cs="Times New Roman"/>
                <w:bCs/>
                <w:color w:val="000000"/>
                <w:sz w:val="28"/>
                <w:szCs w:val="28"/>
              </w:rPr>
              <w:t>ІЛ-22</w:t>
            </w:r>
          </w:p>
        </w:tc>
        <w:tc>
          <w:tcPr>
            <w:tcW w:w="1417" w:type="dxa"/>
          </w:tcPr>
          <w:p w:rsidR="0043790B" w:rsidRPr="007F5722" w:rsidRDefault="0043790B" w:rsidP="0043790B">
            <w:pPr>
              <w:spacing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64</w:t>
            </w:r>
          </w:p>
        </w:tc>
        <w:tc>
          <w:tcPr>
            <w:tcW w:w="1418" w:type="dxa"/>
          </w:tcPr>
          <w:p w:rsidR="0043790B" w:rsidRPr="007F5722" w:rsidRDefault="0043790B" w:rsidP="0043790B">
            <w:pPr>
              <w:spacing w:line="360" w:lineRule="auto"/>
              <w:jc w:val="both"/>
              <w:rPr>
                <w:rFonts w:ascii="Times New Roman" w:eastAsia="Times New Roman" w:hAnsi="Times New Roman" w:cs="Times New Roman"/>
                <w:b/>
                <w:bCs/>
                <w:color w:val="000000"/>
                <w:sz w:val="28"/>
                <w:szCs w:val="28"/>
              </w:rPr>
            </w:pPr>
            <w:r w:rsidRPr="007F5722">
              <w:rPr>
                <w:rFonts w:ascii="Times New Roman" w:eastAsia="Times New Roman" w:hAnsi="Times New Roman" w:cs="Times New Roman"/>
                <w:b/>
                <w:bCs/>
                <w:color w:val="000000"/>
                <w:sz w:val="28"/>
                <w:szCs w:val="28"/>
              </w:rPr>
              <w:t>0,6363</w:t>
            </w:r>
          </w:p>
        </w:tc>
        <w:tc>
          <w:tcPr>
            <w:tcW w:w="1553" w:type="dxa"/>
          </w:tcPr>
          <w:p w:rsidR="0043790B" w:rsidRPr="007F5722" w:rsidRDefault="0043790B" w:rsidP="0043790B">
            <w:pPr>
              <w:spacing w:line="360" w:lineRule="auto"/>
              <w:jc w:val="both"/>
              <w:rPr>
                <w:rFonts w:ascii="Times New Roman" w:eastAsia="Times New Roman" w:hAnsi="Times New Roman" w:cs="Times New Roman"/>
                <w:b/>
                <w:bCs/>
                <w:color w:val="000000"/>
                <w:sz w:val="28"/>
                <w:szCs w:val="28"/>
              </w:rPr>
            </w:pPr>
            <w:r w:rsidRPr="007F5722">
              <w:rPr>
                <w:rFonts w:ascii="Times New Roman" w:eastAsia="Times New Roman" w:hAnsi="Times New Roman" w:cs="Times New Roman"/>
                <w:b/>
                <w:bCs/>
                <w:color w:val="000000"/>
                <w:sz w:val="28"/>
                <w:szCs w:val="28"/>
              </w:rPr>
              <w:t>0,0001</w:t>
            </w:r>
          </w:p>
        </w:tc>
      </w:tr>
      <w:tr w:rsidR="0043790B" w:rsidRPr="007F5722" w:rsidTr="00BA0EB3">
        <w:tc>
          <w:tcPr>
            <w:tcW w:w="4957" w:type="dxa"/>
          </w:tcPr>
          <w:p w:rsidR="0043790B" w:rsidRPr="007F5722" w:rsidRDefault="0043790B" w:rsidP="008F5F6B">
            <w:pPr>
              <w:spacing w:line="360" w:lineRule="auto"/>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ХС не-ЛПВЩ (поспрандіально)</w:t>
            </w:r>
            <w:r w:rsidRPr="007F5722">
              <w:rPr>
                <w:rFonts w:ascii="Times New Roman" w:eastAsia="Times New Roman" w:hAnsi="Times New Roman" w:cs="Times New Roman"/>
                <w:bCs/>
                <w:color w:val="000000"/>
                <w:sz w:val="28"/>
                <w:szCs w:val="28"/>
                <w:lang w:val="ru-RU"/>
              </w:rPr>
              <w:t>&amp;</w:t>
            </w:r>
            <w:r w:rsidRPr="007F5722">
              <w:rPr>
                <w:rFonts w:ascii="Times New Roman" w:eastAsia="Times New Roman" w:hAnsi="Times New Roman" w:cs="Times New Roman"/>
                <w:bCs/>
                <w:color w:val="000000"/>
                <w:sz w:val="28"/>
                <w:szCs w:val="28"/>
              </w:rPr>
              <w:t>ІЛ-22</w:t>
            </w:r>
          </w:p>
        </w:tc>
        <w:tc>
          <w:tcPr>
            <w:tcW w:w="1417" w:type="dxa"/>
          </w:tcPr>
          <w:p w:rsidR="0043790B" w:rsidRPr="007F5722" w:rsidRDefault="0043790B" w:rsidP="0043790B">
            <w:pPr>
              <w:spacing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18</w:t>
            </w:r>
          </w:p>
        </w:tc>
        <w:tc>
          <w:tcPr>
            <w:tcW w:w="1418" w:type="dxa"/>
          </w:tcPr>
          <w:p w:rsidR="0043790B" w:rsidRPr="007F5722" w:rsidRDefault="0043790B" w:rsidP="0043790B">
            <w:pPr>
              <w:spacing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0,3036</w:t>
            </w:r>
          </w:p>
        </w:tc>
        <w:tc>
          <w:tcPr>
            <w:tcW w:w="1553" w:type="dxa"/>
          </w:tcPr>
          <w:p w:rsidR="0043790B" w:rsidRPr="007F5722" w:rsidRDefault="0043790B" w:rsidP="0043790B">
            <w:pPr>
              <w:spacing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0,221</w:t>
            </w:r>
          </w:p>
        </w:tc>
      </w:tr>
      <w:tr w:rsidR="0043790B" w:rsidRPr="007F5722" w:rsidTr="00BA0EB3">
        <w:tc>
          <w:tcPr>
            <w:tcW w:w="4957" w:type="dxa"/>
          </w:tcPr>
          <w:p w:rsidR="0043790B" w:rsidRPr="007F5722" w:rsidRDefault="0043790B" w:rsidP="0043790B">
            <w:pPr>
              <w:spacing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Апо В</w:t>
            </w:r>
            <w:r w:rsidRPr="007F5722">
              <w:rPr>
                <w:rFonts w:ascii="Times New Roman" w:eastAsia="Times New Roman" w:hAnsi="Times New Roman" w:cs="Times New Roman"/>
                <w:bCs/>
                <w:color w:val="000000"/>
                <w:sz w:val="28"/>
                <w:szCs w:val="28"/>
                <w:lang w:val="ru-RU"/>
              </w:rPr>
              <w:t>&amp;</w:t>
            </w:r>
            <w:r w:rsidRPr="007F5722">
              <w:rPr>
                <w:rFonts w:ascii="Times New Roman" w:eastAsia="Times New Roman" w:hAnsi="Times New Roman" w:cs="Times New Roman"/>
                <w:bCs/>
                <w:color w:val="000000"/>
                <w:sz w:val="28"/>
                <w:szCs w:val="28"/>
              </w:rPr>
              <w:t>ІЛ-22</w:t>
            </w:r>
          </w:p>
        </w:tc>
        <w:tc>
          <w:tcPr>
            <w:tcW w:w="1417" w:type="dxa"/>
          </w:tcPr>
          <w:p w:rsidR="0043790B" w:rsidRPr="007F5722" w:rsidRDefault="0043790B" w:rsidP="0043790B">
            <w:pPr>
              <w:spacing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64</w:t>
            </w:r>
          </w:p>
        </w:tc>
        <w:tc>
          <w:tcPr>
            <w:tcW w:w="1418" w:type="dxa"/>
          </w:tcPr>
          <w:p w:rsidR="0043790B" w:rsidRPr="007F5722" w:rsidRDefault="0043790B" w:rsidP="0043790B">
            <w:pPr>
              <w:spacing w:line="360" w:lineRule="auto"/>
              <w:jc w:val="both"/>
              <w:rPr>
                <w:rFonts w:ascii="Times New Roman" w:eastAsia="Times New Roman" w:hAnsi="Times New Roman" w:cs="Times New Roman"/>
                <w:b/>
                <w:bCs/>
                <w:color w:val="000000"/>
                <w:sz w:val="28"/>
                <w:szCs w:val="28"/>
              </w:rPr>
            </w:pPr>
            <w:r w:rsidRPr="007F5722">
              <w:rPr>
                <w:rFonts w:ascii="Times New Roman" w:eastAsia="Times New Roman" w:hAnsi="Times New Roman" w:cs="Times New Roman"/>
                <w:b/>
                <w:bCs/>
                <w:color w:val="000000"/>
                <w:sz w:val="28"/>
                <w:szCs w:val="28"/>
              </w:rPr>
              <w:t>0,4048</w:t>
            </w:r>
          </w:p>
        </w:tc>
        <w:tc>
          <w:tcPr>
            <w:tcW w:w="1553" w:type="dxa"/>
          </w:tcPr>
          <w:p w:rsidR="0043790B" w:rsidRPr="007F5722" w:rsidRDefault="0043790B" w:rsidP="0043790B">
            <w:pPr>
              <w:spacing w:line="360" w:lineRule="auto"/>
              <w:jc w:val="both"/>
              <w:rPr>
                <w:rFonts w:ascii="Times New Roman" w:eastAsia="Times New Roman" w:hAnsi="Times New Roman" w:cs="Times New Roman"/>
                <w:b/>
                <w:bCs/>
                <w:color w:val="000000"/>
                <w:sz w:val="28"/>
                <w:szCs w:val="28"/>
              </w:rPr>
            </w:pPr>
            <w:r w:rsidRPr="007F5722">
              <w:rPr>
                <w:rFonts w:ascii="Times New Roman" w:eastAsia="Times New Roman" w:hAnsi="Times New Roman" w:cs="Times New Roman"/>
                <w:b/>
                <w:bCs/>
                <w:color w:val="000000"/>
                <w:sz w:val="28"/>
                <w:szCs w:val="28"/>
              </w:rPr>
              <w:t>0,001</w:t>
            </w:r>
          </w:p>
        </w:tc>
      </w:tr>
    </w:tbl>
    <w:p w:rsidR="0043790B" w:rsidRPr="007F5722" w:rsidRDefault="0043790B" w:rsidP="0043790B">
      <w:pPr>
        <w:shd w:val="clear" w:color="auto" w:fill="FFFFFF"/>
        <w:spacing w:after="0" w:line="360" w:lineRule="auto"/>
        <w:ind w:firstLine="709"/>
        <w:jc w:val="both"/>
        <w:rPr>
          <w:rFonts w:ascii="Times New Roman" w:eastAsia="Times New Roman" w:hAnsi="Times New Roman" w:cs="Times New Roman"/>
          <w:bCs/>
          <w:color w:val="000000"/>
          <w:sz w:val="28"/>
          <w:szCs w:val="28"/>
        </w:rPr>
      </w:pPr>
    </w:p>
    <w:p w:rsidR="0043790B" w:rsidRPr="007F5722" w:rsidRDefault="0043790B" w:rsidP="0043790B">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Під час проведення кореляційного аналізу встановлено щільні прямі зв’язки ІЛ-22 з ЗХС натще та поспрандіально, ТГ натще, ХС ЛПНЩ натще, ХС ЛПДНЩ натще, КА натще, ХС не-ЛПВЩ натще та Апо В. З ХС ЛПВЩ постпрандіально виявлено зворотній зв’язок.</w:t>
      </w:r>
    </w:p>
    <w:p w:rsidR="0043790B" w:rsidRPr="007F5722" w:rsidRDefault="0043790B" w:rsidP="0043790B">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 xml:space="preserve">Під час кореляційного аналізу зв’язків ІЛ-22 з показниками ліпідного профілю у групі хворих на ГХ з ІМТ </w:t>
      </w:r>
      <w:r w:rsidRPr="007F5722">
        <w:rPr>
          <w:rFonts w:ascii="Calibri" w:eastAsia="Times New Roman" w:hAnsi="Calibri" w:cs="Calibri"/>
          <w:bCs/>
          <w:color w:val="000000"/>
          <w:sz w:val="28"/>
          <w:szCs w:val="28"/>
        </w:rPr>
        <w:t>&lt;</w:t>
      </w:r>
      <w:r w:rsidRPr="007F5722">
        <w:rPr>
          <w:rFonts w:ascii="Times New Roman" w:eastAsia="Times New Roman" w:hAnsi="Times New Roman" w:cs="Times New Roman"/>
          <w:bCs/>
          <w:color w:val="000000"/>
          <w:sz w:val="28"/>
          <w:szCs w:val="28"/>
        </w:rPr>
        <w:t xml:space="preserve"> 25 м</w:t>
      </w:r>
      <w:r w:rsidRPr="007F5722">
        <w:rPr>
          <w:rFonts w:ascii="Times New Roman" w:eastAsia="Times New Roman" w:hAnsi="Times New Roman" w:cs="Times New Roman"/>
          <w:bCs/>
          <w:color w:val="000000"/>
          <w:sz w:val="28"/>
          <w:szCs w:val="28"/>
          <w:vertAlign w:val="superscript"/>
        </w:rPr>
        <w:t>2</w:t>
      </w:r>
      <w:r w:rsidRPr="007F5722">
        <w:rPr>
          <w:rFonts w:ascii="Times New Roman" w:eastAsia="Times New Roman" w:hAnsi="Times New Roman" w:cs="Times New Roman"/>
          <w:bCs/>
          <w:color w:val="000000"/>
          <w:sz w:val="28"/>
          <w:szCs w:val="28"/>
        </w:rPr>
        <w:t>/кг достовірних зв’язків виявлено не було.</w:t>
      </w:r>
    </w:p>
    <w:p w:rsidR="004C4426" w:rsidRPr="007F5722" w:rsidRDefault="00E85B0E" w:rsidP="004C4426">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У таблиці</w:t>
      </w:r>
      <w:r w:rsidR="004C4426" w:rsidRPr="007F5722">
        <w:rPr>
          <w:rFonts w:ascii="Times New Roman" w:eastAsia="Times New Roman" w:hAnsi="Times New Roman" w:cs="Times New Roman"/>
          <w:bCs/>
          <w:color w:val="000000"/>
          <w:sz w:val="28"/>
          <w:szCs w:val="28"/>
        </w:rPr>
        <w:t xml:space="preserve"> 3.</w:t>
      </w:r>
      <w:r w:rsidR="00AE1021" w:rsidRPr="007F5722">
        <w:rPr>
          <w:rFonts w:ascii="Times New Roman" w:eastAsia="Times New Roman" w:hAnsi="Times New Roman" w:cs="Times New Roman"/>
          <w:bCs/>
          <w:color w:val="000000"/>
          <w:sz w:val="28"/>
          <w:szCs w:val="28"/>
          <w:lang w:val="ru-RU"/>
        </w:rPr>
        <w:t>2.</w:t>
      </w:r>
      <w:r w:rsidR="008F5F6B">
        <w:rPr>
          <w:rFonts w:ascii="Times New Roman" w:eastAsia="Times New Roman" w:hAnsi="Times New Roman" w:cs="Times New Roman"/>
          <w:bCs/>
          <w:color w:val="000000"/>
          <w:sz w:val="28"/>
          <w:szCs w:val="28"/>
          <w:lang w:val="ru-RU"/>
        </w:rPr>
        <w:t>2</w:t>
      </w:r>
      <w:r w:rsidR="004C4426" w:rsidRPr="007F5722">
        <w:rPr>
          <w:rFonts w:ascii="Times New Roman" w:eastAsia="Times New Roman" w:hAnsi="Times New Roman" w:cs="Times New Roman"/>
          <w:bCs/>
          <w:color w:val="000000"/>
          <w:sz w:val="28"/>
          <w:szCs w:val="28"/>
        </w:rPr>
        <w:t xml:space="preserve"> представлено</w:t>
      </w:r>
      <w:r w:rsidRPr="007F5722">
        <w:rPr>
          <w:rFonts w:ascii="Times New Roman" w:eastAsia="Times New Roman" w:hAnsi="Times New Roman" w:cs="Times New Roman"/>
          <w:bCs/>
          <w:color w:val="000000"/>
          <w:sz w:val="28"/>
          <w:szCs w:val="28"/>
        </w:rPr>
        <w:t xml:space="preserve"> базальні</w:t>
      </w:r>
      <w:r w:rsidR="004C4426" w:rsidRPr="007F5722">
        <w:rPr>
          <w:rFonts w:ascii="Times New Roman" w:eastAsia="Times New Roman" w:hAnsi="Times New Roman" w:cs="Times New Roman"/>
          <w:bCs/>
          <w:color w:val="000000"/>
          <w:sz w:val="28"/>
          <w:szCs w:val="28"/>
        </w:rPr>
        <w:t xml:space="preserve"> показники </w:t>
      </w:r>
      <w:r w:rsidR="00AE1021" w:rsidRPr="007F5722">
        <w:rPr>
          <w:rFonts w:ascii="Times New Roman" w:eastAsia="Times New Roman" w:hAnsi="Times New Roman" w:cs="Times New Roman"/>
          <w:bCs/>
          <w:color w:val="000000"/>
          <w:sz w:val="28"/>
          <w:szCs w:val="28"/>
        </w:rPr>
        <w:t>ліпідного обмін</w:t>
      </w:r>
      <w:r w:rsidR="00AE1021" w:rsidRPr="007F5722">
        <w:rPr>
          <w:rFonts w:ascii="Times New Roman" w:eastAsia="Times New Roman" w:hAnsi="Times New Roman" w:cs="Times New Roman"/>
          <w:bCs/>
          <w:color w:val="000000"/>
          <w:sz w:val="28"/>
          <w:szCs w:val="28"/>
          <w:lang w:val="ru-RU"/>
        </w:rPr>
        <w:t>у</w:t>
      </w:r>
      <w:r w:rsidR="004C4426" w:rsidRPr="007F5722">
        <w:rPr>
          <w:rFonts w:ascii="Times New Roman" w:eastAsia="Times New Roman" w:hAnsi="Times New Roman" w:cs="Times New Roman"/>
          <w:bCs/>
          <w:color w:val="000000"/>
          <w:sz w:val="28"/>
          <w:szCs w:val="28"/>
        </w:rPr>
        <w:t xml:space="preserve"> у хворих на ГХ з відсутнім або</w:t>
      </w:r>
      <w:r w:rsidR="00AE1021" w:rsidRPr="007F5722">
        <w:rPr>
          <w:rFonts w:ascii="Times New Roman" w:eastAsia="Times New Roman" w:hAnsi="Times New Roman" w:cs="Times New Roman"/>
          <w:bCs/>
          <w:color w:val="000000"/>
          <w:sz w:val="28"/>
          <w:szCs w:val="28"/>
        </w:rPr>
        <w:t xml:space="preserve"> наявним АО</w:t>
      </w:r>
      <w:r w:rsidR="004C4426" w:rsidRPr="007F5722">
        <w:rPr>
          <w:rFonts w:ascii="Times New Roman" w:eastAsia="Times New Roman" w:hAnsi="Times New Roman" w:cs="Times New Roman"/>
          <w:bCs/>
          <w:color w:val="000000"/>
          <w:sz w:val="28"/>
          <w:szCs w:val="28"/>
        </w:rPr>
        <w:t xml:space="preserve"> та у осіб контрольної групи.</w:t>
      </w:r>
    </w:p>
    <w:p w:rsidR="0020456D" w:rsidRDefault="0020456D" w:rsidP="004C4426">
      <w:pPr>
        <w:shd w:val="clear" w:color="auto" w:fill="FFFFFF"/>
        <w:spacing w:after="0" w:line="360" w:lineRule="auto"/>
        <w:ind w:firstLine="709"/>
        <w:jc w:val="both"/>
        <w:rPr>
          <w:rFonts w:ascii="Times New Roman" w:eastAsia="Times New Roman" w:hAnsi="Times New Roman" w:cs="Times New Roman"/>
          <w:bCs/>
          <w:color w:val="000000"/>
          <w:sz w:val="28"/>
          <w:szCs w:val="28"/>
        </w:rPr>
      </w:pPr>
    </w:p>
    <w:p w:rsidR="00BA0EB3" w:rsidRDefault="00BA0EB3" w:rsidP="004C4426">
      <w:pPr>
        <w:shd w:val="clear" w:color="auto" w:fill="FFFFFF"/>
        <w:spacing w:after="0" w:line="360" w:lineRule="auto"/>
        <w:ind w:firstLine="709"/>
        <w:jc w:val="both"/>
        <w:rPr>
          <w:rFonts w:ascii="Times New Roman" w:eastAsia="Times New Roman" w:hAnsi="Times New Roman" w:cs="Times New Roman"/>
          <w:bCs/>
          <w:color w:val="000000"/>
          <w:sz w:val="28"/>
          <w:szCs w:val="28"/>
        </w:rPr>
      </w:pPr>
    </w:p>
    <w:p w:rsidR="00BA0EB3" w:rsidRPr="007F5722" w:rsidRDefault="00BA0EB3" w:rsidP="004C4426">
      <w:pPr>
        <w:shd w:val="clear" w:color="auto" w:fill="FFFFFF"/>
        <w:spacing w:after="0" w:line="360" w:lineRule="auto"/>
        <w:ind w:firstLine="709"/>
        <w:jc w:val="both"/>
        <w:rPr>
          <w:rFonts w:ascii="Times New Roman" w:eastAsia="Times New Roman" w:hAnsi="Times New Roman" w:cs="Times New Roman"/>
          <w:bCs/>
          <w:color w:val="000000"/>
          <w:sz w:val="28"/>
          <w:szCs w:val="28"/>
        </w:rPr>
      </w:pPr>
    </w:p>
    <w:p w:rsidR="00F72A31" w:rsidRPr="007F5722" w:rsidRDefault="008F5F6B" w:rsidP="00AE1021">
      <w:pPr>
        <w:shd w:val="clear" w:color="auto" w:fill="FFFFFF"/>
        <w:spacing w:after="0" w:line="360" w:lineRule="auto"/>
        <w:ind w:firstLine="709"/>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Таблиця 3.2.2</w:t>
      </w:r>
    </w:p>
    <w:p w:rsidR="00AE1021" w:rsidRPr="007F5722" w:rsidRDefault="00AE1021" w:rsidP="00AE1021">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Показники ліпідного обміну у хворих на ГХ залежно від наявності АО.</w:t>
      </w:r>
    </w:p>
    <w:tbl>
      <w:tblPr>
        <w:tblStyle w:val="a9"/>
        <w:tblW w:w="9571" w:type="dxa"/>
        <w:tblLayout w:type="fixed"/>
        <w:tblLook w:val="04A0" w:firstRow="1" w:lastRow="0" w:firstColumn="1" w:lastColumn="0" w:noHBand="0" w:noVBand="1"/>
      </w:tblPr>
      <w:tblGrid>
        <w:gridCol w:w="1384"/>
        <w:gridCol w:w="1418"/>
        <w:gridCol w:w="1275"/>
        <w:gridCol w:w="1418"/>
        <w:gridCol w:w="1276"/>
        <w:gridCol w:w="1417"/>
        <w:gridCol w:w="1383"/>
      </w:tblGrid>
      <w:tr w:rsidR="008A66E2" w:rsidRPr="007F5722" w:rsidTr="000F5870">
        <w:trPr>
          <w:trHeight w:val="268"/>
        </w:trPr>
        <w:tc>
          <w:tcPr>
            <w:tcW w:w="1384" w:type="dxa"/>
            <w:vMerge w:val="restart"/>
          </w:tcPr>
          <w:p w:rsidR="002F73A4" w:rsidRPr="007F5722" w:rsidRDefault="002F73A4"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Показник</w:t>
            </w:r>
          </w:p>
        </w:tc>
        <w:tc>
          <w:tcPr>
            <w:tcW w:w="2693" w:type="dxa"/>
            <w:gridSpan w:val="2"/>
          </w:tcPr>
          <w:p w:rsidR="002F73A4" w:rsidRPr="007F5722" w:rsidRDefault="002F73A4" w:rsidP="002F73A4">
            <w:pPr>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ГХ+АО</w:t>
            </w:r>
          </w:p>
        </w:tc>
        <w:tc>
          <w:tcPr>
            <w:tcW w:w="2694" w:type="dxa"/>
            <w:gridSpan w:val="2"/>
          </w:tcPr>
          <w:p w:rsidR="002F73A4" w:rsidRPr="007F5722" w:rsidRDefault="002F73A4" w:rsidP="002F73A4">
            <w:pPr>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ГХ</w:t>
            </w:r>
          </w:p>
        </w:tc>
        <w:tc>
          <w:tcPr>
            <w:tcW w:w="2800" w:type="dxa"/>
            <w:gridSpan w:val="2"/>
          </w:tcPr>
          <w:p w:rsidR="002F73A4" w:rsidRPr="007F5722" w:rsidRDefault="002F73A4" w:rsidP="002F73A4">
            <w:pPr>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КГ</w:t>
            </w:r>
          </w:p>
        </w:tc>
      </w:tr>
      <w:tr w:rsidR="008A66E2" w:rsidRPr="007F5722" w:rsidTr="000F5870">
        <w:trPr>
          <w:trHeight w:val="268"/>
        </w:trPr>
        <w:tc>
          <w:tcPr>
            <w:tcW w:w="1384" w:type="dxa"/>
            <w:vMerge/>
          </w:tcPr>
          <w:p w:rsidR="002F73A4" w:rsidRPr="007F5722" w:rsidRDefault="002F73A4" w:rsidP="00AE1021">
            <w:pPr>
              <w:spacing w:after="0" w:line="360" w:lineRule="auto"/>
              <w:jc w:val="both"/>
              <w:rPr>
                <w:rFonts w:ascii="Times New Roman" w:eastAsia="Times New Roman" w:hAnsi="Times New Roman" w:cs="Times New Roman"/>
                <w:color w:val="000000"/>
                <w:sz w:val="28"/>
                <w:szCs w:val="28"/>
              </w:rPr>
            </w:pPr>
          </w:p>
        </w:tc>
        <w:tc>
          <w:tcPr>
            <w:tcW w:w="1418" w:type="dxa"/>
          </w:tcPr>
          <w:p w:rsidR="002F73A4" w:rsidRPr="007F5722" w:rsidRDefault="008A66E2"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Чоловіки</w:t>
            </w:r>
          </w:p>
        </w:tc>
        <w:tc>
          <w:tcPr>
            <w:tcW w:w="1275" w:type="dxa"/>
          </w:tcPr>
          <w:p w:rsidR="002F73A4" w:rsidRPr="007F5722" w:rsidRDefault="008A66E2"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Жінки</w:t>
            </w:r>
          </w:p>
        </w:tc>
        <w:tc>
          <w:tcPr>
            <w:tcW w:w="1418" w:type="dxa"/>
          </w:tcPr>
          <w:p w:rsidR="002F73A4" w:rsidRPr="007F5722" w:rsidRDefault="008A66E2"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hAnsi="Times New Roman"/>
                <w:sz w:val="28"/>
                <w:szCs w:val="28"/>
              </w:rPr>
              <w:t>Чоловіки</w:t>
            </w:r>
          </w:p>
        </w:tc>
        <w:tc>
          <w:tcPr>
            <w:tcW w:w="1276" w:type="dxa"/>
          </w:tcPr>
          <w:p w:rsidR="002F73A4" w:rsidRPr="007F5722" w:rsidRDefault="008A66E2"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Жінки</w:t>
            </w:r>
          </w:p>
        </w:tc>
        <w:tc>
          <w:tcPr>
            <w:tcW w:w="1417" w:type="dxa"/>
          </w:tcPr>
          <w:p w:rsidR="002F73A4" w:rsidRPr="007F5722" w:rsidRDefault="008A66E2"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hAnsi="Times New Roman"/>
                <w:sz w:val="28"/>
                <w:szCs w:val="28"/>
              </w:rPr>
              <w:t>Чоловіки</w:t>
            </w:r>
          </w:p>
        </w:tc>
        <w:tc>
          <w:tcPr>
            <w:tcW w:w="1383" w:type="dxa"/>
          </w:tcPr>
          <w:p w:rsidR="002F73A4" w:rsidRPr="007F5722" w:rsidRDefault="008A66E2"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Жінки</w:t>
            </w:r>
          </w:p>
        </w:tc>
      </w:tr>
      <w:tr w:rsidR="008A66E2" w:rsidRPr="007F5722" w:rsidTr="000F5870">
        <w:tc>
          <w:tcPr>
            <w:tcW w:w="1384" w:type="dxa"/>
          </w:tcPr>
          <w:p w:rsidR="002F73A4" w:rsidRPr="007F5722" w:rsidRDefault="008A66E2"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ЗХС, ммоль/л</w:t>
            </w:r>
          </w:p>
        </w:tc>
        <w:tc>
          <w:tcPr>
            <w:tcW w:w="1418" w:type="dxa"/>
          </w:tcPr>
          <w:p w:rsidR="002F73A4" w:rsidRPr="007F5722" w:rsidRDefault="008A66E2"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6,6 (5,8; 7,7)</w:t>
            </w:r>
          </w:p>
        </w:tc>
        <w:tc>
          <w:tcPr>
            <w:tcW w:w="1275" w:type="dxa"/>
          </w:tcPr>
          <w:p w:rsidR="002F73A4" w:rsidRPr="007F5722" w:rsidRDefault="008A66E2"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6,5 (5,3; 7,3)</w:t>
            </w:r>
          </w:p>
        </w:tc>
        <w:tc>
          <w:tcPr>
            <w:tcW w:w="1418" w:type="dxa"/>
          </w:tcPr>
          <w:p w:rsidR="002F73A4" w:rsidRPr="007F5722" w:rsidRDefault="008A66E2"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5,3 (4,1; 6,6)</w:t>
            </w:r>
          </w:p>
        </w:tc>
        <w:tc>
          <w:tcPr>
            <w:tcW w:w="1276" w:type="dxa"/>
          </w:tcPr>
          <w:p w:rsidR="002F73A4" w:rsidRPr="007F5722" w:rsidRDefault="008A66E2"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5,1 (4,7; 6,2)</w:t>
            </w:r>
          </w:p>
        </w:tc>
        <w:tc>
          <w:tcPr>
            <w:tcW w:w="1417" w:type="dxa"/>
          </w:tcPr>
          <w:p w:rsidR="002F73A4" w:rsidRPr="007F5722" w:rsidRDefault="008A66E2"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4,1 (4,1; 4,2)</w:t>
            </w:r>
          </w:p>
        </w:tc>
        <w:tc>
          <w:tcPr>
            <w:tcW w:w="1383" w:type="dxa"/>
          </w:tcPr>
          <w:p w:rsidR="002F73A4" w:rsidRPr="007F5722" w:rsidRDefault="008A66E2"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4,1 (3,4; 4,4)</w:t>
            </w:r>
          </w:p>
        </w:tc>
      </w:tr>
      <w:tr w:rsidR="008A66E2" w:rsidRPr="007F5722" w:rsidTr="000F5870">
        <w:tc>
          <w:tcPr>
            <w:tcW w:w="1384" w:type="dxa"/>
          </w:tcPr>
          <w:p w:rsidR="002F73A4" w:rsidRPr="007F5722" w:rsidRDefault="008A66E2"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ТГ, ммоль/л</w:t>
            </w:r>
          </w:p>
        </w:tc>
        <w:tc>
          <w:tcPr>
            <w:tcW w:w="1418" w:type="dxa"/>
          </w:tcPr>
          <w:p w:rsidR="002F73A4" w:rsidRPr="007F5722" w:rsidRDefault="008A66E2"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2,3 (2,1; 2,7)</w:t>
            </w:r>
          </w:p>
        </w:tc>
        <w:tc>
          <w:tcPr>
            <w:tcW w:w="1275" w:type="dxa"/>
          </w:tcPr>
          <w:p w:rsidR="002F73A4" w:rsidRPr="007F5722" w:rsidRDefault="008A66E2"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2,1 (1,9; 2,6)</w:t>
            </w:r>
          </w:p>
        </w:tc>
        <w:tc>
          <w:tcPr>
            <w:tcW w:w="1418" w:type="dxa"/>
          </w:tcPr>
          <w:p w:rsidR="002F73A4" w:rsidRPr="007F5722" w:rsidRDefault="008A66E2"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1,9 (1,7; 2,0)</w:t>
            </w:r>
          </w:p>
        </w:tc>
        <w:tc>
          <w:tcPr>
            <w:tcW w:w="1276" w:type="dxa"/>
          </w:tcPr>
          <w:p w:rsidR="002F73A4" w:rsidRPr="007F5722" w:rsidRDefault="008A66E2"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2,0 (1,6; 2,2)</w:t>
            </w:r>
          </w:p>
        </w:tc>
        <w:tc>
          <w:tcPr>
            <w:tcW w:w="1417" w:type="dxa"/>
          </w:tcPr>
          <w:p w:rsidR="002F73A4" w:rsidRPr="007F5722" w:rsidRDefault="008A66E2"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1,8 (1,7; 1,8)</w:t>
            </w:r>
          </w:p>
        </w:tc>
        <w:tc>
          <w:tcPr>
            <w:tcW w:w="1383" w:type="dxa"/>
          </w:tcPr>
          <w:p w:rsidR="002F73A4" w:rsidRPr="007F5722" w:rsidRDefault="008A66E2"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1,8 (1,7; 1,8)</w:t>
            </w:r>
          </w:p>
        </w:tc>
      </w:tr>
      <w:tr w:rsidR="008A66E2" w:rsidRPr="007F5722" w:rsidTr="000F5870">
        <w:tc>
          <w:tcPr>
            <w:tcW w:w="1384" w:type="dxa"/>
          </w:tcPr>
          <w:p w:rsidR="002F73A4" w:rsidRPr="007F5722" w:rsidRDefault="008A66E2"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ХС ЛПВЩ, ммоль/л</w:t>
            </w:r>
          </w:p>
        </w:tc>
        <w:tc>
          <w:tcPr>
            <w:tcW w:w="1418" w:type="dxa"/>
          </w:tcPr>
          <w:p w:rsidR="002F73A4" w:rsidRPr="007F5722" w:rsidRDefault="008A66E2"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hAnsi="Times New Roman"/>
                <w:sz w:val="28"/>
                <w:szCs w:val="28"/>
              </w:rPr>
              <w:t>1,03 (1,2; 0,93)</w:t>
            </w:r>
          </w:p>
        </w:tc>
        <w:tc>
          <w:tcPr>
            <w:tcW w:w="1275" w:type="dxa"/>
          </w:tcPr>
          <w:p w:rsidR="002F73A4" w:rsidRPr="007F5722" w:rsidRDefault="008A66E2"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hAnsi="Times New Roman"/>
                <w:sz w:val="28"/>
                <w:szCs w:val="28"/>
              </w:rPr>
              <w:t>1,1 (0,9; 1,4)</w:t>
            </w:r>
          </w:p>
        </w:tc>
        <w:tc>
          <w:tcPr>
            <w:tcW w:w="1418" w:type="dxa"/>
          </w:tcPr>
          <w:p w:rsidR="002F73A4" w:rsidRPr="007F5722" w:rsidRDefault="008A66E2"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hAnsi="Times New Roman"/>
                <w:sz w:val="28"/>
                <w:szCs w:val="28"/>
              </w:rPr>
              <w:t>1,2 (0,9; 1,7)</w:t>
            </w:r>
          </w:p>
        </w:tc>
        <w:tc>
          <w:tcPr>
            <w:tcW w:w="1276" w:type="dxa"/>
          </w:tcPr>
          <w:p w:rsidR="002F73A4" w:rsidRPr="007F5722" w:rsidRDefault="008A66E2"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hAnsi="Times New Roman"/>
                <w:sz w:val="28"/>
                <w:szCs w:val="28"/>
              </w:rPr>
              <w:t>1,4 (1,1; 1,8)</w:t>
            </w:r>
          </w:p>
        </w:tc>
        <w:tc>
          <w:tcPr>
            <w:tcW w:w="1417" w:type="dxa"/>
          </w:tcPr>
          <w:p w:rsidR="002F73A4" w:rsidRPr="007F5722" w:rsidRDefault="008A66E2"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1,7 (1,7; 1,8)</w:t>
            </w:r>
          </w:p>
        </w:tc>
        <w:tc>
          <w:tcPr>
            <w:tcW w:w="1383" w:type="dxa"/>
          </w:tcPr>
          <w:p w:rsidR="002F73A4" w:rsidRPr="007F5722" w:rsidRDefault="008A66E2"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1,8 (1,8; 1,9)</w:t>
            </w:r>
          </w:p>
        </w:tc>
      </w:tr>
      <w:tr w:rsidR="008A66E2" w:rsidRPr="007F5722" w:rsidTr="000F5870">
        <w:tc>
          <w:tcPr>
            <w:tcW w:w="1384" w:type="dxa"/>
          </w:tcPr>
          <w:p w:rsidR="002F73A4" w:rsidRPr="007F5722" w:rsidRDefault="008A66E2"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ХС ЛПНЩ, ммоль/л</w:t>
            </w:r>
          </w:p>
        </w:tc>
        <w:tc>
          <w:tcPr>
            <w:tcW w:w="1418" w:type="dxa"/>
          </w:tcPr>
          <w:p w:rsidR="002F73A4" w:rsidRPr="007F5722" w:rsidRDefault="003A143A"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hAnsi="Times New Roman"/>
                <w:sz w:val="28"/>
                <w:szCs w:val="28"/>
              </w:rPr>
              <w:t>4,5 (3,7; 5,4)</w:t>
            </w:r>
          </w:p>
        </w:tc>
        <w:tc>
          <w:tcPr>
            <w:tcW w:w="1275" w:type="dxa"/>
          </w:tcPr>
          <w:p w:rsidR="002F73A4" w:rsidRPr="007F5722" w:rsidRDefault="003A143A"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hAnsi="Times New Roman"/>
                <w:sz w:val="28"/>
                <w:szCs w:val="28"/>
              </w:rPr>
              <w:t>4,1 (3,4; 5,1)</w:t>
            </w:r>
          </w:p>
        </w:tc>
        <w:tc>
          <w:tcPr>
            <w:tcW w:w="1418" w:type="dxa"/>
          </w:tcPr>
          <w:p w:rsidR="002F73A4" w:rsidRPr="007F5722" w:rsidRDefault="003A143A"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hAnsi="Times New Roman"/>
                <w:sz w:val="28"/>
                <w:szCs w:val="28"/>
              </w:rPr>
              <w:t>3,6 (2,0; 4,2)</w:t>
            </w:r>
          </w:p>
        </w:tc>
        <w:tc>
          <w:tcPr>
            <w:tcW w:w="1276" w:type="dxa"/>
          </w:tcPr>
          <w:p w:rsidR="002F73A4" w:rsidRPr="007F5722" w:rsidRDefault="003A143A"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hAnsi="Times New Roman"/>
                <w:sz w:val="28"/>
                <w:szCs w:val="28"/>
              </w:rPr>
              <w:t>3,0 (2,3; 3,8)</w:t>
            </w:r>
          </w:p>
        </w:tc>
        <w:tc>
          <w:tcPr>
            <w:tcW w:w="1417" w:type="dxa"/>
          </w:tcPr>
          <w:p w:rsidR="002F73A4" w:rsidRPr="007F5722" w:rsidRDefault="003A143A"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1,6 (1,5; 1,7)</w:t>
            </w:r>
          </w:p>
        </w:tc>
        <w:tc>
          <w:tcPr>
            <w:tcW w:w="1383" w:type="dxa"/>
          </w:tcPr>
          <w:p w:rsidR="002F73A4" w:rsidRPr="007F5722" w:rsidRDefault="003A143A"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1,5 (0,8; 1,7)</w:t>
            </w:r>
          </w:p>
        </w:tc>
      </w:tr>
      <w:tr w:rsidR="008A66E2" w:rsidRPr="007F5722" w:rsidTr="000F5870">
        <w:tc>
          <w:tcPr>
            <w:tcW w:w="1384" w:type="dxa"/>
          </w:tcPr>
          <w:p w:rsidR="002F73A4" w:rsidRPr="007F5722" w:rsidRDefault="008A66E2"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ХС ЛПДНЩ, ммоль/л</w:t>
            </w:r>
          </w:p>
        </w:tc>
        <w:tc>
          <w:tcPr>
            <w:tcW w:w="1418" w:type="dxa"/>
          </w:tcPr>
          <w:p w:rsidR="002F73A4" w:rsidRPr="007F5722" w:rsidRDefault="003A143A"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hAnsi="Times New Roman"/>
                <w:sz w:val="28"/>
                <w:szCs w:val="28"/>
              </w:rPr>
              <w:t>1,06 (0,95; 1,2)</w:t>
            </w:r>
          </w:p>
        </w:tc>
        <w:tc>
          <w:tcPr>
            <w:tcW w:w="1275" w:type="dxa"/>
          </w:tcPr>
          <w:p w:rsidR="002F73A4" w:rsidRPr="007F5722" w:rsidRDefault="003A143A"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hAnsi="Times New Roman"/>
                <w:sz w:val="28"/>
                <w:szCs w:val="28"/>
              </w:rPr>
              <w:t>0,96 (0,84; 1,17)</w:t>
            </w:r>
          </w:p>
        </w:tc>
        <w:tc>
          <w:tcPr>
            <w:tcW w:w="1418" w:type="dxa"/>
          </w:tcPr>
          <w:p w:rsidR="002F73A4" w:rsidRPr="007F5722" w:rsidRDefault="003A143A"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hAnsi="Times New Roman"/>
                <w:sz w:val="28"/>
                <w:szCs w:val="28"/>
              </w:rPr>
              <w:t>0,84 (0,76; 0,92)</w:t>
            </w:r>
          </w:p>
        </w:tc>
        <w:tc>
          <w:tcPr>
            <w:tcW w:w="1276" w:type="dxa"/>
          </w:tcPr>
          <w:p w:rsidR="002F73A4" w:rsidRPr="007F5722" w:rsidRDefault="003A143A"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hAnsi="Times New Roman"/>
                <w:sz w:val="28"/>
                <w:szCs w:val="28"/>
              </w:rPr>
              <w:t>0,89 (0,72; 0,99)</w:t>
            </w:r>
          </w:p>
        </w:tc>
        <w:tc>
          <w:tcPr>
            <w:tcW w:w="1417" w:type="dxa"/>
          </w:tcPr>
          <w:p w:rsidR="002F73A4" w:rsidRPr="007F5722" w:rsidRDefault="008435E2"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0,82 (0,75; 0,82)</w:t>
            </w:r>
          </w:p>
        </w:tc>
        <w:tc>
          <w:tcPr>
            <w:tcW w:w="1383" w:type="dxa"/>
          </w:tcPr>
          <w:p w:rsidR="002F73A4" w:rsidRPr="007F5722" w:rsidRDefault="008435E2"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0,81 (0,79; 0,82)</w:t>
            </w:r>
          </w:p>
        </w:tc>
      </w:tr>
      <w:tr w:rsidR="008A66E2" w:rsidRPr="007F5722" w:rsidTr="000F5870">
        <w:tc>
          <w:tcPr>
            <w:tcW w:w="1384" w:type="dxa"/>
          </w:tcPr>
          <w:p w:rsidR="002F73A4" w:rsidRPr="007F5722" w:rsidRDefault="008A66E2"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КА</w:t>
            </w:r>
          </w:p>
        </w:tc>
        <w:tc>
          <w:tcPr>
            <w:tcW w:w="1418" w:type="dxa"/>
          </w:tcPr>
          <w:p w:rsidR="002F73A4" w:rsidRPr="007F5722" w:rsidRDefault="008435E2"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hAnsi="Times New Roman"/>
                <w:sz w:val="28"/>
                <w:szCs w:val="28"/>
              </w:rPr>
              <w:t>5,3 (5,0; 8,5)</w:t>
            </w:r>
          </w:p>
        </w:tc>
        <w:tc>
          <w:tcPr>
            <w:tcW w:w="1275" w:type="dxa"/>
          </w:tcPr>
          <w:p w:rsidR="002F73A4" w:rsidRPr="007F5722" w:rsidRDefault="008435E2"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hAnsi="Times New Roman"/>
                <w:sz w:val="28"/>
                <w:szCs w:val="28"/>
              </w:rPr>
              <w:t>4,5 (4,0; 5,0)</w:t>
            </w:r>
          </w:p>
        </w:tc>
        <w:tc>
          <w:tcPr>
            <w:tcW w:w="1418" w:type="dxa"/>
          </w:tcPr>
          <w:p w:rsidR="002F73A4" w:rsidRPr="007F5722" w:rsidRDefault="008435E2"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hAnsi="Times New Roman"/>
                <w:sz w:val="28"/>
                <w:szCs w:val="28"/>
              </w:rPr>
              <w:t>3,5 (2,6; 4,9)</w:t>
            </w:r>
          </w:p>
        </w:tc>
        <w:tc>
          <w:tcPr>
            <w:tcW w:w="1276" w:type="dxa"/>
          </w:tcPr>
          <w:p w:rsidR="002F73A4" w:rsidRPr="007F5722" w:rsidRDefault="008435E2"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hAnsi="Times New Roman"/>
                <w:sz w:val="28"/>
                <w:szCs w:val="28"/>
              </w:rPr>
              <w:t>3,3 (1,9; 4,0)</w:t>
            </w:r>
          </w:p>
        </w:tc>
        <w:tc>
          <w:tcPr>
            <w:tcW w:w="1417" w:type="dxa"/>
          </w:tcPr>
          <w:p w:rsidR="002F73A4" w:rsidRPr="007F5722" w:rsidRDefault="008435E2"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1,4 (1,2; 1,5)</w:t>
            </w:r>
          </w:p>
        </w:tc>
        <w:tc>
          <w:tcPr>
            <w:tcW w:w="1383" w:type="dxa"/>
          </w:tcPr>
          <w:p w:rsidR="002F73A4" w:rsidRPr="007F5722" w:rsidRDefault="008435E2"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1,3 (0,9; 1,4)</w:t>
            </w:r>
          </w:p>
        </w:tc>
      </w:tr>
      <w:tr w:rsidR="008A66E2" w:rsidRPr="007F5722" w:rsidTr="000F5870">
        <w:tc>
          <w:tcPr>
            <w:tcW w:w="1384" w:type="dxa"/>
          </w:tcPr>
          <w:p w:rsidR="002F73A4" w:rsidRPr="007F5722" w:rsidRDefault="008A66E2"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ХС не – ЛПВЩ</w:t>
            </w:r>
            <w:r w:rsidR="008435E2" w:rsidRPr="007F5722">
              <w:rPr>
                <w:rFonts w:ascii="Times New Roman" w:eastAsia="Times New Roman" w:hAnsi="Times New Roman" w:cs="Times New Roman"/>
                <w:color w:val="000000"/>
                <w:sz w:val="28"/>
                <w:szCs w:val="28"/>
              </w:rPr>
              <w:t>, ммоль/л</w:t>
            </w:r>
          </w:p>
        </w:tc>
        <w:tc>
          <w:tcPr>
            <w:tcW w:w="1418" w:type="dxa"/>
          </w:tcPr>
          <w:p w:rsidR="002F73A4" w:rsidRPr="007F5722" w:rsidRDefault="008435E2"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hAnsi="Times New Roman"/>
                <w:sz w:val="28"/>
                <w:szCs w:val="28"/>
              </w:rPr>
              <w:t>5,54 (4,8; 6,6)</w:t>
            </w:r>
          </w:p>
        </w:tc>
        <w:tc>
          <w:tcPr>
            <w:tcW w:w="1275" w:type="dxa"/>
          </w:tcPr>
          <w:p w:rsidR="002F73A4" w:rsidRPr="007F5722" w:rsidRDefault="008435E2"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hAnsi="Times New Roman"/>
                <w:sz w:val="28"/>
                <w:szCs w:val="28"/>
              </w:rPr>
              <w:t>5,1 (4,3; 6,2)</w:t>
            </w:r>
          </w:p>
        </w:tc>
        <w:tc>
          <w:tcPr>
            <w:tcW w:w="1418" w:type="dxa"/>
          </w:tcPr>
          <w:p w:rsidR="002F73A4" w:rsidRPr="007F5722" w:rsidRDefault="008435E2"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hAnsi="Times New Roman"/>
                <w:sz w:val="28"/>
                <w:szCs w:val="28"/>
              </w:rPr>
              <w:t>4,1 (2,6; 5,0)</w:t>
            </w:r>
          </w:p>
        </w:tc>
        <w:tc>
          <w:tcPr>
            <w:tcW w:w="1276" w:type="dxa"/>
          </w:tcPr>
          <w:p w:rsidR="002F73A4" w:rsidRPr="007F5722" w:rsidRDefault="008435E2"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hAnsi="Times New Roman"/>
                <w:sz w:val="28"/>
                <w:szCs w:val="28"/>
              </w:rPr>
              <w:t>3,6 (3,0; 4,8)</w:t>
            </w:r>
          </w:p>
        </w:tc>
        <w:tc>
          <w:tcPr>
            <w:tcW w:w="1417" w:type="dxa"/>
          </w:tcPr>
          <w:p w:rsidR="002F73A4" w:rsidRPr="007F5722" w:rsidRDefault="008435E2"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2,4 (2,2; 2,4)</w:t>
            </w:r>
          </w:p>
        </w:tc>
        <w:tc>
          <w:tcPr>
            <w:tcW w:w="1383" w:type="dxa"/>
          </w:tcPr>
          <w:p w:rsidR="002F73A4" w:rsidRPr="007F5722" w:rsidRDefault="008435E2" w:rsidP="00AE1021">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2,3 (1,6; 2,5)</w:t>
            </w:r>
          </w:p>
        </w:tc>
      </w:tr>
      <w:tr w:rsidR="008F5F6B" w:rsidRPr="007F5722" w:rsidTr="000F5870">
        <w:tc>
          <w:tcPr>
            <w:tcW w:w="1384" w:type="dxa"/>
          </w:tcPr>
          <w:p w:rsidR="008F5F6B" w:rsidRPr="007F5722" w:rsidRDefault="008F5F6B" w:rsidP="008F5F6B">
            <w:pPr>
              <w:shd w:val="clear" w:color="auto" w:fill="FFFFFF"/>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Аро В, мкг/мл</w:t>
            </w:r>
          </w:p>
        </w:tc>
        <w:tc>
          <w:tcPr>
            <w:tcW w:w="1418" w:type="dxa"/>
          </w:tcPr>
          <w:p w:rsidR="008F5F6B" w:rsidRPr="007F5722" w:rsidRDefault="008F5F6B" w:rsidP="008F5F6B">
            <w:pPr>
              <w:shd w:val="clear" w:color="auto" w:fill="FFFFFF"/>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164,7 (155,1; 176,4)</w:t>
            </w:r>
          </w:p>
        </w:tc>
        <w:tc>
          <w:tcPr>
            <w:tcW w:w="1275" w:type="dxa"/>
          </w:tcPr>
          <w:p w:rsidR="008F5F6B" w:rsidRPr="007F5722" w:rsidRDefault="008F5F6B" w:rsidP="008F5F6B">
            <w:pPr>
              <w:shd w:val="clear" w:color="auto" w:fill="FFFFFF"/>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172,7 (164,1; 179,4)</w:t>
            </w:r>
          </w:p>
        </w:tc>
        <w:tc>
          <w:tcPr>
            <w:tcW w:w="1418" w:type="dxa"/>
          </w:tcPr>
          <w:p w:rsidR="008F5F6B" w:rsidRPr="007F5722" w:rsidRDefault="008F5F6B" w:rsidP="008F5F6B">
            <w:pPr>
              <w:shd w:val="clear" w:color="auto" w:fill="FFFFFF"/>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143,8 (118,7; 166,2)</w:t>
            </w:r>
          </w:p>
        </w:tc>
        <w:tc>
          <w:tcPr>
            <w:tcW w:w="1276" w:type="dxa"/>
          </w:tcPr>
          <w:p w:rsidR="008F5F6B" w:rsidRPr="007F5722" w:rsidRDefault="008F5F6B" w:rsidP="008F5F6B">
            <w:pPr>
              <w:shd w:val="clear" w:color="auto" w:fill="FFFFFF"/>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127,7 (117,6; 145,9)</w:t>
            </w:r>
          </w:p>
        </w:tc>
        <w:tc>
          <w:tcPr>
            <w:tcW w:w="1417" w:type="dxa"/>
          </w:tcPr>
          <w:p w:rsidR="008F5F6B" w:rsidRPr="007F5722" w:rsidRDefault="008F5F6B" w:rsidP="008F5F6B">
            <w:pPr>
              <w:shd w:val="clear" w:color="auto" w:fill="FFFFFF"/>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116,7 (113,7; 117,2)</w:t>
            </w:r>
          </w:p>
        </w:tc>
        <w:tc>
          <w:tcPr>
            <w:tcW w:w="1383" w:type="dxa"/>
          </w:tcPr>
          <w:p w:rsidR="008F5F6B" w:rsidRPr="007F5722" w:rsidRDefault="008F5F6B" w:rsidP="008F5F6B">
            <w:pPr>
              <w:shd w:val="clear" w:color="auto" w:fill="FFFFFF"/>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11,4 (110,4; 112,8)</w:t>
            </w:r>
          </w:p>
        </w:tc>
      </w:tr>
    </w:tbl>
    <w:p w:rsidR="008435E2" w:rsidRPr="007F5722" w:rsidRDefault="004D3FC8" w:rsidP="004D3FC8">
      <w:pPr>
        <w:shd w:val="clear" w:color="auto" w:fill="FFFFFF"/>
        <w:spacing w:after="0" w:line="360" w:lineRule="auto"/>
        <w:ind w:firstLine="709"/>
        <w:jc w:val="both"/>
        <w:rPr>
          <w:rFonts w:ascii="Times New Roman" w:hAnsi="Times New Roman"/>
          <w:sz w:val="28"/>
          <w:szCs w:val="28"/>
        </w:rPr>
      </w:pPr>
      <w:r w:rsidRPr="007F5722">
        <w:rPr>
          <w:rFonts w:ascii="Times New Roman" w:hAnsi="Times New Roman"/>
          <w:sz w:val="28"/>
          <w:szCs w:val="28"/>
        </w:rPr>
        <w:t xml:space="preserve">Нами встановлено, що рівні ЗХС, ТГ, ХС ЛПНЩ, ХС ЛПДНЩ, КА, ХС не–ЛПВЩ та Аро В достовірно вищі у чоловіків хворих на ГХ в поєднанні з АО в порівнянні з чоловіками з ГХ без АО (р&lt;0,05). Під час порівняння середніх значень показників ліпідного профілю жінок хворих на ГХ з АО та </w:t>
      </w:r>
      <w:r w:rsidRPr="007F5722">
        <w:rPr>
          <w:rFonts w:ascii="Times New Roman" w:hAnsi="Times New Roman"/>
          <w:sz w:val="28"/>
          <w:szCs w:val="28"/>
        </w:rPr>
        <w:lastRenderedPageBreak/>
        <w:t>без ознак АО, достовірно вищими у жінок з коморбідною патологією виявились ЗХС, ХС ЛПНЩ, КА, ХС не–ЛПВЩ та Аро В (р&lt;0,05). Показники ліпідного профілю в основних групах хворих були достовірно вищими за показники у групі контролю (р&lt;0,05).</w:t>
      </w:r>
    </w:p>
    <w:p w:rsidR="0059261D" w:rsidRPr="007F5722" w:rsidRDefault="00864156" w:rsidP="0020456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Проведено</w:t>
      </w:r>
      <w:r w:rsidR="004D3FC8" w:rsidRPr="007F5722">
        <w:rPr>
          <w:rFonts w:ascii="Times New Roman" w:eastAsia="Times New Roman" w:hAnsi="Times New Roman" w:cs="Times New Roman"/>
          <w:color w:val="000000"/>
          <w:sz w:val="28"/>
          <w:szCs w:val="28"/>
        </w:rPr>
        <w:t xml:space="preserve"> кореляційний аналіз показників ліпідного метаболізму з антропометричними та гемодинамічними показниками</w:t>
      </w:r>
      <w:r w:rsidR="002907F7" w:rsidRPr="007F5722">
        <w:rPr>
          <w:rFonts w:ascii="Times New Roman" w:eastAsia="Times New Roman" w:hAnsi="Times New Roman" w:cs="Times New Roman"/>
          <w:color w:val="000000"/>
          <w:sz w:val="28"/>
          <w:szCs w:val="28"/>
        </w:rPr>
        <w:t xml:space="preserve"> у групі</w:t>
      </w:r>
      <w:r w:rsidR="004D3FC8" w:rsidRPr="007F5722">
        <w:rPr>
          <w:rFonts w:ascii="Times New Roman" w:eastAsia="Times New Roman" w:hAnsi="Times New Roman" w:cs="Times New Roman"/>
          <w:color w:val="000000"/>
          <w:sz w:val="28"/>
          <w:szCs w:val="28"/>
        </w:rPr>
        <w:t xml:space="preserve"> хворих на ГХ в залежності від наявності</w:t>
      </w:r>
      <w:r w:rsidR="002907F7" w:rsidRPr="007F5722">
        <w:rPr>
          <w:rFonts w:ascii="Times New Roman" w:eastAsia="Times New Roman" w:hAnsi="Times New Roman" w:cs="Times New Roman"/>
          <w:color w:val="000000"/>
          <w:sz w:val="28"/>
          <w:szCs w:val="28"/>
        </w:rPr>
        <w:t xml:space="preserve"> АО. В результаті у чоловіків хворих на ГХ з АО нами встановлено достовірні прямі взаємозв’язки між ЗХС,</w:t>
      </w:r>
      <w:r w:rsidR="00EB2AC0" w:rsidRPr="007F5722">
        <w:rPr>
          <w:rFonts w:ascii="Times New Roman" w:eastAsia="Times New Roman" w:hAnsi="Times New Roman" w:cs="Times New Roman"/>
          <w:color w:val="000000"/>
          <w:sz w:val="28"/>
          <w:szCs w:val="28"/>
        </w:rPr>
        <w:t xml:space="preserve"> ТГ,</w:t>
      </w:r>
      <w:r w:rsidR="002907F7" w:rsidRPr="007F5722">
        <w:rPr>
          <w:rFonts w:ascii="Times New Roman" w:eastAsia="Times New Roman" w:hAnsi="Times New Roman" w:cs="Times New Roman"/>
          <w:color w:val="000000"/>
          <w:sz w:val="28"/>
          <w:szCs w:val="28"/>
        </w:rPr>
        <w:t xml:space="preserve"> ХС ЛПНЩ, ХС ЛПДНЩ, КА, ХС не-ЛПВЩ, Апо В та масою тіла, ІМТ, ОТ, ОТ/ОС</w:t>
      </w:r>
      <w:r w:rsidR="00EB2AC0" w:rsidRPr="007F5722">
        <w:rPr>
          <w:rFonts w:ascii="Times New Roman" w:eastAsia="Times New Roman" w:hAnsi="Times New Roman" w:cs="Times New Roman"/>
          <w:color w:val="000000"/>
          <w:sz w:val="28"/>
          <w:szCs w:val="28"/>
        </w:rPr>
        <w:t xml:space="preserve">. </w:t>
      </w:r>
      <w:r w:rsidR="00EB2AC0" w:rsidRPr="007F5722">
        <w:rPr>
          <w:rFonts w:ascii="Times New Roman" w:eastAsia="Times New Roman" w:hAnsi="Times New Roman" w:cs="Times New Roman"/>
          <w:color w:val="000000"/>
          <w:sz w:val="28"/>
          <w:szCs w:val="28"/>
          <w:lang w:val="ru-RU"/>
        </w:rPr>
        <w:t xml:space="preserve">В той час, як нами не </w:t>
      </w:r>
      <w:r w:rsidR="00EB2AC0" w:rsidRPr="007F5722">
        <w:rPr>
          <w:rFonts w:ascii="Times New Roman" w:eastAsia="Times New Roman" w:hAnsi="Times New Roman" w:cs="Times New Roman"/>
          <w:color w:val="000000"/>
          <w:sz w:val="28"/>
          <w:szCs w:val="28"/>
        </w:rPr>
        <w:t xml:space="preserve">виявлено достовірних кореляційних зв’язків між рівнем </w:t>
      </w:r>
      <w:r w:rsidR="0059261D" w:rsidRPr="007F5722">
        <w:rPr>
          <w:rFonts w:ascii="Times New Roman" w:eastAsia="Times New Roman" w:hAnsi="Times New Roman" w:cs="Times New Roman"/>
          <w:color w:val="000000"/>
          <w:sz w:val="28"/>
          <w:szCs w:val="28"/>
        </w:rPr>
        <w:t xml:space="preserve">ХС ЛПВЩ та антропометричими показниками. Встановлено також щільні прямі кореляційні зв’язки між КА, Апо В та САТ. </w:t>
      </w:r>
      <w:r w:rsidR="008F5F6B">
        <w:rPr>
          <w:rFonts w:ascii="Times New Roman" w:eastAsia="Times New Roman" w:hAnsi="Times New Roman" w:cs="Times New Roman"/>
          <w:color w:val="000000"/>
          <w:sz w:val="28"/>
          <w:szCs w:val="28"/>
        </w:rPr>
        <w:t>(Таблиця 3.2.3</w:t>
      </w:r>
      <w:r w:rsidR="002907F7" w:rsidRPr="007F5722">
        <w:rPr>
          <w:rFonts w:ascii="Times New Roman" w:eastAsia="Times New Roman" w:hAnsi="Times New Roman" w:cs="Times New Roman"/>
          <w:color w:val="000000"/>
          <w:sz w:val="28"/>
          <w:szCs w:val="28"/>
        </w:rPr>
        <w:t>)</w:t>
      </w:r>
    </w:p>
    <w:p w:rsidR="004D3FC8" w:rsidRPr="007F5722" w:rsidRDefault="008F5F6B" w:rsidP="00374A56">
      <w:pPr>
        <w:shd w:val="clear" w:color="auto" w:fill="FFFFFF"/>
        <w:spacing w:after="0" w:line="360" w:lineRule="auto"/>
        <w:ind w:firstLine="709"/>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Таблиця 3.2.3</w:t>
      </w:r>
    </w:p>
    <w:tbl>
      <w:tblPr>
        <w:tblW w:w="9999" w:type="dxa"/>
        <w:tblCellSpacing w:w="15" w:type="dxa"/>
        <w:tblInd w:w="-75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35"/>
        <w:gridCol w:w="1339"/>
        <w:gridCol w:w="719"/>
        <w:gridCol w:w="1056"/>
        <w:gridCol w:w="1056"/>
        <w:gridCol w:w="1199"/>
        <w:gridCol w:w="719"/>
        <w:gridCol w:w="1355"/>
        <w:gridCol w:w="911"/>
      </w:tblGrid>
      <w:tr w:rsidR="00C74657" w:rsidRPr="007F5722" w:rsidTr="00BA0EB3">
        <w:trPr>
          <w:trHeight w:val="1285"/>
          <w:tblCellSpacing w:w="15" w:type="dxa"/>
        </w:trPr>
        <w:tc>
          <w:tcPr>
            <w:tcW w:w="9939" w:type="dxa"/>
            <w:gridSpan w:val="9"/>
            <w:tcBorders>
              <w:top w:val="nil"/>
              <w:left w:val="nil"/>
              <w:bottom w:val="nil"/>
              <w:right w:val="nil"/>
            </w:tcBorders>
            <w:noWrap/>
            <w:vAlign w:val="center"/>
            <w:hideMark/>
          </w:tcPr>
          <w:p w:rsidR="00BA0EB3" w:rsidRPr="00BA0EB3" w:rsidRDefault="00C74657" w:rsidP="00C62EFF">
            <w:pPr>
              <w:spacing w:after="0" w:line="24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Кореляційні взаємозв</w:t>
            </w:r>
            <w:r w:rsidRPr="007F5722">
              <w:rPr>
                <w:rFonts w:ascii="Times New Roman" w:eastAsia="Times New Roman" w:hAnsi="Times New Roman" w:cs="Times New Roman"/>
                <w:color w:val="000000"/>
                <w:sz w:val="28"/>
                <w:szCs w:val="28"/>
                <w:lang w:val="ru-RU"/>
              </w:rPr>
              <w:t>’</w:t>
            </w:r>
            <w:r w:rsidRPr="007F5722">
              <w:rPr>
                <w:rFonts w:ascii="Times New Roman" w:eastAsia="Times New Roman" w:hAnsi="Times New Roman" w:cs="Times New Roman"/>
                <w:color w:val="000000"/>
                <w:sz w:val="28"/>
                <w:szCs w:val="28"/>
              </w:rPr>
              <w:t>язки між показниками ліпідного профілю з антропометричними та гемодинамічними показникам</w:t>
            </w:r>
            <w:r w:rsidR="00BA0EB3">
              <w:rPr>
                <w:rFonts w:ascii="Times New Roman" w:eastAsia="Times New Roman" w:hAnsi="Times New Roman" w:cs="Times New Roman"/>
                <w:color w:val="000000"/>
                <w:sz w:val="28"/>
                <w:szCs w:val="28"/>
              </w:rPr>
              <w:t>и у чоловіків хворих на ГХ з АО</w:t>
            </w:r>
          </w:p>
        </w:tc>
      </w:tr>
      <w:tr w:rsidR="00C74657" w:rsidRPr="007F5722" w:rsidTr="00BA0EB3">
        <w:trPr>
          <w:trHeight w:val="274"/>
          <w:tblCellSpacing w:w="15" w:type="dxa"/>
        </w:trPr>
        <w:tc>
          <w:tcPr>
            <w:tcW w:w="1660" w:type="dxa"/>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jc w:val="center"/>
              <w:rPr>
                <w:rFonts w:ascii="Times New Roman" w:eastAsia="Times New Roman" w:hAnsi="Times New Roman" w:cs="Times New Roman"/>
                <w:b/>
                <w:bCs/>
                <w:sz w:val="24"/>
                <w:szCs w:val="24"/>
                <w:lang w:eastAsia="ru-RU"/>
              </w:rPr>
            </w:pPr>
          </w:p>
        </w:tc>
        <w:tc>
          <w:tcPr>
            <w:tcW w:w="1279" w:type="dxa"/>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jc w:val="center"/>
              <w:rPr>
                <w:rFonts w:ascii="Times New Roman" w:eastAsia="Times New Roman" w:hAnsi="Times New Roman" w:cs="Times New Roman"/>
                <w:b/>
                <w:bCs/>
                <w:sz w:val="24"/>
                <w:szCs w:val="24"/>
                <w:lang w:eastAsia="ru-RU"/>
              </w:rPr>
            </w:pPr>
            <w:r w:rsidRPr="007F5722">
              <w:rPr>
                <w:rFonts w:ascii="Arial" w:eastAsia="Times New Roman" w:hAnsi="Arial" w:cs="Arial"/>
                <w:b/>
                <w:bCs/>
                <w:color w:val="000000"/>
                <w:sz w:val="20"/>
                <w:szCs w:val="20"/>
                <w:lang w:eastAsia="ru-RU"/>
              </w:rPr>
              <w:t xml:space="preserve">ЗХС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jc w:val="center"/>
              <w:rPr>
                <w:rFonts w:ascii="Times New Roman" w:eastAsia="Times New Roman" w:hAnsi="Times New Roman" w:cs="Times New Roman"/>
                <w:b/>
                <w:bCs/>
                <w:sz w:val="24"/>
                <w:szCs w:val="24"/>
                <w:lang w:eastAsia="ru-RU"/>
              </w:rPr>
            </w:pPr>
            <w:r w:rsidRPr="007F5722">
              <w:rPr>
                <w:rFonts w:ascii="Arial" w:eastAsia="Times New Roman" w:hAnsi="Arial" w:cs="Arial"/>
                <w:b/>
                <w:bCs/>
                <w:color w:val="000000"/>
                <w:sz w:val="20"/>
                <w:szCs w:val="20"/>
                <w:lang w:eastAsia="ru-RU"/>
              </w:rPr>
              <w:t>ТГ</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jc w:val="center"/>
              <w:rPr>
                <w:rFonts w:ascii="Times New Roman" w:eastAsia="Times New Roman" w:hAnsi="Times New Roman" w:cs="Times New Roman"/>
                <w:b/>
                <w:bCs/>
                <w:sz w:val="24"/>
                <w:szCs w:val="24"/>
                <w:lang w:eastAsia="ru-RU"/>
              </w:rPr>
            </w:pPr>
            <w:r w:rsidRPr="007F5722">
              <w:rPr>
                <w:rFonts w:ascii="Arial" w:eastAsia="Times New Roman" w:hAnsi="Arial" w:cs="Arial"/>
                <w:b/>
                <w:bCs/>
                <w:color w:val="000000"/>
                <w:sz w:val="20"/>
                <w:szCs w:val="20"/>
                <w:lang w:eastAsia="ru-RU"/>
              </w:rPr>
              <w:t>ХС ЛПВЩ</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jc w:val="center"/>
              <w:rPr>
                <w:rFonts w:ascii="Times New Roman" w:eastAsia="Times New Roman" w:hAnsi="Times New Roman" w:cs="Times New Roman"/>
                <w:b/>
                <w:bCs/>
                <w:sz w:val="24"/>
                <w:szCs w:val="24"/>
                <w:lang w:eastAsia="ru-RU"/>
              </w:rPr>
            </w:pPr>
            <w:r w:rsidRPr="007F5722">
              <w:rPr>
                <w:rFonts w:ascii="Arial" w:eastAsia="Times New Roman" w:hAnsi="Arial" w:cs="Arial"/>
                <w:b/>
                <w:bCs/>
                <w:color w:val="000000"/>
                <w:sz w:val="20"/>
                <w:szCs w:val="20"/>
                <w:lang w:eastAsia="ru-RU"/>
              </w:rPr>
              <w:t>ХС ЛПНЩ</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2907F7" w:rsidP="00C74657">
            <w:pPr>
              <w:spacing w:after="0" w:line="240" w:lineRule="auto"/>
              <w:jc w:val="center"/>
              <w:rPr>
                <w:rFonts w:ascii="Times New Roman" w:eastAsia="Times New Roman" w:hAnsi="Times New Roman" w:cs="Times New Roman"/>
                <w:b/>
                <w:bCs/>
                <w:sz w:val="24"/>
                <w:szCs w:val="24"/>
                <w:lang w:eastAsia="ru-RU"/>
              </w:rPr>
            </w:pPr>
            <w:r w:rsidRPr="007F5722">
              <w:rPr>
                <w:rFonts w:ascii="Arial" w:eastAsia="Times New Roman" w:hAnsi="Arial" w:cs="Arial"/>
                <w:b/>
                <w:bCs/>
                <w:color w:val="000000"/>
                <w:sz w:val="20"/>
                <w:szCs w:val="20"/>
                <w:lang w:eastAsia="ru-RU"/>
              </w:rPr>
              <w:t>ХС ЛПД</w:t>
            </w:r>
            <w:r w:rsidR="00C74657" w:rsidRPr="007F5722">
              <w:rPr>
                <w:rFonts w:ascii="Arial" w:eastAsia="Times New Roman" w:hAnsi="Arial" w:cs="Arial"/>
                <w:b/>
                <w:bCs/>
                <w:color w:val="000000"/>
                <w:sz w:val="20"/>
                <w:szCs w:val="20"/>
                <w:lang w:eastAsia="ru-RU"/>
              </w:rPr>
              <w:t>НЩ</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jc w:val="center"/>
              <w:rPr>
                <w:rFonts w:ascii="Times New Roman" w:eastAsia="Times New Roman" w:hAnsi="Times New Roman" w:cs="Times New Roman"/>
                <w:b/>
                <w:bCs/>
                <w:sz w:val="24"/>
                <w:szCs w:val="24"/>
                <w:lang w:eastAsia="ru-RU"/>
              </w:rPr>
            </w:pPr>
            <w:r w:rsidRPr="007F5722">
              <w:rPr>
                <w:rFonts w:ascii="Arial" w:eastAsia="Times New Roman" w:hAnsi="Arial" w:cs="Arial"/>
                <w:b/>
                <w:bCs/>
                <w:color w:val="000000"/>
                <w:sz w:val="20"/>
                <w:szCs w:val="20"/>
                <w:lang w:eastAsia="ru-RU"/>
              </w:rPr>
              <w:t xml:space="preserve">КА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jc w:val="center"/>
              <w:rPr>
                <w:rFonts w:ascii="Times New Roman" w:eastAsia="Times New Roman" w:hAnsi="Times New Roman" w:cs="Times New Roman"/>
                <w:b/>
                <w:bCs/>
                <w:sz w:val="24"/>
                <w:szCs w:val="24"/>
                <w:lang w:eastAsia="ru-RU"/>
              </w:rPr>
            </w:pPr>
            <w:r w:rsidRPr="007F5722">
              <w:rPr>
                <w:rFonts w:ascii="Arial" w:eastAsia="Times New Roman" w:hAnsi="Arial" w:cs="Arial"/>
                <w:b/>
                <w:bCs/>
                <w:color w:val="000000"/>
                <w:sz w:val="20"/>
                <w:szCs w:val="20"/>
                <w:lang w:eastAsia="ru-RU"/>
              </w:rPr>
              <w:t>ХС не-ЛПВЩ</w:t>
            </w:r>
          </w:p>
        </w:tc>
        <w:tc>
          <w:tcPr>
            <w:tcW w:w="836" w:type="dxa"/>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jc w:val="center"/>
              <w:rPr>
                <w:rFonts w:ascii="Times New Roman" w:eastAsia="Times New Roman" w:hAnsi="Times New Roman" w:cs="Times New Roman"/>
                <w:b/>
                <w:bCs/>
                <w:sz w:val="24"/>
                <w:szCs w:val="24"/>
                <w:lang w:eastAsia="ru-RU"/>
              </w:rPr>
            </w:pPr>
            <w:r w:rsidRPr="007F5722">
              <w:rPr>
                <w:rFonts w:ascii="Arial" w:eastAsia="Times New Roman" w:hAnsi="Arial" w:cs="Arial"/>
                <w:b/>
                <w:bCs/>
                <w:color w:val="000000"/>
                <w:sz w:val="20"/>
                <w:szCs w:val="20"/>
                <w:lang w:eastAsia="ru-RU"/>
              </w:rPr>
              <w:t>АпоВ</w:t>
            </w:r>
          </w:p>
        </w:tc>
      </w:tr>
      <w:tr w:rsidR="00C74657" w:rsidRPr="007F5722" w:rsidTr="00BA0EB3">
        <w:trPr>
          <w:trHeight w:val="237"/>
          <w:tblCellSpacing w:w="15" w:type="dxa"/>
        </w:trPr>
        <w:tc>
          <w:tcPr>
            <w:tcW w:w="1660" w:type="dxa"/>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jc w:val="center"/>
              <w:rPr>
                <w:rFonts w:ascii="Times New Roman" w:eastAsia="Times New Roman" w:hAnsi="Times New Roman" w:cs="Times New Roman"/>
                <w:b/>
                <w:bCs/>
                <w:sz w:val="24"/>
                <w:szCs w:val="24"/>
                <w:lang w:eastAsia="ru-RU"/>
              </w:rPr>
            </w:pPr>
            <w:r w:rsidRPr="007F5722">
              <w:rPr>
                <w:rFonts w:ascii="Arial" w:eastAsia="Times New Roman" w:hAnsi="Arial" w:cs="Arial"/>
                <w:b/>
                <w:bCs/>
                <w:color w:val="000000"/>
                <w:sz w:val="20"/>
                <w:szCs w:val="20"/>
                <w:lang w:eastAsia="ru-RU"/>
              </w:rPr>
              <w:t>ЧСС</w:t>
            </w:r>
          </w:p>
        </w:tc>
        <w:tc>
          <w:tcPr>
            <w:tcW w:w="1279" w:type="dxa"/>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,0448</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-,3297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-,3936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,1329</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-,3297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,2823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,0882</w:t>
            </w:r>
          </w:p>
        </w:tc>
        <w:tc>
          <w:tcPr>
            <w:tcW w:w="836" w:type="dxa"/>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,2724</w:t>
            </w:r>
          </w:p>
        </w:tc>
      </w:tr>
      <w:tr w:rsidR="00C74657" w:rsidRPr="007F5722" w:rsidTr="00BA0EB3">
        <w:trPr>
          <w:trHeight w:val="287"/>
          <w:tblCellSpacing w:w="15" w:type="dxa"/>
        </w:trPr>
        <w:tc>
          <w:tcPr>
            <w:tcW w:w="1660" w:type="dxa"/>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jc w:val="center"/>
              <w:rPr>
                <w:rFonts w:ascii="Times New Roman" w:eastAsia="Times New Roman" w:hAnsi="Times New Roman" w:cs="Times New Roman"/>
                <w:b/>
                <w:bCs/>
                <w:sz w:val="24"/>
                <w:szCs w:val="24"/>
                <w:lang w:eastAsia="ru-RU"/>
              </w:rPr>
            </w:pPr>
          </w:p>
        </w:tc>
        <w:tc>
          <w:tcPr>
            <w:tcW w:w="1279" w:type="dxa"/>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p=,909</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p=,386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p=,295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p=,733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p=,386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p=,462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p=,821</w:t>
            </w:r>
          </w:p>
        </w:tc>
        <w:tc>
          <w:tcPr>
            <w:tcW w:w="836" w:type="dxa"/>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p=,478</w:t>
            </w:r>
          </w:p>
        </w:tc>
      </w:tr>
      <w:tr w:rsidR="00BA0EB3" w:rsidRPr="007F5722" w:rsidTr="00BA0EB3">
        <w:trPr>
          <w:trHeight w:val="287"/>
          <w:tblCellSpacing w:w="15" w:type="dxa"/>
        </w:trPr>
        <w:tc>
          <w:tcPr>
            <w:tcW w:w="1660"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jc w:val="center"/>
              <w:rPr>
                <w:rFonts w:ascii="Times New Roman" w:eastAsia="Times New Roman" w:hAnsi="Times New Roman" w:cs="Times New Roman"/>
                <w:b/>
                <w:bCs/>
                <w:sz w:val="24"/>
                <w:szCs w:val="24"/>
                <w:lang w:eastAsia="ru-RU"/>
              </w:rPr>
            </w:pPr>
            <w:r w:rsidRPr="007F5722">
              <w:rPr>
                <w:rFonts w:ascii="Arial" w:eastAsia="Times New Roman" w:hAnsi="Arial" w:cs="Arial"/>
                <w:b/>
                <w:bCs/>
                <w:color w:val="000000"/>
                <w:sz w:val="20"/>
                <w:szCs w:val="20"/>
                <w:lang w:eastAsia="ru-RU"/>
              </w:rPr>
              <w:t>САТ</w:t>
            </w:r>
          </w:p>
        </w:tc>
        <w:tc>
          <w:tcPr>
            <w:tcW w:w="1279"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,3947</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,4406</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-,5871</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,4468</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,4406</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,7045</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,4566</w:t>
            </w:r>
          </w:p>
        </w:tc>
        <w:tc>
          <w:tcPr>
            <w:tcW w:w="836"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,6917</w:t>
            </w:r>
          </w:p>
        </w:tc>
      </w:tr>
      <w:tr w:rsidR="00BA0EB3" w:rsidRPr="007F5722" w:rsidTr="00BA0EB3">
        <w:trPr>
          <w:trHeight w:val="287"/>
          <w:tblCellSpacing w:w="15" w:type="dxa"/>
        </w:trPr>
        <w:tc>
          <w:tcPr>
            <w:tcW w:w="1660"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jc w:val="center"/>
              <w:rPr>
                <w:rFonts w:ascii="Times New Roman" w:eastAsia="Times New Roman" w:hAnsi="Times New Roman" w:cs="Times New Roman"/>
                <w:b/>
                <w:bCs/>
                <w:sz w:val="24"/>
                <w:szCs w:val="24"/>
                <w:lang w:eastAsia="ru-RU"/>
              </w:rPr>
            </w:pPr>
          </w:p>
        </w:tc>
        <w:tc>
          <w:tcPr>
            <w:tcW w:w="1279"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p=,293</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p=,235</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p=,096</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p=,228</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p=,235</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p=,034</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p=,217</w:t>
            </w:r>
          </w:p>
        </w:tc>
        <w:tc>
          <w:tcPr>
            <w:tcW w:w="836"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p=,039</w:t>
            </w:r>
          </w:p>
        </w:tc>
      </w:tr>
      <w:tr w:rsidR="00BA0EB3" w:rsidRPr="007F5722" w:rsidTr="00BA0EB3">
        <w:trPr>
          <w:trHeight w:val="287"/>
          <w:tblCellSpacing w:w="15" w:type="dxa"/>
        </w:trPr>
        <w:tc>
          <w:tcPr>
            <w:tcW w:w="1660"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jc w:val="center"/>
              <w:rPr>
                <w:rFonts w:ascii="Times New Roman" w:eastAsia="Times New Roman" w:hAnsi="Times New Roman" w:cs="Times New Roman"/>
                <w:b/>
                <w:bCs/>
                <w:sz w:val="24"/>
                <w:szCs w:val="24"/>
                <w:lang w:eastAsia="ru-RU"/>
              </w:rPr>
            </w:pPr>
            <w:r w:rsidRPr="007F5722">
              <w:rPr>
                <w:rFonts w:ascii="Arial" w:eastAsia="Times New Roman" w:hAnsi="Arial" w:cs="Arial"/>
                <w:b/>
                <w:bCs/>
                <w:color w:val="000000"/>
                <w:sz w:val="20"/>
                <w:szCs w:val="20"/>
                <w:lang w:eastAsia="ru-RU"/>
              </w:rPr>
              <w:t>ДАТ</w:t>
            </w:r>
          </w:p>
        </w:tc>
        <w:tc>
          <w:tcPr>
            <w:tcW w:w="1279"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,3408</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,3676</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-,3623</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,3698</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,3676</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,5166</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,3782</w:t>
            </w:r>
          </w:p>
        </w:tc>
        <w:tc>
          <w:tcPr>
            <w:tcW w:w="836"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,5131</w:t>
            </w:r>
          </w:p>
        </w:tc>
      </w:tr>
      <w:tr w:rsidR="00BA0EB3" w:rsidRPr="007F5722" w:rsidTr="00BA0EB3">
        <w:trPr>
          <w:trHeight w:val="287"/>
          <w:tblCellSpacing w:w="15" w:type="dxa"/>
        </w:trPr>
        <w:tc>
          <w:tcPr>
            <w:tcW w:w="1660"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jc w:val="center"/>
              <w:rPr>
                <w:rFonts w:ascii="Times New Roman" w:eastAsia="Times New Roman" w:hAnsi="Times New Roman" w:cs="Times New Roman"/>
                <w:b/>
                <w:bCs/>
                <w:sz w:val="24"/>
                <w:szCs w:val="24"/>
                <w:lang w:eastAsia="ru-RU"/>
              </w:rPr>
            </w:pPr>
          </w:p>
        </w:tc>
        <w:tc>
          <w:tcPr>
            <w:tcW w:w="1279"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p=,369</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p=,330</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p=,338</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p=,327</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p=,330</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p=,154</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p=,316</w:t>
            </w:r>
          </w:p>
        </w:tc>
        <w:tc>
          <w:tcPr>
            <w:tcW w:w="836"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p=,158</w:t>
            </w:r>
          </w:p>
        </w:tc>
      </w:tr>
      <w:tr w:rsidR="00BA0EB3" w:rsidRPr="007F5722" w:rsidTr="00BA0EB3">
        <w:trPr>
          <w:trHeight w:val="287"/>
          <w:tblCellSpacing w:w="15" w:type="dxa"/>
        </w:trPr>
        <w:tc>
          <w:tcPr>
            <w:tcW w:w="1660"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jc w:val="center"/>
              <w:rPr>
                <w:rFonts w:ascii="Times New Roman" w:eastAsia="Times New Roman" w:hAnsi="Times New Roman" w:cs="Times New Roman"/>
                <w:b/>
                <w:bCs/>
                <w:sz w:val="24"/>
                <w:szCs w:val="24"/>
                <w:lang w:eastAsia="ru-RU"/>
              </w:rPr>
            </w:pPr>
            <w:r w:rsidRPr="007F5722">
              <w:rPr>
                <w:rFonts w:ascii="Arial" w:eastAsia="Times New Roman" w:hAnsi="Arial" w:cs="Arial"/>
                <w:b/>
                <w:bCs/>
                <w:color w:val="000000"/>
                <w:sz w:val="20"/>
                <w:szCs w:val="20"/>
                <w:lang w:eastAsia="ru-RU"/>
              </w:rPr>
              <w:t>ПАТ</w:t>
            </w:r>
          </w:p>
        </w:tc>
        <w:tc>
          <w:tcPr>
            <w:tcW w:w="1279"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,3096</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,3577</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-,5970</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,3656</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,3577</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,6390</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,3733</w:t>
            </w:r>
          </w:p>
        </w:tc>
        <w:tc>
          <w:tcPr>
            <w:tcW w:w="836"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,6220</w:t>
            </w:r>
          </w:p>
        </w:tc>
      </w:tr>
      <w:tr w:rsidR="00BA0EB3" w:rsidRPr="007F5722" w:rsidTr="00BA0EB3">
        <w:trPr>
          <w:trHeight w:val="287"/>
          <w:tblCellSpacing w:w="15" w:type="dxa"/>
        </w:trPr>
        <w:tc>
          <w:tcPr>
            <w:tcW w:w="1660"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jc w:val="center"/>
              <w:rPr>
                <w:rFonts w:ascii="Times New Roman" w:eastAsia="Times New Roman" w:hAnsi="Times New Roman" w:cs="Times New Roman"/>
                <w:b/>
                <w:bCs/>
                <w:sz w:val="24"/>
                <w:szCs w:val="24"/>
                <w:lang w:eastAsia="ru-RU"/>
              </w:rPr>
            </w:pPr>
          </w:p>
        </w:tc>
        <w:tc>
          <w:tcPr>
            <w:tcW w:w="1279"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p=,418</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p=,345</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p=,090</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p=,333</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p=,345</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p=,064</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p=,322</w:t>
            </w:r>
          </w:p>
        </w:tc>
        <w:tc>
          <w:tcPr>
            <w:tcW w:w="836"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p=,074</w:t>
            </w:r>
          </w:p>
        </w:tc>
      </w:tr>
      <w:tr w:rsidR="00BA0EB3" w:rsidRPr="007F5722" w:rsidTr="00BA0EB3">
        <w:trPr>
          <w:trHeight w:val="287"/>
          <w:tblCellSpacing w:w="15" w:type="dxa"/>
        </w:trPr>
        <w:tc>
          <w:tcPr>
            <w:tcW w:w="1660"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jc w:val="center"/>
              <w:rPr>
                <w:rFonts w:ascii="Times New Roman" w:eastAsia="Times New Roman" w:hAnsi="Times New Roman" w:cs="Times New Roman"/>
                <w:b/>
                <w:bCs/>
                <w:sz w:val="24"/>
                <w:szCs w:val="24"/>
                <w:lang w:eastAsia="ru-RU"/>
              </w:rPr>
            </w:pPr>
            <w:r w:rsidRPr="007F5722">
              <w:rPr>
                <w:rFonts w:ascii="Arial" w:eastAsia="Times New Roman" w:hAnsi="Arial" w:cs="Arial"/>
                <w:b/>
                <w:bCs/>
                <w:color w:val="000000"/>
                <w:sz w:val="20"/>
                <w:szCs w:val="20"/>
                <w:lang w:eastAsia="ru-RU"/>
              </w:rPr>
              <w:t>Тривалість АГ</w:t>
            </w:r>
          </w:p>
        </w:tc>
        <w:tc>
          <w:tcPr>
            <w:tcW w:w="1279"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-,3618</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-,3802</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,1041</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-,3597</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-,3802</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-,2997</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-,3703</w:t>
            </w:r>
          </w:p>
        </w:tc>
        <w:tc>
          <w:tcPr>
            <w:tcW w:w="836"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-,5749</w:t>
            </w:r>
          </w:p>
        </w:tc>
      </w:tr>
      <w:tr w:rsidR="00BA0EB3" w:rsidRPr="007F5722" w:rsidTr="00BA0EB3">
        <w:trPr>
          <w:trHeight w:val="287"/>
          <w:tblCellSpacing w:w="15" w:type="dxa"/>
        </w:trPr>
        <w:tc>
          <w:tcPr>
            <w:tcW w:w="1660"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jc w:val="center"/>
              <w:rPr>
                <w:rFonts w:ascii="Times New Roman" w:eastAsia="Times New Roman" w:hAnsi="Times New Roman" w:cs="Times New Roman"/>
                <w:b/>
                <w:bCs/>
                <w:sz w:val="24"/>
                <w:szCs w:val="24"/>
                <w:lang w:eastAsia="ru-RU"/>
              </w:rPr>
            </w:pPr>
          </w:p>
        </w:tc>
        <w:tc>
          <w:tcPr>
            <w:tcW w:w="1279"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p=,339</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p=,313</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p=,790</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p=,342</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p=,313</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p=,433</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p=,327</w:t>
            </w:r>
          </w:p>
        </w:tc>
        <w:tc>
          <w:tcPr>
            <w:tcW w:w="836"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p=,105</w:t>
            </w:r>
          </w:p>
        </w:tc>
      </w:tr>
      <w:tr w:rsidR="00BA0EB3" w:rsidRPr="007F5722" w:rsidTr="00BA0EB3">
        <w:trPr>
          <w:trHeight w:val="287"/>
          <w:tblCellSpacing w:w="15" w:type="dxa"/>
        </w:trPr>
        <w:tc>
          <w:tcPr>
            <w:tcW w:w="1660"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jc w:val="center"/>
              <w:rPr>
                <w:rFonts w:ascii="Times New Roman" w:eastAsia="Times New Roman" w:hAnsi="Times New Roman" w:cs="Times New Roman"/>
                <w:b/>
                <w:bCs/>
                <w:sz w:val="24"/>
                <w:szCs w:val="24"/>
                <w:lang w:eastAsia="ru-RU"/>
              </w:rPr>
            </w:pPr>
            <w:r w:rsidRPr="007F5722">
              <w:rPr>
                <w:rFonts w:ascii="Arial" w:eastAsia="Times New Roman" w:hAnsi="Arial" w:cs="Arial"/>
                <w:b/>
                <w:bCs/>
                <w:color w:val="000000"/>
                <w:sz w:val="20"/>
                <w:szCs w:val="20"/>
                <w:lang w:eastAsia="ru-RU"/>
              </w:rPr>
              <w:t>Маса тіла</w:t>
            </w:r>
          </w:p>
        </w:tc>
        <w:tc>
          <w:tcPr>
            <w:tcW w:w="1279"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,8472</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,6042</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-,2108</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,8705</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,6042</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,7140</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,8634</w:t>
            </w:r>
          </w:p>
        </w:tc>
        <w:tc>
          <w:tcPr>
            <w:tcW w:w="836"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,7991</w:t>
            </w:r>
          </w:p>
        </w:tc>
      </w:tr>
      <w:tr w:rsidR="00BA0EB3" w:rsidRPr="007F5722" w:rsidTr="00BA0EB3">
        <w:trPr>
          <w:trHeight w:val="287"/>
          <w:tblCellSpacing w:w="15" w:type="dxa"/>
        </w:trPr>
        <w:tc>
          <w:tcPr>
            <w:tcW w:w="1660"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jc w:val="center"/>
              <w:rPr>
                <w:rFonts w:ascii="Times New Roman" w:eastAsia="Times New Roman" w:hAnsi="Times New Roman" w:cs="Times New Roman"/>
                <w:b/>
                <w:bCs/>
                <w:sz w:val="24"/>
                <w:szCs w:val="24"/>
                <w:lang w:eastAsia="ru-RU"/>
              </w:rPr>
            </w:pPr>
          </w:p>
        </w:tc>
        <w:tc>
          <w:tcPr>
            <w:tcW w:w="1279"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p=,004</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p=,085</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p=,586</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p=,002</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p=,085</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p=,031</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p=,003</w:t>
            </w:r>
          </w:p>
        </w:tc>
        <w:tc>
          <w:tcPr>
            <w:tcW w:w="836"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p=,010</w:t>
            </w:r>
          </w:p>
        </w:tc>
      </w:tr>
      <w:tr w:rsidR="00BA0EB3" w:rsidRPr="007F5722" w:rsidTr="00BA0EB3">
        <w:trPr>
          <w:trHeight w:val="287"/>
          <w:tblCellSpacing w:w="15" w:type="dxa"/>
        </w:trPr>
        <w:tc>
          <w:tcPr>
            <w:tcW w:w="1660"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jc w:val="center"/>
              <w:rPr>
                <w:rFonts w:ascii="Times New Roman" w:eastAsia="Times New Roman" w:hAnsi="Times New Roman" w:cs="Times New Roman"/>
                <w:b/>
                <w:bCs/>
                <w:sz w:val="24"/>
                <w:szCs w:val="24"/>
                <w:lang w:eastAsia="ru-RU"/>
              </w:rPr>
            </w:pPr>
            <w:r w:rsidRPr="007F5722">
              <w:rPr>
                <w:rFonts w:ascii="Arial" w:eastAsia="Times New Roman" w:hAnsi="Arial" w:cs="Arial"/>
                <w:b/>
                <w:bCs/>
                <w:color w:val="000000"/>
                <w:sz w:val="20"/>
                <w:szCs w:val="20"/>
                <w:lang w:eastAsia="ru-RU"/>
              </w:rPr>
              <w:t>ІМТ</w:t>
            </w:r>
          </w:p>
        </w:tc>
        <w:tc>
          <w:tcPr>
            <w:tcW w:w="1279"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,9428</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,7113</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-,1947</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,9596</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,7113</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,7572</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,9564</w:t>
            </w:r>
          </w:p>
        </w:tc>
        <w:tc>
          <w:tcPr>
            <w:tcW w:w="836"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,8192</w:t>
            </w:r>
          </w:p>
        </w:tc>
      </w:tr>
      <w:tr w:rsidR="00BA0EB3" w:rsidRPr="007F5722" w:rsidTr="00BA0EB3">
        <w:trPr>
          <w:trHeight w:val="287"/>
          <w:tblCellSpacing w:w="15" w:type="dxa"/>
        </w:trPr>
        <w:tc>
          <w:tcPr>
            <w:tcW w:w="1660"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jc w:val="center"/>
              <w:rPr>
                <w:rFonts w:ascii="Times New Roman" w:eastAsia="Times New Roman" w:hAnsi="Times New Roman" w:cs="Times New Roman"/>
                <w:b/>
                <w:bCs/>
                <w:sz w:val="24"/>
                <w:szCs w:val="24"/>
                <w:lang w:eastAsia="ru-RU"/>
              </w:rPr>
            </w:pPr>
          </w:p>
        </w:tc>
        <w:tc>
          <w:tcPr>
            <w:tcW w:w="1279"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p=,000</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p=,032</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p=,616</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p=,000</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p=,032</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p=,018</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p=,000</w:t>
            </w:r>
          </w:p>
        </w:tc>
        <w:tc>
          <w:tcPr>
            <w:tcW w:w="836"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p=,007</w:t>
            </w:r>
          </w:p>
        </w:tc>
      </w:tr>
      <w:tr w:rsidR="00BA0EB3" w:rsidRPr="007F5722" w:rsidTr="00BA0EB3">
        <w:trPr>
          <w:trHeight w:val="287"/>
          <w:tblCellSpacing w:w="15" w:type="dxa"/>
        </w:trPr>
        <w:tc>
          <w:tcPr>
            <w:tcW w:w="1660"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jc w:val="center"/>
              <w:rPr>
                <w:rFonts w:ascii="Times New Roman" w:eastAsia="Times New Roman" w:hAnsi="Times New Roman" w:cs="Times New Roman"/>
                <w:b/>
                <w:bCs/>
                <w:sz w:val="24"/>
                <w:szCs w:val="24"/>
                <w:lang w:eastAsia="ru-RU"/>
              </w:rPr>
            </w:pPr>
            <w:r w:rsidRPr="007F5722">
              <w:rPr>
                <w:rFonts w:ascii="Arial" w:eastAsia="Times New Roman" w:hAnsi="Arial" w:cs="Arial"/>
                <w:b/>
                <w:bCs/>
                <w:color w:val="000000"/>
                <w:sz w:val="20"/>
                <w:szCs w:val="20"/>
                <w:lang w:eastAsia="ru-RU"/>
              </w:rPr>
              <w:t>ОТ</w:t>
            </w:r>
          </w:p>
        </w:tc>
        <w:tc>
          <w:tcPr>
            <w:tcW w:w="1279"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,8814</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,7314</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-,1978</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,8915</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,7314</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,7268</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,8959</w:t>
            </w:r>
          </w:p>
        </w:tc>
        <w:tc>
          <w:tcPr>
            <w:tcW w:w="836"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,8490</w:t>
            </w:r>
          </w:p>
        </w:tc>
      </w:tr>
      <w:tr w:rsidR="00BA0EB3" w:rsidRPr="007F5722" w:rsidTr="00BA0EB3">
        <w:trPr>
          <w:trHeight w:val="287"/>
          <w:tblCellSpacing w:w="15" w:type="dxa"/>
        </w:trPr>
        <w:tc>
          <w:tcPr>
            <w:tcW w:w="1660"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jc w:val="center"/>
              <w:rPr>
                <w:rFonts w:ascii="Times New Roman" w:eastAsia="Times New Roman" w:hAnsi="Times New Roman" w:cs="Times New Roman"/>
                <w:b/>
                <w:bCs/>
                <w:sz w:val="24"/>
                <w:szCs w:val="24"/>
                <w:lang w:eastAsia="ru-RU"/>
              </w:rPr>
            </w:pPr>
          </w:p>
        </w:tc>
        <w:tc>
          <w:tcPr>
            <w:tcW w:w="1279"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p=,002</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p=,025</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p=,610</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p=,001</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p=,025</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p=,027</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p=,001</w:t>
            </w:r>
          </w:p>
        </w:tc>
        <w:tc>
          <w:tcPr>
            <w:tcW w:w="836"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p=,004</w:t>
            </w:r>
          </w:p>
        </w:tc>
      </w:tr>
    </w:tbl>
    <w:p w:rsidR="00C62EFF" w:rsidRDefault="00C62EFF">
      <w:pPr>
        <w:rPr>
          <w:rFonts w:ascii="Times New Roman" w:hAnsi="Times New Roman" w:cs="Times New Roman"/>
          <w:sz w:val="28"/>
          <w:szCs w:val="28"/>
        </w:rPr>
      </w:pPr>
    </w:p>
    <w:p w:rsidR="00BA0EB3" w:rsidRPr="00BA0EB3" w:rsidRDefault="00BA0EB3">
      <w:pPr>
        <w:rPr>
          <w:rFonts w:ascii="Times New Roman" w:hAnsi="Times New Roman" w:cs="Times New Roman"/>
          <w:sz w:val="28"/>
          <w:szCs w:val="28"/>
        </w:rPr>
      </w:pPr>
      <w:r w:rsidRPr="00BA0EB3">
        <w:rPr>
          <w:rFonts w:ascii="Times New Roman" w:hAnsi="Times New Roman" w:cs="Times New Roman"/>
          <w:sz w:val="28"/>
          <w:szCs w:val="28"/>
        </w:rPr>
        <w:lastRenderedPageBreak/>
        <w:t>Продовження таблиці 3.2.3</w:t>
      </w:r>
    </w:p>
    <w:tbl>
      <w:tblPr>
        <w:tblW w:w="9988" w:type="dxa"/>
        <w:tblCellSpacing w:w="15" w:type="dxa"/>
        <w:tblInd w:w="-75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35"/>
        <w:gridCol w:w="1339"/>
        <w:gridCol w:w="719"/>
        <w:gridCol w:w="1056"/>
        <w:gridCol w:w="1056"/>
        <w:gridCol w:w="1199"/>
        <w:gridCol w:w="708"/>
        <w:gridCol w:w="1355"/>
        <w:gridCol w:w="911"/>
      </w:tblGrid>
      <w:tr w:rsidR="00BA0EB3" w:rsidRPr="007F5722" w:rsidTr="00BA0EB3">
        <w:trPr>
          <w:trHeight w:val="287"/>
          <w:tblCellSpacing w:w="15" w:type="dxa"/>
        </w:trPr>
        <w:tc>
          <w:tcPr>
            <w:tcW w:w="1660"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jc w:val="center"/>
              <w:rPr>
                <w:rFonts w:ascii="Times New Roman" w:eastAsia="Times New Roman" w:hAnsi="Times New Roman" w:cs="Times New Roman"/>
                <w:b/>
                <w:bCs/>
                <w:sz w:val="24"/>
                <w:szCs w:val="24"/>
                <w:lang w:eastAsia="ru-RU"/>
              </w:rPr>
            </w:pPr>
          </w:p>
        </w:tc>
        <w:tc>
          <w:tcPr>
            <w:tcW w:w="1279"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jc w:val="center"/>
              <w:rPr>
                <w:rFonts w:ascii="Times New Roman" w:eastAsia="Times New Roman" w:hAnsi="Times New Roman" w:cs="Times New Roman"/>
                <w:b/>
                <w:bCs/>
                <w:sz w:val="24"/>
                <w:szCs w:val="24"/>
                <w:lang w:eastAsia="ru-RU"/>
              </w:rPr>
            </w:pPr>
            <w:r w:rsidRPr="007F5722">
              <w:rPr>
                <w:rFonts w:ascii="Arial" w:eastAsia="Times New Roman" w:hAnsi="Arial" w:cs="Arial"/>
                <w:b/>
                <w:bCs/>
                <w:color w:val="000000"/>
                <w:sz w:val="20"/>
                <w:szCs w:val="20"/>
                <w:lang w:eastAsia="ru-RU"/>
              </w:rPr>
              <w:t xml:space="preserve">ЗХС </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jc w:val="center"/>
              <w:rPr>
                <w:rFonts w:ascii="Times New Roman" w:eastAsia="Times New Roman" w:hAnsi="Times New Roman" w:cs="Times New Roman"/>
                <w:b/>
                <w:bCs/>
                <w:sz w:val="24"/>
                <w:szCs w:val="24"/>
                <w:lang w:eastAsia="ru-RU"/>
              </w:rPr>
            </w:pPr>
            <w:r w:rsidRPr="007F5722">
              <w:rPr>
                <w:rFonts w:ascii="Arial" w:eastAsia="Times New Roman" w:hAnsi="Arial" w:cs="Arial"/>
                <w:b/>
                <w:bCs/>
                <w:color w:val="000000"/>
                <w:sz w:val="20"/>
                <w:szCs w:val="20"/>
                <w:lang w:eastAsia="ru-RU"/>
              </w:rPr>
              <w:t>ТГ</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jc w:val="center"/>
              <w:rPr>
                <w:rFonts w:ascii="Times New Roman" w:eastAsia="Times New Roman" w:hAnsi="Times New Roman" w:cs="Times New Roman"/>
                <w:b/>
                <w:bCs/>
                <w:sz w:val="24"/>
                <w:szCs w:val="24"/>
                <w:lang w:eastAsia="ru-RU"/>
              </w:rPr>
            </w:pPr>
            <w:r w:rsidRPr="007F5722">
              <w:rPr>
                <w:rFonts w:ascii="Arial" w:eastAsia="Times New Roman" w:hAnsi="Arial" w:cs="Arial"/>
                <w:b/>
                <w:bCs/>
                <w:color w:val="000000"/>
                <w:sz w:val="20"/>
                <w:szCs w:val="20"/>
                <w:lang w:eastAsia="ru-RU"/>
              </w:rPr>
              <w:t>ХС ЛПВЩ</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jc w:val="center"/>
              <w:rPr>
                <w:rFonts w:ascii="Times New Roman" w:eastAsia="Times New Roman" w:hAnsi="Times New Roman" w:cs="Times New Roman"/>
                <w:b/>
                <w:bCs/>
                <w:sz w:val="24"/>
                <w:szCs w:val="24"/>
                <w:lang w:eastAsia="ru-RU"/>
              </w:rPr>
            </w:pPr>
            <w:r w:rsidRPr="007F5722">
              <w:rPr>
                <w:rFonts w:ascii="Arial" w:eastAsia="Times New Roman" w:hAnsi="Arial" w:cs="Arial"/>
                <w:b/>
                <w:bCs/>
                <w:color w:val="000000"/>
                <w:sz w:val="20"/>
                <w:szCs w:val="20"/>
                <w:lang w:eastAsia="ru-RU"/>
              </w:rPr>
              <w:t>ХС ЛПНЩ</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jc w:val="center"/>
              <w:rPr>
                <w:rFonts w:ascii="Times New Roman" w:eastAsia="Times New Roman" w:hAnsi="Times New Roman" w:cs="Times New Roman"/>
                <w:b/>
                <w:bCs/>
                <w:sz w:val="24"/>
                <w:szCs w:val="24"/>
                <w:lang w:eastAsia="ru-RU"/>
              </w:rPr>
            </w:pPr>
            <w:r w:rsidRPr="007F5722">
              <w:rPr>
                <w:rFonts w:ascii="Arial" w:eastAsia="Times New Roman" w:hAnsi="Arial" w:cs="Arial"/>
                <w:b/>
                <w:bCs/>
                <w:color w:val="000000"/>
                <w:sz w:val="20"/>
                <w:szCs w:val="20"/>
                <w:lang w:eastAsia="ru-RU"/>
              </w:rPr>
              <w:t>ХС ЛПДНЩ</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jc w:val="center"/>
              <w:rPr>
                <w:rFonts w:ascii="Times New Roman" w:eastAsia="Times New Roman" w:hAnsi="Times New Roman" w:cs="Times New Roman"/>
                <w:b/>
                <w:bCs/>
                <w:sz w:val="24"/>
                <w:szCs w:val="24"/>
                <w:lang w:eastAsia="ru-RU"/>
              </w:rPr>
            </w:pPr>
            <w:r w:rsidRPr="007F5722">
              <w:rPr>
                <w:rFonts w:ascii="Arial" w:eastAsia="Times New Roman" w:hAnsi="Arial" w:cs="Arial"/>
                <w:b/>
                <w:bCs/>
                <w:color w:val="000000"/>
                <w:sz w:val="20"/>
                <w:szCs w:val="20"/>
                <w:lang w:eastAsia="ru-RU"/>
              </w:rPr>
              <w:t xml:space="preserve">КА </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jc w:val="center"/>
              <w:rPr>
                <w:rFonts w:ascii="Times New Roman" w:eastAsia="Times New Roman" w:hAnsi="Times New Roman" w:cs="Times New Roman"/>
                <w:b/>
                <w:bCs/>
                <w:sz w:val="24"/>
                <w:szCs w:val="24"/>
                <w:lang w:eastAsia="ru-RU"/>
              </w:rPr>
            </w:pPr>
            <w:r w:rsidRPr="007F5722">
              <w:rPr>
                <w:rFonts w:ascii="Arial" w:eastAsia="Times New Roman" w:hAnsi="Arial" w:cs="Arial"/>
                <w:b/>
                <w:bCs/>
                <w:color w:val="000000"/>
                <w:sz w:val="20"/>
                <w:szCs w:val="20"/>
                <w:lang w:eastAsia="ru-RU"/>
              </w:rPr>
              <w:t>ХС не-ЛПВЩ</w:t>
            </w:r>
          </w:p>
        </w:tc>
        <w:tc>
          <w:tcPr>
            <w:tcW w:w="836"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jc w:val="center"/>
              <w:rPr>
                <w:rFonts w:ascii="Times New Roman" w:eastAsia="Times New Roman" w:hAnsi="Times New Roman" w:cs="Times New Roman"/>
                <w:b/>
                <w:bCs/>
                <w:sz w:val="24"/>
                <w:szCs w:val="24"/>
                <w:lang w:eastAsia="ru-RU"/>
              </w:rPr>
            </w:pPr>
            <w:r w:rsidRPr="007F5722">
              <w:rPr>
                <w:rFonts w:ascii="Arial" w:eastAsia="Times New Roman" w:hAnsi="Arial" w:cs="Arial"/>
                <w:b/>
                <w:bCs/>
                <w:color w:val="000000"/>
                <w:sz w:val="20"/>
                <w:szCs w:val="20"/>
                <w:lang w:eastAsia="ru-RU"/>
              </w:rPr>
              <w:t>АпоВ</w:t>
            </w:r>
          </w:p>
        </w:tc>
      </w:tr>
      <w:tr w:rsidR="00BA0EB3" w:rsidRPr="007F5722" w:rsidTr="00BA0EB3">
        <w:trPr>
          <w:trHeight w:val="287"/>
          <w:tblCellSpacing w:w="15" w:type="dxa"/>
        </w:trPr>
        <w:tc>
          <w:tcPr>
            <w:tcW w:w="1660"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jc w:val="center"/>
              <w:rPr>
                <w:rFonts w:ascii="Times New Roman" w:eastAsia="Times New Roman" w:hAnsi="Times New Roman" w:cs="Times New Roman"/>
                <w:b/>
                <w:bCs/>
                <w:sz w:val="24"/>
                <w:szCs w:val="24"/>
                <w:lang w:eastAsia="ru-RU"/>
              </w:rPr>
            </w:pPr>
            <w:r w:rsidRPr="007F5722">
              <w:rPr>
                <w:rFonts w:ascii="Arial" w:eastAsia="Times New Roman" w:hAnsi="Arial" w:cs="Arial"/>
                <w:b/>
                <w:bCs/>
                <w:color w:val="000000"/>
                <w:sz w:val="20"/>
                <w:szCs w:val="20"/>
                <w:lang w:eastAsia="ru-RU"/>
              </w:rPr>
              <w:t>О</w:t>
            </w:r>
            <w:r w:rsidRPr="007F5722">
              <w:rPr>
                <w:rFonts w:ascii="Arial" w:eastAsia="Times New Roman" w:hAnsi="Arial" w:cs="Arial"/>
                <w:b/>
                <w:bCs/>
                <w:color w:val="000000"/>
                <w:sz w:val="20"/>
                <w:szCs w:val="20"/>
                <w:lang w:val="ru-RU" w:eastAsia="ru-RU"/>
              </w:rPr>
              <w:t>С</w:t>
            </w:r>
          </w:p>
        </w:tc>
        <w:tc>
          <w:tcPr>
            <w:tcW w:w="1279"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,3583</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,1894</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-,1772</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,3862</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,1894</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,2770</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,3749</w:t>
            </w:r>
          </w:p>
        </w:tc>
        <w:tc>
          <w:tcPr>
            <w:tcW w:w="836"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,4730</w:t>
            </w:r>
          </w:p>
        </w:tc>
      </w:tr>
      <w:tr w:rsidR="00BA0EB3" w:rsidRPr="007F5722" w:rsidTr="00BA0EB3">
        <w:trPr>
          <w:trHeight w:val="287"/>
          <w:tblCellSpacing w:w="15" w:type="dxa"/>
        </w:trPr>
        <w:tc>
          <w:tcPr>
            <w:tcW w:w="1660"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jc w:val="center"/>
              <w:rPr>
                <w:rFonts w:ascii="Times New Roman" w:eastAsia="Times New Roman" w:hAnsi="Times New Roman" w:cs="Times New Roman"/>
                <w:b/>
                <w:bCs/>
                <w:sz w:val="24"/>
                <w:szCs w:val="24"/>
                <w:lang w:eastAsia="ru-RU"/>
              </w:rPr>
            </w:pPr>
          </w:p>
        </w:tc>
        <w:tc>
          <w:tcPr>
            <w:tcW w:w="1279"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p=,344</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p=,625</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p=,648</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p=,305</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p=,625</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p=,471</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p=,320</w:t>
            </w:r>
          </w:p>
        </w:tc>
        <w:tc>
          <w:tcPr>
            <w:tcW w:w="836"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p=,198</w:t>
            </w:r>
          </w:p>
        </w:tc>
      </w:tr>
      <w:tr w:rsidR="00BA0EB3" w:rsidRPr="007F5722" w:rsidTr="00BA0EB3">
        <w:trPr>
          <w:trHeight w:val="287"/>
          <w:tblCellSpacing w:w="15" w:type="dxa"/>
        </w:trPr>
        <w:tc>
          <w:tcPr>
            <w:tcW w:w="1660"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jc w:val="center"/>
              <w:rPr>
                <w:rFonts w:ascii="Times New Roman" w:eastAsia="Times New Roman" w:hAnsi="Times New Roman" w:cs="Times New Roman"/>
                <w:b/>
                <w:bCs/>
                <w:sz w:val="24"/>
                <w:szCs w:val="24"/>
                <w:lang w:eastAsia="ru-RU"/>
              </w:rPr>
            </w:pPr>
            <w:r w:rsidRPr="007F5722">
              <w:rPr>
                <w:rFonts w:ascii="Arial" w:eastAsia="Times New Roman" w:hAnsi="Arial" w:cs="Arial"/>
                <w:b/>
                <w:bCs/>
                <w:color w:val="000000"/>
                <w:sz w:val="20"/>
                <w:szCs w:val="20"/>
                <w:lang w:eastAsia="ru-RU"/>
              </w:rPr>
              <w:t>ОТ/ОС</w:t>
            </w:r>
          </w:p>
        </w:tc>
        <w:tc>
          <w:tcPr>
            <w:tcW w:w="1279"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,7857</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,6981</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-,1515</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,7865</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,6981</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,6619</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,7958</w:t>
            </w:r>
          </w:p>
        </w:tc>
        <w:tc>
          <w:tcPr>
            <w:tcW w:w="836"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,7221</w:t>
            </w:r>
          </w:p>
        </w:tc>
      </w:tr>
      <w:tr w:rsidR="00BA0EB3" w:rsidRPr="007F5722" w:rsidTr="00BA0EB3">
        <w:trPr>
          <w:trHeight w:val="287"/>
          <w:tblCellSpacing w:w="15" w:type="dxa"/>
        </w:trPr>
        <w:tc>
          <w:tcPr>
            <w:tcW w:w="1660"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jc w:val="center"/>
              <w:rPr>
                <w:rFonts w:ascii="Times New Roman" w:eastAsia="Times New Roman" w:hAnsi="Times New Roman" w:cs="Times New Roman"/>
                <w:b/>
                <w:bCs/>
                <w:sz w:val="24"/>
                <w:szCs w:val="24"/>
                <w:lang w:eastAsia="ru-RU"/>
              </w:rPr>
            </w:pPr>
          </w:p>
        </w:tc>
        <w:tc>
          <w:tcPr>
            <w:tcW w:w="1279"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p=,012</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p=,036</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p=,697</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p=,012</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p=,036</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sz w:val="24"/>
                <w:szCs w:val="24"/>
                <w:lang w:eastAsia="ru-RU"/>
              </w:rPr>
            </w:pPr>
            <w:r w:rsidRPr="007F5722">
              <w:rPr>
                <w:rFonts w:ascii="Arial" w:eastAsia="Times New Roman" w:hAnsi="Arial" w:cs="Arial"/>
                <w:color w:val="000000"/>
                <w:sz w:val="20"/>
                <w:szCs w:val="20"/>
                <w:lang w:eastAsia="ru-RU"/>
              </w:rPr>
              <w:t>p=,052</w:t>
            </w:r>
          </w:p>
        </w:tc>
        <w:tc>
          <w:tcPr>
            <w:tcW w:w="0" w:type="auto"/>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p=,010</w:t>
            </w:r>
          </w:p>
        </w:tc>
        <w:tc>
          <w:tcPr>
            <w:tcW w:w="836" w:type="dxa"/>
            <w:tcBorders>
              <w:top w:val="outset" w:sz="6" w:space="0" w:color="auto"/>
              <w:left w:val="outset" w:sz="6" w:space="0" w:color="auto"/>
              <w:bottom w:val="outset" w:sz="6" w:space="0" w:color="auto"/>
              <w:right w:val="outset" w:sz="6" w:space="0" w:color="auto"/>
            </w:tcBorders>
            <w:noWrap/>
            <w:vAlign w:val="center"/>
          </w:tcPr>
          <w:p w:rsidR="00BA0EB3" w:rsidRPr="007F5722" w:rsidRDefault="00BA0EB3" w:rsidP="00BA0EB3">
            <w:pPr>
              <w:spacing w:after="0" w:line="240" w:lineRule="auto"/>
              <w:rPr>
                <w:rFonts w:ascii="Times New Roman" w:eastAsia="Times New Roman" w:hAnsi="Times New Roman" w:cs="Times New Roman"/>
                <w:b/>
                <w:sz w:val="24"/>
                <w:szCs w:val="24"/>
                <w:lang w:eastAsia="ru-RU"/>
              </w:rPr>
            </w:pPr>
            <w:r w:rsidRPr="007F5722">
              <w:rPr>
                <w:rFonts w:ascii="Arial" w:eastAsia="Times New Roman" w:hAnsi="Arial" w:cs="Arial"/>
                <w:b/>
                <w:sz w:val="20"/>
                <w:szCs w:val="20"/>
                <w:lang w:eastAsia="ru-RU"/>
              </w:rPr>
              <w:t>p=,028</w:t>
            </w:r>
          </w:p>
        </w:tc>
      </w:tr>
    </w:tbl>
    <w:p w:rsidR="00E52430" w:rsidRPr="007F5722" w:rsidRDefault="00E52430" w:rsidP="00BA0EB3">
      <w:pPr>
        <w:shd w:val="clear" w:color="auto" w:fill="FFFFFF"/>
        <w:spacing w:after="0" w:line="360" w:lineRule="auto"/>
        <w:jc w:val="both"/>
        <w:rPr>
          <w:rFonts w:ascii="Times New Roman" w:eastAsia="Times New Roman" w:hAnsi="Times New Roman" w:cs="Times New Roman"/>
          <w:color w:val="000000"/>
          <w:sz w:val="28"/>
          <w:szCs w:val="28"/>
          <w:lang w:val="ru-RU"/>
        </w:rPr>
      </w:pPr>
    </w:p>
    <w:p w:rsidR="00F62171" w:rsidRPr="007F5722" w:rsidRDefault="0059261D" w:rsidP="00F6217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Що стосується жінок хворих на ГХ з АО, то у цій групі кореляційний аналіз показав наявність достовірних</w:t>
      </w:r>
      <w:r w:rsidR="00F95EF1" w:rsidRPr="007F5722">
        <w:rPr>
          <w:rFonts w:ascii="Times New Roman" w:eastAsia="Times New Roman" w:hAnsi="Times New Roman" w:cs="Times New Roman"/>
          <w:color w:val="000000"/>
          <w:sz w:val="28"/>
          <w:szCs w:val="28"/>
        </w:rPr>
        <w:t xml:space="preserve"> зворотних</w:t>
      </w:r>
      <w:r w:rsidRPr="007F5722">
        <w:rPr>
          <w:rFonts w:ascii="Times New Roman" w:eastAsia="Times New Roman" w:hAnsi="Times New Roman" w:cs="Times New Roman"/>
          <w:color w:val="000000"/>
          <w:sz w:val="28"/>
          <w:szCs w:val="28"/>
        </w:rPr>
        <w:t xml:space="preserve"> зв’язків між </w:t>
      </w:r>
      <w:r w:rsidR="00F95EF1" w:rsidRPr="007F5722">
        <w:rPr>
          <w:rFonts w:ascii="Times New Roman" w:eastAsia="Times New Roman" w:hAnsi="Times New Roman" w:cs="Times New Roman"/>
          <w:color w:val="000000"/>
          <w:sz w:val="28"/>
          <w:szCs w:val="28"/>
        </w:rPr>
        <w:t>ХС ЛПВЩ та САТ, ПАТ, та прямих зв’язків між КА та САТ, ПАТ, ІМТ</w:t>
      </w:r>
      <w:r w:rsidR="00B25BF6">
        <w:rPr>
          <w:rFonts w:ascii="Times New Roman" w:eastAsia="Times New Roman" w:hAnsi="Times New Roman" w:cs="Times New Roman"/>
          <w:color w:val="000000"/>
          <w:sz w:val="28"/>
          <w:szCs w:val="28"/>
        </w:rPr>
        <w:t xml:space="preserve"> (таблиця 3.2.4</w:t>
      </w:r>
      <w:r w:rsidR="00F62171" w:rsidRPr="007F5722">
        <w:rPr>
          <w:rFonts w:ascii="Times New Roman" w:eastAsia="Times New Roman" w:hAnsi="Times New Roman" w:cs="Times New Roman"/>
          <w:color w:val="000000"/>
          <w:sz w:val="28"/>
          <w:szCs w:val="28"/>
        </w:rPr>
        <w:t>)</w:t>
      </w:r>
      <w:r w:rsidR="00F95EF1" w:rsidRPr="007F5722">
        <w:rPr>
          <w:rFonts w:ascii="Times New Roman" w:eastAsia="Times New Roman" w:hAnsi="Times New Roman" w:cs="Times New Roman"/>
          <w:color w:val="000000"/>
          <w:sz w:val="28"/>
          <w:szCs w:val="28"/>
        </w:rPr>
        <w:t>. Крім тог</w:t>
      </w:r>
      <w:r w:rsidR="00F62171" w:rsidRPr="007F5722">
        <w:rPr>
          <w:rFonts w:ascii="Times New Roman" w:eastAsia="Times New Roman" w:hAnsi="Times New Roman" w:cs="Times New Roman"/>
          <w:color w:val="000000"/>
          <w:sz w:val="28"/>
          <w:szCs w:val="28"/>
        </w:rPr>
        <w:t>о</w:t>
      </w:r>
      <w:r w:rsidR="00F95EF1" w:rsidRPr="007F5722">
        <w:rPr>
          <w:rFonts w:ascii="Times New Roman" w:eastAsia="Times New Roman" w:hAnsi="Times New Roman" w:cs="Times New Roman"/>
          <w:color w:val="000000"/>
          <w:sz w:val="28"/>
          <w:szCs w:val="28"/>
        </w:rPr>
        <w:t xml:space="preserve"> нами виявлено пряму залежність рівня ЗХС від маси тіла, ІМТ та ОТ у жінок хворих на ГХ з АО. З’ясовано також прямі достовірні зв’язки між ХС ЛПНЩ, ХС не-ЛПВЩ та масою тіла, ІМТ. Рівень Апо В корелював </w:t>
      </w:r>
      <w:r w:rsidR="00F62171" w:rsidRPr="007F5722">
        <w:rPr>
          <w:rFonts w:ascii="Times New Roman" w:eastAsia="Times New Roman" w:hAnsi="Times New Roman" w:cs="Times New Roman"/>
          <w:color w:val="000000"/>
          <w:sz w:val="28"/>
          <w:szCs w:val="28"/>
        </w:rPr>
        <w:t>лише с такими антропометричними показниками, як ОТ а ОС у цій групі пацієнтів.</w:t>
      </w:r>
    </w:p>
    <w:p w:rsidR="00B25BF6" w:rsidRDefault="00B25BF6" w:rsidP="003E5A8D">
      <w:pPr>
        <w:shd w:val="clear" w:color="auto" w:fill="FFFFFF"/>
        <w:spacing w:after="0" w:line="360" w:lineRule="auto"/>
        <w:rPr>
          <w:rFonts w:ascii="Times New Roman" w:eastAsia="Times New Roman" w:hAnsi="Times New Roman" w:cs="Times New Roman"/>
          <w:color w:val="000000"/>
          <w:sz w:val="28"/>
          <w:szCs w:val="28"/>
        </w:rPr>
      </w:pPr>
    </w:p>
    <w:p w:rsidR="00C74657" w:rsidRPr="007F5722" w:rsidRDefault="00B25BF6" w:rsidP="00C74657">
      <w:pPr>
        <w:shd w:val="clear" w:color="auto" w:fill="FFFFFF"/>
        <w:spacing w:after="0" w:line="360" w:lineRule="auto"/>
        <w:ind w:firstLine="709"/>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Таблиця 3.2.4</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5"/>
        <w:gridCol w:w="886"/>
        <w:gridCol w:w="714"/>
        <w:gridCol w:w="1050"/>
        <w:gridCol w:w="1050"/>
        <w:gridCol w:w="1188"/>
        <w:gridCol w:w="725"/>
        <w:gridCol w:w="1338"/>
        <w:gridCol w:w="729"/>
      </w:tblGrid>
      <w:tr w:rsidR="00C74657" w:rsidRPr="007F5722" w:rsidTr="00C74657">
        <w:trPr>
          <w:tblCellSpacing w:w="15" w:type="dxa"/>
        </w:trPr>
        <w:tc>
          <w:tcPr>
            <w:tcW w:w="0" w:type="auto"/>
            <w:gridSpan w:val="9"/>
            <w:tcBorders>
              <w:top w:val="nil"/>
              <w:left w:val="nil"/>
              <w:bottom w:val="nil"/>
              <w:right w:val="nil"/>
            </w:tcBorders>
            <w:noWrap/>
            <w:vAlign w:val="center"/>
            <w:hideMark/>
          </w:tcPr>
          <w:p w:rsidR="00C74657" w:rsidRDefault="00C74657" w:rsidP="00C74657">
            <w:pPr>
              <w:spacing w:after="0" w:line="24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Кореляційні взаємозв</w:t>
            </w:r>
            <w:r w:rsidRPr="007F5722">
              <w:rPr>
                <w:rFonts w:ascii="Times New Roman" w:eastAsia="Times New Roman" w:hAnsi="Times New Roman" w:cs="Times New Roman"/>
                <w:color w:val="000000"/>
                <w:sz w:val="28"/>
                <w:szCs w:val="28"/>
                <w:lang w:val="ru-RU"/>
              </w:rPr>
              <w:t>’</w:t>
            </w:r>
            <w:r w:rsidRPr="007F5722">
              <w:rPr>
                <w:rFonts w:ascii="Times New Roman" w:eastAsia="Times New Roman" w:hAnsi="Times New Roman" w:cs="Times New Roman"/>
                <w:color w:val="000000"/>
                <w:sz w:val="28"/>
                <w:szCs w:val="28"/>
              </w:rPr>
              <w:t>язки між показниками ліпідного профілю з антропометричними та гемодинамічними показниками у жінок хворих на ГХ з АО</w:t>
            </w:r>
          </w:p>
          <w:p w:rsidR="003E5A8D" w:rsidRDefault="003E5A8D" w:rsidP="00C74657">
            <w:pPr>
              <w:spacing w:after="0" w:line="240" w:lineRule="auto"/>
              <w:jc w:val="center"/>
              <w:rPr>
                <w:rFonts w:ascii="Times New Roman" w:eastAsia="Times New Roman" w:hAnsi="Times New Roman" w:cs="Times New Roman"/>
                <w:color w:val="000000"/>
                <w:sz w:val="28"/>
                <w:szCs w:val="28"/>
              </w:rPr>
            </w:pPr>
          </w:p>
          <w:p w:rsidR="003E5A8D" w:rsidRPr="007F5722" w:rsidRDefault="003E5A8D" w:rsidP="00C74657">
            <w:pPr>
              <w:spacing w:after="0" w:line="240" w:lineRule="auto"/>
              <w:jc w:val="center"/>
              <w:rPr>
                <w:rFonts w:ascii="Times New Roman" w:eastAsia="Times New Roman" w:hAnsi="Times New Roman" w:cs="Times New Roman"/>
                <w:sz w:val="24"/>
                <w:szCs w:val="24"/>
                <w:lang w:val="ru-RU" w:eastAsia="ru-RU"/>
              </w:rPr>
            </w:pPr>
          </w:p>
        </w:tc>
      </w:tr>
      <w:tr w:rsidR="00C74657" w:rsidRPr="007F5722" w:rsidTr="003E5A8D">
        <w:trPr>
          <w:tblCellSpacing w:w="15" w:type="dxa"/>
        </w:trPr>
        <w:tc>
          <w:tcPr>
            <w:tcW w:w="1629" w:type="dxa"/>
            <w:tcBorders>
              <w:top w:val="outset" w:sz="6" w:space="0" w:color="auto"/>
              <w:left w:val="outset" w:sz="6" w:space="0" w:color="auto"/>
              <w:bottom w:val="outset" w:sz="6" w:space="0" w:color="auto"/>
              <w:right w:val="outset" w:sz="6" w:space="0" w:color="auto"/>
            </w:tcBorders>
            <w:noWrap/>
            <w:vAlign w:val="center"/>
            <w:hideMark/>
          </w:tcPr>
          <w:p w:rsidR="00C74657" w:rsidRPr="00B25BF6" w:rsidRDefault="00C74657" w:rsidP="00C74657">
            <w:pPr>
              <w:spacing w:after="0" w:line="240" w:lineRule="auto"/>
              <w:jc w:val="center"/>
              <w:rPr>
                <w:rFonts w:ascii="Times New Roman" w:eastAsia="Times New Roman" w:hAnsi="Times New Roman" w:cs="Times New Roman"/>
                <w:b/>
                <w:bCs/>
                <w:sz w:val="24"/>
                <w:szCs w:val="24"/>
                <w:lang w:eastAsia="ru-RU"/>
              </w:rPr>
            </w:pPr>
          </w:p>
        </w:tc>
        <w:tc>
          <w:tcPr>
            <w:tcW w:w="826" w:type="dxa"/>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F62171" w:rsidP="00C74657">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З</w:t>
            </w:r>
            <w:r w:rsidR="00C74657" w:rsidRPr="007F5722">
              <w:rPr>
                <w:rFonts w:ascii="Arial" w:eastAsia="Times New Roman" w:hAnsi="Arial" w:cs="Arial"/>
                <w:b/>
                <w:bCs/>
                <w:color w:val="000000"/>
                <w:sz w:val="20"/>
                <w:szCs w:val="20"/>
                <w:lang w:val="ru-RU" w:eastAsia="ru-RU"/>
              </w:rPr>
              <w:t xml:space="preserve">ХС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ТГ</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ХС ЛПВЩ</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ХС ЛПНЩ</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ХС ЛПДНЩ</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КА</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 xml:space="preserve">ХС не-ЛПВЩ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Апо</w:t>
            </w:r>
            <w:r w:rsidR="00F21472" w:rsidRPr="007F5722">
              <w:rPr>
                <w:rFonts w:ascii="Arial" w:eastAsia="Times New Roman" w:hAnsi="Arial" w:cs="Arial"/>
                <w:b/>
                <w:bCs/>
                <w:color w:val="000000"/>
                <w:sz w:val="20"/>
                <w:szCs w:val="20"/>
                <w:lang w:val="ru-RU" w:eastAsia="ru-RU"/>
              </w:rPr>
              <w:t xml:space="preserve"> </w:t>
            </w:r>
            <w:r w:rsidRPr="007F5722">
              <w:rPr>
                <w:rFonts w:ascii="Arial" w:eastAsia="Times New Roman" w:hAnsi="Arial" w:cs="Arial"/>
                <w:b/>
                <w:bCs/>
                <w:color w:val="000000"/>
                <w:sz w:val="20"/>
                <w:szCs w:val="20"/>
                <w:lang w:val="ru-RU" w:eastAsia="ru-RU"/>
              </w:rPr>
              <w:t>В</w:t>
            </w:r>
          </w:p>
        </w:tc>
      </w:tr>
      <w:tr w:rsidR="00C74657" w:rsidRPr="007F5722" w:rsidTr="003E5A8D">
        <w:trPr>
          <w:tblCellSpacing w:w="15" w:type="dxa"/>
        </w:trPr>
        <w:tc>
          <w:tcPr>
            <w:tcW w:w="1629" w:type="dxa"/>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ЧСС</w:t>
            </w:r>
          </w:p>
        </w:tc>
        <w:tc>
          <w:tcPr>
            <w:tcW w:w="826" w:type="dxa"/>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,0598</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-,1996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-,1856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,1799</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-,1996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,2105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,1198</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-,1586</w:t>
            </w:r>
          </w:p>
        </w:tc>
      </w:tr>
      <w:tr w:rsidR="00C74657" w:rsidRPr="007F5722" w:rsidTr="003E5A8D">
        <w:trPr>
          <w:tblCellSpacing w:w="15" w:type="dxa"/>
        </w:trPr>
        <w:tc>
          <w:tcPr>
            <w:tcW w:w="1629" w:type="dxa"/>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jc w:val="center"/>
              <w:rPr>
                <w:rFonts w:ascii="Times New Roman" w:eastAsia="Times New Roman" w:hAnsi="Times New Roman" w:cs="Times New Roman"/>
                <w:b/>
                <w:bCs/>
                <w:sz w:val="24"/>
                <w:szCs w:val="24"/>
                <w:lang w:val="ru-RU" w:eastAsia="ru-RU"/>
              </w:rPr>
            </w:pPr>
          </w:p>
        </w:tc>
        <w:tc>
          <w:tcPr>
            <w:tcW w:w="826" w:type="dxa"/>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p=,737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p=,258</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p=,293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p=,309</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p=,258</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p=,232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p=,500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C74657" w:rsidRPr="007F5722" w:rsidRDefault="00C74657" w:rsidP="00C74657">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p=,370</w:t>
            </w:r>
          </w:p>
        </w:tc>
      </w:tr>
      <w:tr w:rsidR="003E5A8D" w:rsidRPr="007F5722" w:rsidTr="003E5A8D">
        <w:trPr>
          <w:tblCellSpacing w:w="15" w:type="dxa"/>
        </w:trPr>
        <w:tc>
          <w:tcPr>
            <w:tcW w:w="1629"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САТ</w:t>
            </w:r>
          </w:p>
        </w:tc>
        <w:tc>
          <w:tcPr>
            <w:tcW w:w="826"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,0287</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,2491</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-,4019</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,1130</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,2491</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,4622</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,1532</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,0157</w:t>
            </w:r>
          </w:p>
        </w:tc>
      </w:tr>
      <w:tr w:rsidR="003E5A8D" w:rsidRPr="007F5722" w:rsidTr="003E5A8D">
        <w:trPr>
          <w:tblCellSpacing w:w="15" w:type="dxa"/>
        </w:trPr>
        <w:tc>
          <w:tcPr>
            <w:tcW w:w="1629"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p>
        </w:tc>
        <w:tc>
          <w:tcPr>
            <w:tcW w:w="826"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p=,872</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p=,155</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p=,018</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p=,525</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p=,155</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p=,006</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p=,387</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p=,930</w:t>
            </w:r>
          </w:p>
        </w:tc>
      </w:tr>
      <w:tr w:rsidR="003E5A8D" w:rsidRPr="007F5722" w:rsidTr="003E5A8D">
        <w:trPr>
          <w:tblCellSpacing w:w="15" w:type="dxa"/>
        </w:trPr>
        <w:tc>
          <w:tcPr>
            <w:tcW w:w="1629"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ДАТ</w:t>
            </w:r>
          </w:p>
        </w:tc>
        <w:tc>
          <w:tcPr>
            <w:tcW w:w="826"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-,1077</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,0167</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-,1523</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-,0784</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,0167</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,0843</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-,0669</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-,1924</w:t>
            </w:r>
          </w:p>
        </w:tc>
      </w:tr>
      <w:tr w:rsidR="003E5A8D" w:rsidRPr="007F5722" w:rsidTr="003E5A8D">
        <w:trPr>
          <w:tblCellSpacing w:w="15" w:type="dxa"/>
        </w:trPr>
        <w:tc>
          <w:tcPr>
            <w:tcW w:w="1629"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p>
        </w:tc>
        <w:tc>
          <w:tcPr>
            <w:tcW w:w="826"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p=,544</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p=,926</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p=,390</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p=,659</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p=,926</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p=,635</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p=,707</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p=,276</w:t>
            </w:r>
          </w:p>
        </w:tc>
      </w:tr>
      <w:tr w:rsidR="003E5A8D" w:rsidRPr="007F5722" w:rsidTr="003E5A8D">
        <w:trPr>
          <w:tblCellSpacing w:w="15" w:type="dxa"/>
        </w:trPr>
        <w:tc>
          <w:tcPr>
            <w:tcW w:w="1629"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ПАТ</w:t>
            </w:r>
          </w:p>
        </w:tc>
        <w:tc>
          <w:tcPr>
            <w:tcW w:w="826"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,1057</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,3233</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-,4433</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,2003</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,3233</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,5665</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,2470</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,1412</w:t>
            </w:r>
          </w:p>
        </w:tc>
      </w:tr>
      <w:tr w:rsidR="003E5A8D" w:rsidRPr="007F5722" w:rsidTr="003E5A8D">
        <w:trPr>
          <w:tblCellSpacing w:w="15" w:type="dxa"/>
        </w:trPr>
        <w:tc>
          <w:tcPr>
            <w:tcW w:w="1629"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p>
        </w:tc>
        <w:tc>
          <w:tcPr>
            <w:tcW w:w="826"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p=,552</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p=,062</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p=,009</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p=,256</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p=,062</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p=,000</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p=,159</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p=,426</w:t>
            </w:r>
          </w:p>
        </w:tc>
      </w:tr>
      <w:tr w:rsidR="003E5A8D" w:rsidRPr="007F5722" w:rsidTr="003E5A8D">
        <w:trPr>
          <w:tblCellSpacing w:w="15" w:type="dxa"/>
        </w:trPr>
        <w:tc>
          <w:tcPr>
            <w:tcW w:w="1629"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Тривалість АГ</w:t>
            </w:r>
          </w:p>
        </w:tc>
        <w:tc>
          <w:tcPr>
            <w:tcW w:w="826"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,0072</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,0147</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,0349</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-,0068</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,0147</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-,0373</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-,0031</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-,1018</w:t>
            </w:r>
          </w:p>
        </w:tc>
      </w:tr>
      <w:tr w:rsidR="003E5A8D" w:rsidRPr="007F5722" w:rsidTr="003E5A8D">
        <w:trPr>
          <w:tblCellSpacing w:w="15" w:type="dxa"/>
        </w:trPr>
        <w:tc>
          <w:tcPr>
            <w:tcW w:w="1629"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p>
        </w:tc>
        <w:tc>
          <w:tcPr>
            <w:tcW w:w="826"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p=,968</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p=,934</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p=,844</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p=,969</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p=,934</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p=,834</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p=,986</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p=,567</w:t>
            </w:r>
          </w:p>
        </w:tc>
      </w:tr>
      <w:tr w:rsidR="003E5A8D" w:rsidRPr="007F5722" w:rsidTr="003E5A8D">
        <w:trPr>
          <w:tblCellSpacing w:w="15" w:type="dxa"/>
        </w:trPr>
        <w:tc>
          <w:tcPr>
            <w:tcW w:w="1629"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Маса тіла</w:t>
            </w:r>
          </w:p>
        </w:tc>
        <w:tc>
          <w:tcPr>
            <w:tcW w:w="826"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,4727</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,2928</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,2032</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,4180</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,2928</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,1881</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,4358</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,1816</w:t>
            </w:r>
          </w:p>
        </w:tc>
      </w:tr>
      <w:tr w:rsidR="003E5A8D" w:rsidRPr="007F5722" w:rsidTr="003E5A8D">
        <w:trPr>
          <w:tblCellSpacing w:w="15" w:type="dxa"/>
        </w:trPr>
        <w:tc>
          <w:tcPr>
            <w:tcW w:w="1629"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p>
        </w:tc>
        <w:tc>
          <w:tcPr>
            <w:tcW w:w="826"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p=,005</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p=,093</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p=,249</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p=,014</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p=,093</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p=,287</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p=,010</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p=,304</w:t>
            </w:r>
          </w:p>
        </w:tc>
      </w:tr>
      <w:tr w:rsidR="003E5A8D" w:rsidRPr="007F5722" w:rsidTr="003E5A8D">
        <w:trPr>
          <w:tblCellSpacing w:w="15" w:type="dxa"/>
        </w:trPr>
        <w:tc>
          <w:tcPr>
            <w:tcW w:w="1629"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ІМТ</w:t>
            </w:r>
          </w:p>
        </w:tc>
        <w:tc>
          <w:tcPr>
            <w:tcW w:w="826"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,4964</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,3101</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,0212</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,5039</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,3101</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,3434</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,5165</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,2571</w:t>
            </w:r>
          </w:p>
        </w:tc>
      </w:tr>
      <w:tr w:rsidR="003E5A8D" w:rsidRPr="007F5722" w:rsidTr="003E5A8D">
        <w:trPr>
          <w:tblCellSpacing w:w="15" w:type="dxa"/>
        </w:trPr>
        <w:tc>
          <w:tcPr>
            <w:tcW w:w="1629"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p>
        </w:tc>
        <w:tc>
          <w:tcPr>
            <w:tcW w:w="826"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p=,003</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p=,074</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p=,905</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p=,002</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p=,074</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p=,047</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p=,002</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p=,142</w:t>
            </w:r>
          </w:p>
        </w:tc>
      </w:tr>
    </w:tbl>
    <w:p w:rsidR="003E5A8D" w:rsidRPr="003E5A8D" w:rsidRDefault="003E5A8D">
      <w:pPr>
        <w:rPr>
          <w:rFonts w:ascii="Times New Roman" w:hAnsi="Times New Roman" w:cs="Times New Roman"/>
          <w:sz w:val="28"/>
          <w:szCs w:val="28"/>
        </w:rPr>
      </w:pPr>
      <w:r w:rsidRPr="003E5A8D">
        <w:rPr>
          <w:rFonts w:ascii="Times New Roman" w:hAnsi="Times New Roman" w:cs="Times New Roman"/>
          <w:sz w:val="28"/>
          <w:szCs w:val="28"/>
        </w:rPr>
        <w:lastRenderedPageBreak/>
        <w:t>Продовження таблиці 3.2.4</w:t>
      </w:r>
    </w:p>
    <w:tbl>
      <w:tblPr>
        <w:tblW w:w="9355" w:type="dxa"/>
        <w:tblCellSpacing w:w="15"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35"/>
        <w:gridCol w:w="916"/>
        <w:gridCol w:w="708"/>
        <w:gridCol w:w="1056"/>
        <w:gridCol w:w="1056"/>
        <w:gridCol w:w="1199"/>
        <w:gridCol w:w="708"/>
        <w:gridCol w:w="1355"/>
        <w:gridCol w:w="734"/>
      </w:tblGrid>
      <w:tr w:rsidR="003E5A8D" w:rsidRPr="007F5722" w:rsidTr="003E5A8D">
        <w:trPr>
          <w:tblCellSpacing w:w="15" w:type="dxa"/>
        </w:trPr>
        <w:tc>
          <w:tcPr>
            <w:tcW w:w="1660" w:type="dxa"/>
            <w:tcBorders>
              <w:top w:val="outset" w:sz="6" w:space="0" w:color="auto"/>
              <w:left w:val="outset" w:sz="6" w:space="0" w:color="auto"/>
              <w:bottom w:val="outset" w:sz="6" w:space="0" w:color="auto"/>
              <w:right w:val="outset" w:sz="6" w:space="0" w:color="auto"/>
            </w:tcBorders>
            <w:noWrap/>
            <w:vAlign w:val="center"/>
          </w:tcPr>
          <w:p w:rsidR="003E5A8D" w:rsidRPr="00B25BF6" w:rsidRDefault="003E5A8D" w:rsidP="003E5A8D">
            <w:pPr>
              <w:spacing w:after="0" w:line="240" w:lineRule="auto"/>
              <w:jc w:val="center"/>
              <w:rPr>
                <w:rFonts w:ascii="Times New Roman" w:eastAsia="Times New Roman" w:hAnsi="Times New Roman" w:cs="Times New Roman"/>
                <w:b/>
                <w:bCs/>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 xml:space="preserve">ЗХС </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ТГ</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ХС ЛПВЩ</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ХС ЛПНЩ</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ХС ЛПДНЩ</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КА</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 xml:space="preserve">ХС не-ЛПВЩ </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Апо В</w:t>
            </w:r>
          </w:p>
        </w:tc>
      </w:tr>
      <w:tr w:rsidR="003E5A8D" w:rsidRPr="007F5722" w:rsidTr="003E5A8D">
        <w:trPr>
          <w:tblCellSpacing w:w="15" w:type="dxa"/>
        </w:trPr>
        <w:tc>
          <w:tcPr>
            <w:tcW w:w="1660"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ОТ</w:t>
            </w:r>
          </w:p>
        </w:tc>
        <w:tc>
          <w:tcPr>
            <w:tcW w:w="856"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,1824</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,2621</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-,0742</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,1787</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,2621</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,1975</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,2149</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,4116</w:t>
            </w:r>
          </w:p>
        </w:tc>
      </w:tr>
      <w:tr w:rsidR="003E5A8D" w:rsidRPr="007F5722" w:rsidTr="003E5A8D">
        <w:trPr>
          <w:tblCellSpacing w:w="15" w:type="dxa"/>
        </w:trPr>
        <w:tc>
          <w:tcPr>
            <w:tcW w:w="1660"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p>
        </w:tc>
        <w:tc>
          <w:tcPr>
            <w:tcW w:w="856"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p=,302</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p=,134</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p=,677</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p=,312</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p=,134</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p=,263</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p=,222</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p=,016</w:t>
            </w:r>
          </w:p>
        </w:tc>
      </w:tr>
      <w:tr w:rsidR="003E5A8D" w:rsidRPr="007F5722" w:rsidTr="003E5A8D">
        <w:trPr>
          <w:tblCellSpacing w:w="15" w:type="dxa"/>
        </w:trPr>
        <w:tc>
          <w:tcPr>
            <w:tcW w:w="1660"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ОС</w:t>
            </w:r>
          </w:p>
        </w:tc>
        <w:tc>
          <w:tcPr>
            <w:tcW w:w="856"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-,0414</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,1769</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-,1985</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-,0220</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,1769</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,1058</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,0171</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,4289</w:t>
            </w:r>
          </w:p>
        </w:tc>
      </w:tr>
      <w:tr w:rsidR="003E5A8D" w:rsidRPr="007F5722" w:rsidTr="003E5A8D">
        <w:trPr>
          <w:tblCellSpacing w:w="15" w:type="dxa"/>
        </w:trPr>
        <w:tc>
          <w:tcPr>
            <w:tcW w:w="1660"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p>
        </w:tc>
        <w:tc>
          <w:tcPr>
            <w:tcW w:w="856"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p=,816</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p=,317</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p=,260</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p=,902</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p=,317</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p=,552</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p=,924</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p=,011</w:t>
            </w:r>
          </w:p>
        </w:tc>
      </w:tr>
      <w:tr w:rsidR="003E5A8D" w:rsidRPr="007F5722" w:rsidTr="003E5A8D">
        <w:trPr>
          <w:tblCellSpacing w:w="15" w:type="dxa"/>
        </w:trPr>
        <w:tc>
          <w:tcPr>
            <w:tcW w:w="1660"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ОТ/ОС</w:t>
            </w:r>
          </w:p>
        </w:tc>
        <w:tc>
          <w:tcPr>
            <w:tcW w:w="856"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,3096</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,2345</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,0706</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,2851</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,2345</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,1958</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,3046</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,2317</w:t>
            </w:r>
          </w:p>
        </w:tc>
      </w:tr>
      <w:tr w:rsidR="003E5A8D" w:rsidRPr="007F5722" w:rsidTr="003E5A8D">
        <w:trPr>
          <w:tblCellSpacing w:w="15" w:type="dxa"/>
        </w:trPr>
        <w:tc>
          <w:tcPr>
            <w:tcW w:w="1660"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p>
        </w:tc>
        <w:tc>
          <w:tcPr>
            <w:tcW w:w="856"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p=,075</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p=,182</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p=,692</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p=,102</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p=,182</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p=,267</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p=,080</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p=,187</w:t>
            </w:r>
          </w:p>
        </w:tc>
      </w:tr>
    </w:tbl>
    <w:p w:rsidR="00F21472" w:rsidRPr="007F5722" w:rsidRDefault="00F21472" w:rsidP="00B25BF6">
      <w:pPr>
        <w:shd w:val="clear" w:color="auto" w:fill="FFFFFF"/>
        <w:spacing w:after="0" w:line="360" w:lineRule="auto"/>
        <w:rPr>
          <w:rFonts w:ascii="Times New Roman" w:eastAsia="Times New Roman" w:hAnsi="Times New Roman" w:cs="Times New Roman"/>
          <w:color w:val="000000"/>
          <w:sz w:val="28"/>
          <w:szCs w:val="28"/>
        </w:rPr>
      </w:pPr>
    </w:p>
    <w:p w:rsidR="00B05ADF" w:rsidRPr="007F5722" w:rsidRDefault="00F62171" w:rsidP="00EE282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У групі хворих на ГХ без АО чоловіків встановлено наявність позитивних кореляційних зв’язків між ЗХС, ТГ, ХС ЛПНЩ, ХС ЛДНЩ</w:t>
      </w:r>
      <w:r w:rsidR="00DE6100" w:rsidRPr="007F5722">
        <w:rPr>
          <w:rFonts w:ascii="Times New Roman" w:eastAsia="Times New Roman" w:hAnsi="Times New Roman" w:cs="Times New Roman"/>
          <w:color w:val="000000"/>
          <w:sz w:val="28"/>
          <w:szCs w:val="28"/>
        </w:rPr>
        <w:t>, КА, ХС не-ЛПВЩ, Апо В та масою тіла, ІМТ. Крім того, рівень ЗХС корелював ще з ОТ, ХС ЛПНЩ з ОТ та Апо В з ОТ, ОС, інде</w:t>
      </w:r>
      <w:r w:rsidR="00EE282C">
        <w:rPr>
          <w:rFonts w:ascii="Times New Roman" w:eastAsia="Times New Roman" w:hAnsi="Times New Roman" w:cs="Times New Roman"/>
          <w:color w:val="000000"/>
          <w:sz w:val="28"/>
          <w:szCs w:val="28"/>
        </w:rPr>
        <w:t>ксом ОТ/ОС (таблиця 3.2.5</w:t>
      </w:r>
      <w:r w:rsidR="00DE6100" w:rsidRPr="007F5722">
        <w:rPr>
          <w:rFonts w:ascii="Times New Roman" w:eastAsia="Times New Roman" w:hAnsi="Times New Roman" w:cs="Times New Roman"/>
          <w:color w:val="000000"/>
          <w:sz w:val="28"/>
          <w:szCs w:val="28"/>
        </w:rPr>
        <w:t>)</w:t>
      </w:r>
    </w:p>
    <w:p w:rsidR="00C74657" w:rsidRPr="007F5722" w:rsidRDefault="00EE282C" w:rsidP="00C74657">
      <w:pPr>
        <w:shd w:val="clear" w:color="auto" w:fill="FFFFFF"/>
        <w:spacing w:after="0" w:line="360" w:lineRule="auto"/>
        <w:ind w:firstLine="709"/>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Таблиця 3.2.5</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45"/>
        <w:gridCol w:w="783"/>
        <w:gridCol w:w="737"/>
        <w:gridCol w:w="1067"/>
        <w:gridCol w:w="1067"/>
        <w:gridCol w:w="1207"/>
        <w:gridCol w:w="737"/>
        <w:gridCol w:w="1360"/>
        <w:gridCol w:w="752"/>
      </w:tblGrid>
      <w:tr w:rsidR="00F21472" w:rsidRPr="007F5722" w:rsidTr="00F21472">
        <w:trPr>
          <w:tblCellSpacing w:w="15" w:type="dxa"/>
        </w:trPr>
        <w:tc>
          <w:tcPr>
            <w:tcW w:w="0" w:type="auto"/>
            <w:gridSpan w:val="9"/>
            <w:tcBorders>
              <w:top w:val="nil"/>
              <w:left w:val="nil"/>
              <w:bottom w:val="nil"/>
              <w:right w:val="nil"/>
            </w:tcBorders>
            <w:noWrap/>
            <w:vAlign w:val="center"/>
            <w:hideMark/>
          </w:tcPr>
          <w:p w:rsidR="00F21472" w:rsidRPr="007F5722" w:rsidRDefault="00F21472" w:rsidP="00F21472">
            <w:pPr>
              <w:spacing w:after="0" w:line="240" w:lineRule="auto"/>
              <w:jc w:val="center"/>
              <w:rPr>
                <w:rFonts w:ascii="Times New Roman" w:eastAsia="Times New Roman" w:hAnsi="Times New Roman" w:cs="Times New Roman"/>
                <w:sz w:val="24"/>
                <w:szCs w:val="24"/>
                <w:lang w:val="ru-RU" w:eastAsia="ru-RU"/>
              </w:rPr>
            </w:pPr>
            <w:r w:rsidRPr="007F5722">
              <w:rPr>
                <w:rFonts w:ascii="Times New Roman" w:eastAsia="Times New Roman" w:hAnsi="Times New Roman" w:cs="Times New Roman"/>
                <w:color w:val="000000"/>
                <w:sz w:val="28"/>
                <w:szCs w:val="28"/>
              </w:rPr>
              <w:t>Кореляційні взаємозв’язки між показниками ліпідного профілю з антропометричними та гемодинамічними показниками у чоловіків хворих на ГХ без АО</w:t>
            </w:r>
          </w:p>
        </w:tc>
      </w:tr>
      <w:tr w:rsidR="00F21472" w:rsidRPr="007F5722" w:rsidTr="003E5A8D">
        <w:trPr>
          <w:tblCellSpacing w:w="15" w:type="dxa"/>
        </w:trPr>
        <w:tc>
          <w:tcPr>
            <w:tcW w:w="1571" w:type="dxa"/>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jc w:val="center"/>
              <w:rPr>
                <w:rFonts w:ascii="Times New Roman" w:eastAsia="Times New Roman" w:hAnsi="Times New Roman" w:cs="Times New Roman"/>
                <w:b/>
                <w:bCs/>
                <w:sz w:val="24"/>
                <w:szCs w:val="24"/>
                <w:lang w:val="ru-RU" w:eastAsia="ru-RU"/>
              </w:rPr>
            </w:pPr>
          </w:p>
        </w:tc>
        <w:tc>
          <w:tcPr>
            <w:tcW w:w="707" w:type="dxa"/>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ЗХС</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ТГ</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ХС ЛПВЩ</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ХС ЛПНЩ</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ХС ЛПДНЩ</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КА</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 xml:space="preserve">ХС не-ЛПВЩ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Апо В</w:t>
            </w:r>
          </w:p>
        </w:tc>
      </w:tr>
      <w:tr w:rsidR="00F21472" w:rsidRPr="007F5722" w:rsidTr="003E5A8D">
        <w:trPr>
          <w:tblCellSpacing w:w="15" w:type="dxa"/>
        </w:trPr>
        <w:tc>
          <w:tcPr>
            <w:tcW w:w="1571" w:type="dxa"/>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ЧСС</w:t>
            </w:r>
          </w:p>
        </w:tc>
        <w:tc>
          <w:tcPr>
            <w:tcW w:w="707" w:type="dxa"/>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-,1662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,1636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,0017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-,2115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,1636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-,1734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-,1715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,0520</w:t>
            </w:r>
          </w:p>
        </w:tc>
      </w:tr>
      <w:tr w:rsidR="00F21472" w:rsidRPr="007F5722" w:rsidTr="003E5A8D">
        <w:trPr>
          <w:tblCellSpacing w:w="15" w:type="dxa"/>
        </w:trPr>
        <w:tc>
          <w:tcPr>
            <w:tcW w:w="1571" w:type="dxa"/>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jc w:val="center"/>
              <w:rPr>
                <w:rFonts w:ascii="Times New Roman" w:eastAsia="Times New Roman" w:hAnsi="Times New Roman" w:cs="Times New Roman"/>
                <w:b/>
                <w:bCs/>
                <w:sz w:val="24"/>
                <w:szCs w:val="24"/>
                <w:lang w:val="ru-RU" w:eastAsia="ru-RU"/>
              </w:rPr>
            </w:pPr>
          </w:p>
        </w:tc>
        <w:tc>
          <w:tcPr>
            <w:tcW w:w="707" w:type="dxa"/>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p=,449</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p=,456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p=,994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p=,333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p=,456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p=,429</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p=,434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p=,814</w:t>
            </w:r>
          </w:p>
        </w:tc>
      </w:tr>
      <w:tr w:rsidR="00F21472" w:rsidRPr="007F5722" w:rsidTr="003E5A8D">
        <w:trPr>
          <w:tblCellSpacing w:w="15" w:type="dxa"/>
        </w:trPr>
        <w:tc>
          <w:tcPr>
            <w:tcW w:w="1571" w:type="dxa"/>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САТ</w:t>
            </w:r>
          </w:p>
        </w:tc>
        <w:tc>
          <w:tcPr>
            <w:tcW w:w="707" w:type="dxa"/>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,1119</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,0067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-,0246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,1297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,0067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,0364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,1226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,0993</w:t>
            </w:r>
          </w:p>
        </w:tc>
      </w:tr>
      <w:tr w:rsidR="00F21472" w:rsidRPr="007F5722" w:rsidTr="003E5A8D">
        <w:trPr>
          <w:tblCellSpacing w:w="15" w:type="dxa"/>
        </w:trPr>
        <w:tc>
          <w:tcPr>
            <w:tcW w:w="1571" w:type="dxa"/>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jc w:val="center"/>
              <w:rPr>
                <w:rFonts w:ascii="Times New Roman" w:eastAsia="Times New Roman" w:hAnsi="Times New Roman" w:cs="Times New Roman"/>
                <w:b/>
                <w:bCs/>
                <w:sz w:val="24"/>
                <w:szCs w:val="24"/>
                <w:lang w:val="ru-RU" w:eastAsia="ru-RU"/>
              </w:rPr>
            </w:pPr>
          </w:p>
        </w:tc>
        <w:tc>
          <w:tcPr>
            <w:tcW w:w="707" w:type="dxa"/>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p=,611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p=,976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p=,911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p=,555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p=,976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p=,869</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p=,577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p=,652</w:t>
            </w:r>
          </w:p>
        </w:tc>
      </w:tr>
      <w:tr w:rsidR="00F21472" w:rsidRPr="007F5722" w:rsidTr="003E5A8D">
        <w:trPr>
          <w:tblCellSpacing w:w="15" w:type="dxa"/>
        </w:trPr>
        <w:tc>
          <w:tcPr>
            <w:tcW w:w="1571" w:type="dxa"/>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ДАТ</w:t>
            </w:r>
          </w:p>
        </w:tc>
        <w:tc>
          <w:tcPr>
            <w:tcW w:w="707" w:type="dxa"/>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-,2017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-,1078</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-,1077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-,1678</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-,1078</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-,2028</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-,1747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-,0596</w:t>
            </w:r>
          </w:p>
        </w:tc>
      </w:tr>
      <w:tr w:rsidR="00F21472" w:rsidRPr="007F5722" w:rsidTr="003E5A8D">
        <w:trPr>
          <w:tblCellSpacing w:w="15" w:type="dxa"/>
        </w:trPr>
        <w:tc>
          <w:tcPr>
            <w:tcW w:w="1571" w:type="dxa"/>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jc w:val="center"/>
              <w:rPr>
                <w:rFonts w:ascii="Times New Roman" w:eastAsia="Times New Roman" w:hAnsi="Times New Roman" w:cs="Times New Roman"/>
                <w:b/>
                <w:bCs/>
                <w:sz w:val="24"/>
                <w:szCs w:val="24"/>
                <w:lang w:val="ru-RU" w:eastAsia="ru-RU"/>
              </w:rPr>
            </w:pPr>
          </w:p>
        </w:tc>
        <w:tc>
          <w:tcPr>
            <w:tcW w:w="707" w:type="dxa"/>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p=,356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p=,624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p=,625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p=,444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p=,624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p=,353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p=,425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p=,787</w:t>
            </w:r>
          </w:p>
        </w:tc>
      </w:tr>
      <w:tr w:rsidR="00F21472" w:rsidRPr="007F5722" w:rsidTr="003E5A8D">
        <w:trPr>
          <w:tblCellSpacing w:w="15" w:type="dxa"/>
        </w:trPr>
        <w:tc>
          <w:tcPr>
            <w:tcW w:w="1571" w:type="dxa"/>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ПАТ</w:t>
            </w:r>
          </w:p>
        </w:tc>
        <w:tc>
          <w:tcPr>
            <w:tcW w:w="707" w:type="dxa"/>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,2769</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,0911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,0574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,2696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,0911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,1967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,2674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,1529</w:t>
            </w:r>
          </w:p>
        </w:tc>
      </w:tr>
      <w:tr w:rsidR="00F21472" w:rsidRPr="007F5722" w:rsidTr="003E5A8D">
        <w:trPr>
          <w:tblCellSpacing w:w="15" w:type="dxa"/>
        </w:trPr>
        <w:tc>
          <w:tcPr>
            <w:tcW w:w="1571" w:type="dxa"/>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jc w:val="center"/>
              <w:rPr>
                <w:rFonts w:ascii="Times New Roman" w:eastAsia="Times New Roman" w:hAnsi="Times New Roman" w:cs="Times New Roman"/>
                <w:b/>
                <w:bCs/>
                <w:sz w:val="24"/>
                <w:szCs w:val="24"/>
                <w:lang w:val="ru-RU" w:eastAsia="ru-RU"/>
              </w:rPr>
            </w:pPr>
          </w:p>
        </w:tc>
        <w:tc>
          <w:tcPr>
            <w:tcW w:w="707" w:type="dxa"/>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p=,201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p=,679</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p=,795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p=,213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p=,679</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p=,368</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p=,217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p=,486</w:t>
            </w:r>
          </w:p>
        </w:tc>
      </w:tr>
      <w:tr w:rsidR="003E5A8D" w:rsidRPr="007F5722" w:rsidTr="003E5A8D">
        <w:trPr>
          <w:tblCellSpacing w:w="15" w:type="dxa"/>
        </w:trPr>
        <w:tc>
          <w:tcPr>
            <w:tcW w:w="1571"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Тривалість АГ</w:t>
            </w:r>
          </w:p>
        </w:tc>
        <w:tc>
          <w:tcPr>
            <w:tcW w:w="707"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-,1155</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,0279</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-,1168</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-,0938</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,0279</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-,0759</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-,0833</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-,1248</w:t>
            </w:r>
          </w:p>
        </w:tc>
      </w:tr>
      <w:tr w:rsidR="003E5A8D" w:rsidRPr="007F5722" w:rsidTr="003E5A8D">
        <w:trPr>
          <w:tblCellSpacing w:w="15" w:type="dxa"/>
        </w:trPr>
        <w:tc>
          <w:tcPr>
            <w:tcW w:w="1571"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p>
        </w:tc>
        <w:tc>
          <w:tcPr>
            <w:tcW w:w="707"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p=,600</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p=,899</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p=,596</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p=,670</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p=,899</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p=,731</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p=,706</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p=,571</w:t>
            </w:r>
          </w:p>
        </w:tc>
      </w:tr>
      <w:tr w:rsidR="003E5A8D" w:rsidRPr="007F5722" w:rsidTr="003E5A8D">
        <w:trPr>
          <w:tblCellSpacing w:w="15" w:type="dxa"/>
        </w:trPr>
        <w:tc>
          <w:tcPr>
            <w:tcW w:w="1571"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Маса тіла</w:t>
            </w:r>
          </w:p>
        </w:tc>
        <w:tc>
          <w:tcPr>
            <w:tcW w:w="707"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,6088</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,5557</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-,1011</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,6051</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,5557</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,5322</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,6573</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,5863</w:t>
            </w:r>
          </w:p>
        </w:tc>
      </w:tr>
      <w:tr w:rsidR="003E5A8D" w:rsidRPr="007F5722" w:rsidTr="003E5A8D">
        <w:trPr>
          <w:tblCellSpacing w:w="15" w:type="dxa"/>
        </w:trPr>
        <w:tc>
          <w:tcPr>
            <w:tcW w:w="1571"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p>
        </w:tc>
        <w:tc>
          <w:tcPr>
            <w:tcW w:w="707"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p=,002</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p=,006</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p=,646</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p=,002</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p=,006</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p=,009</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p=,001</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p=,003</w:t>
            </w:r>
          </w:p>
        </w:tc>
      </w:tr>
      <w:tr w:rsidR="003E5A8D" w:rsidRPr="007F5722" w:rsidTr="003E5A8D">
        <w:trPr>
          <w:tblCellSpacing w:w="15" w:type="dxa"/>
        </w:trPr>
        <w:tc>
          <w:tcPr>
            <w:tcW w:w="1571"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ІМТ</w:t>
            </w:r>
          </w:p>
        </w:tc>
        <w:tc>
          <w:tcPr>
            <w:tcW w:w="707"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,7041</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,6044</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-,1218</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,7081</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,6044</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,6273</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,7617</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,7215</w:t>
            </w:r>
          </w:p>
        </w:tc>
      </w:tr>
      <w:tr w:rsidR="003E5A8D" w:rsidRPr="007F5722" w:rsidTr="003E5A8D">
        <w:trPr>
          <w:tblCellSpacing w:w="15" w:type="dxa"/>
        </w:trPr>
        <w:tc>
          <w:tcPr>
            <w:tcW w:w="1571"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p>
        </w:tc>
        <w:tc>
          <w:tcPr>
            <w:tcW w:w="707"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p=,000</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p=,002</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p=,580</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p=,000</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p=,002</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p=,001</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p=,000</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p=,000</w:t>
            </w:r>
          </w:p>
        </w:tc>
      </w:tr>
      <w:tr w:rsidR="003E5A8D" w:rsidRPr="007F5722" w:rsidTr="003E5A8D">
        <w:trPr>
          <w:tblCellSpacing w:w="15" w:type="dxa"/>
        </w:trPr>
        <w:tc>
          <w:tcPr>
            <w:tcW w:w="1571"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ОТ</w:t>
            </w:r>
          </w:p>
        </w:tc>
        <w:tc>
          <w:tcPr>
            <w:tcW w:w="707"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,4805</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,3758</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,0201</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,4560</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,3758</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,3585</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,4883</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,6815</w:t>
            </w:r>
          </w:p>
        </w:tc>
      </w:tr>
      <w:tr w:rsidR="003E5A8D" w:rsidRPr="007F5722" w:rsidTr="003E5A8D">
        <w:trPr>
          <w:tblCellSpacing w:w="15" w:type="dxa"/>
        </w:trPr>
        <w:tc>
          <w:tcPr>
            <w:tcW w:w="1571"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p>
        </w:tc>
        <w:tc>
          <w:tcPr>
            <w:tcW w:w="707"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p=,020</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p=,077</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p=,927</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p=,029</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p=,077</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p=,093</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p=,018</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p=,000</w:t>
            </w:r>
          </w:p>
        </w:tc>
      </w:tr>
      <w:tr w:rsidR="003E5A8D" w:rsidRPr="007F5722" w:rsidTr="003E5A8D">
        <w:trPr>
          <w:tblCellSpacing w:w="15" w:type="dxa"/>
        </w:trPr>
        <w:tc>
          <w:tcPr>
            <w:tcW w:w="1571"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ОС</w:t>
            </w:r>
          </w:p>
        </w:tc>
        <w:tc>
          <w:tcPr>
            <w:tcW w:w="707"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,4128</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,2964</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,0779</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,3766</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,2964</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,2095</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,4010</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,5137</w:t>
            </w:r>
          </w:p>
        </w:tc>
      </w:tr>
      <w:tr w:rsidR="003E5A8D" w:rsidRPr="007F5722" w:rsidTr="003E5A8D">
        <w:trPr>
          <w:tblCellSpacing w:w="15" w:type="dxa"/>
        </w:trPr>
        <w:tc>
          <w:tcPr>
            <w:tcW w:w="1571"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p>
        </w:tc>
        <w:tc>
          <w:tcPr>
            <w:tcW w:w="707"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p=,050</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p=,170</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p=,724</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p=,076</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p=,170</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p=,337</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p=,058</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p=,012</w:t>
            </w:r>
          </w:p>
        </w:tc>
      </w:tr>
      <w:tr w:rsidR="003E5A8D" w:rsidRPr="007F5722" w:rsidTr="003E5A8D">
        <w:trPr>
          <w:tblCellSpacing w:w="15" w:type="dxa"/>
        </w:trPr>
        <w:tc>
          <w:tcPr>
            <w:tcW w:w="1571"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ОТ/ОС</w:t>
            </w:r>
          </w:p>
        </w:tc>
        <w:tc>
          <w:tcPr>
            <w:tcW w:w="707"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,2899</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,2530</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-,0283</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,2837</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,2530</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,3062</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,3070</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,5006</w:t>
            </w:r>
          </w:p>
        </w:tc>
      </w:tr>
      <w:tr w:rsidR="003E5A8D" w:rsidRPr="007F5722" w:rsidTr="003E5A8D">
        <w:trPr>
          <w:tblCellSpacing w:w="15" w:type="dxa"/>
        </w:trPr>
        <w:tc>
          <w:tcPr>
            <w:tcW w:w="1571"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p>
        </w:tc>
        <w:tc>
          <w:tcPr>
            <w:tcW w:w="707" w:type="dxa"/>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p=,180</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p=,244</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p=,898</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p=,190</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p=,244</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p=,155</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p=,154</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p=,015</w:t>
            </w:r>
          </w:p>
        </w:tc>
      </w:tr>
    </w:tbl>
    <w:p w:rsidR="00C252D0" w:rsidRPr="007F5722" w:rsidRDefault="00DE6100" w:rsidP="00EE282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lastRenderedPageBreak/>
        <w:t xml:space="preserve">У жінок хворих на ГХ без АО </w:t>
      </w:r>
      <w:r w:rsidR="001E352F" w:rsidRPr="007F5722">
        <w:rPr>
          <w:rFonts w:ascii="Times New Roman" w:eastAsia="Times New Roman" w:hAnsi="Times New Roman" w:cs="Times New Roman"/>
          <w:color w:val="000000"/>
          <w:sz w:val="28"/>
          <w:szCs w:val="28"/>
        </w:rPr>
        <w:t xml:space="preserve">достовірними виявилися взаємозв’язки між наступними показниками: ТГ та масою тіла, ХС ЛПВЩ </w:t>
      </w:r>
      <w:r w:rsidR="00327136" w:rsidRPr="007F5722">
        <w:rPr>
          <w:rFonts w:ascii="Times New Roman" w:eastAsia="Times New Roman" w:hAnsi="Times New Roman" w:cs="Times New Roman"/>
          <w:color w:val="000000"/>
          <w:sz w:val="28"/>
          <w:szCs w:val="28"/>
        </w:rPr>
        <w:t>мав негативний напрямок зв’язку з САТ, ДАТ, ПАТ</w:t>
      </w:r>
      <w:r w:rsidR="00EE282C">
        <w:rPr>
          <w:rFonts w:ascii="Times New Roman" w:eastAsia="Times New Roman" w:hAnsi="Times New Roman" w:cs="Times New Roman"/>
          <w:color w:val="000000"/>
          <w:sz w:val="28"/>
          <w:szCs w:val="28"/>
        </w:rPr>
        <w:t>, масою тіла, ІМТ (таблиця 3.2.6</w:t>
      </w:r>
      <w:r w:rsidR="00327136" w:rsidRPr="007F5722">
        <w:rPr>
          <w:rFonts w:ascii="Times New Roman" w:eastAsia="Times New Roman" w:hAnsi="Times New Roman" w:cs="Times New Roman"/>
          <w:color w:val="000000"/>
          <w:sz w:val="28"/>
          <w:szCs w:val="28"/>
        </w:rPr>
        <w:t>). Прямий достовірний взаємозв’язок між ХС ЛПДНЩ та масою тіла, між КА та масою тіла, ІМТ. Крім того, з’ясовано позитивний взаємозв’язок між Апо В та всіма антропометричними параметрами, що вивчалися, а саме маса тіла, ІМТ, ОТ, ОС, індекс О</w:t>
      </w:r>
      <w:r w:rsidR="00C252D0" w:rsidRPr="007F5722">
        <w:rPr>
          <w:rFonts w:ascii="Times New Roman" w:eastAsia="Times New Roman" w:hAnsi="Times New Roman" w:cs="Times New Roman"/>
          <w:color w:val="000000"/>
          <w:sz w:val="28"/>
          <w:szCs w:val="28"/>
        </w:rPr>
        <w:t>Т/ОС.</w:t>
      </w:r>
    </w:p>
    <w:p w:rsidR="00F21472" w:rsidRPr="007F5722" w:rsidRDefault="00F21472" w:rsidP="00F21472">
      <w:pPr>
        <w:shd w:val="clear" w:color="auto" w:fill="FFFFFF"/>
        <w:spacing w:after="0" w:line="360" w:lineRule="auto"/>
        <w:ind w:firstLine="709"/>
        <w:jc w:val="right"/>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Таблиця 3.2.</w:t>
      </w:r>
      <w:r w:rsidR="00EE282C">
        <w:rPr>
          <w:rFonts w:ascii="Times New Roman" w:eastAsia="Times New Roman" w:hAnsi="Times New Roman" w:cs="Times New Roman"/>
          <w:color w:val="000000"/>
          <w:sz w:val="28"/>
          <w:szCs w:val="28"/>
        </w:rPr>
        <w:t>6</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67"/>
        <w:gridCol w:w="739"/>
        <w:gridCol w:w="749"/>
        <w:gridCol w:w="1086"/>
        <w:gridCol w:w="1086"/>
        <w:gridCol w:w="1230"/>
        <w:gridCol w:w="749"/>
        <w:gridCol w:w="1385"/>
        <w:gridCol w:w="764"/>
      </w:tblGrid>
      <w:tr w:rsidR="00F21472" w:rsidRPr="007F5722" w:rsidTr="00F21472">
        <w:trPr>
          <w:tblCellSpacing w:w="15" w:type="dxa"/>
        </w:trPr>
        <w:tc>
          <w:tcPr>
            <w:tcW w:w="0" w:type="auto"/>
            <w:gridSpan w:val="9"/>
            <w:tcBorders>
              <w:top w:val="nil"/>
              <w:left w:val="nil"/>
              <w:bottom w:val="nil"/>
              <w:right w:val="nil"/>
            </w:tcBorders>
            <w:noWrap/>
            <w:vAlign w:val="center"/>
            <w:hideMark/>
          </w:tcPr>
          <w:p w:rsidR="00F21472" w:rsidRPr="007F5722" w:rsidRDefault="00F21472" w:rsidP="00F21472">
            <w:pPr>
              <w:spacing w:after="0" w:line="240" w:lineRule="auto"/>
              <w:jc w:val="center"/>
              <w:rPr>
                <w:rFonts w:ascii="Times New Roman" w:eastAsia="Times New Roman" w:hAnsi="Times New Roman" w:cs="Times New Roman"/>
                <w:sz w:val="24"/>
                <w:szCs w:val="24"/>
                <w:lang w:val="ru-RU" w:eastAsia="ru-RU"/>
              </w:rPr>
            </w:pPr>
            <w:r w:rsidRPr="007F5722">
              <w:rPr>
                <w:rFonts w:ascii="Times New Roman" w:eastAsia="Times New Roman" w:hAnsi="Times New Roman" w:cs="Times New Roman"/>
                <w:color w:val="000000"/>
                <w:sz w:val="28"/>
                <w:szCs w:val="28"/>
              </w:rPr>
              <w:t>Кореляційні взаємозв</w:t>
            </w:r>
            <w:r w:rsidRPr="007F5722">
              <w:rPr>
                <w:rFonts w:ascii="Times New Roman" w:eastAsia="Times New Roman" w:hAnsi="Times New Roman" w:cs="Times New Roman"/>
                <w:color w:val="000000"/>
                <w:sz w:val="28"/>
                <w:szCs w:val="28"/>
                <w:lang w:val="ru-RU"/>
              </w:rPr>
              <w:t>’</w:t>
            </w:r>
            <w:r w:rsidRPr="007F5722">
              <w:rPr>
                <w:rFonts w:ascii="Times New Roman" w:eastAsia="Times New Roman" w:hAnsi="Times New Roman" w:cs="Times New Roman"/>
                <w:color w:val="000000"/>
                <w:sz w:val="28"/>
                <w:szCs w:val="28"/>
              </w:rPr>
              <w:t>язки між показниками ліпідного профілю з антропометричними та гемодинамічними показниками у жінок хворих на ГХ без АО</w:t>
            </w:r>
          </w:p>
        </w:tc>
      </w:tr>
      <w:tr w:rsidR="00F21472" w:rsidRPr="007F5722" w:rsidTr="00F21472">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jc w:val="center"/>
              <w:rPr>
                <w:rFonts w:ascii="Times New Roman" w:eastAsia="Times New Roman" w:hAnsi="Times New Roman" w:cs="Times New Roman"/>
                <w:b/>
                <w:bCs/>
                <w:sz w:val="24"/>
                <w:szCs w:val="24"/>
                <w:lang w:val="ru-RU" w:eastAsia="ru-RU"/>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DD42EA">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ЗХС</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DD42EA">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ТГ</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DD42EA">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ХС ЛПВЩ</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DD42EA">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ХС ЛПНЩ</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DD42EA">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ХС ЛПДНЩ</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DD42EA">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КА</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DD42EA">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 xml:space="preserve">ХС не-ЛПВЩ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DD42EA">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Апо В</w:t>
            </w:r>
          </w:p>
        </w:tc>
      </w:tr>
      <w:tr w:rsidR="00F21472" w:rsidRPr="007F5722" w:rsidTr="00F21472">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ЧСС</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-,2156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,0678</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-,2869</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-,1519</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,0678</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,1301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-,1199</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,1515</w:t>
            </w:r>
          </w:p>
        </w:tc>
      </w:tr>
      <w:tr w:rsidR="00F21472" w:rsidRPr="007F5722" w:rsidTr="00F21472">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jc w:val="center"/>
              <w:rPr>
                <w:rFonts w:ascii="Times New Roman" w:eastAsia="Times New Roman" w:hAnsi="Times New Roman" w:cs="Times New Roman"/>
                <w:b/>
                <w:bCs/>
                <w:sz w:val="24"/>
                <w:szCs w:val="24"/>
                <w:lang w:val="ru-RU" w:eastAsia="ru-RU"/>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p=,406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p=,796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p=,264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p=,561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p=,796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p=,619</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p=,647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p=,562</w:t>
            </w:r>
          </w:p>
        </w:tc>
      </w:tr>
      <w:tr w:rsidR="00F21472" w:rsidRPr="007F5722" w:rsidTr="00F21472">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САТ</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-,1370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,1469</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-,6284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,0369</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,1469</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,4239</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,0668</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,3775</w:t>
            </w:r>
          </w:p>
        </w:tc>
      </w:tr>
      <w:tr w:rsidR="00F21472" w:rsidRPr="007F5722" w:rsidTr="00F21472">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jc w:val="center"/>
              <w:rPr>
                <w:rFonts w:ascii="Times New Roman" w:eastAsia="Times New Roman" w:hAnsi="Times New Roman" w:cs="Times New Roman"/>
                <w:b/>
                <w:bCs/>
                <w:sz w:val="24"/>
                <w:szCs w:val="24"/>
                <w:lang w:val="ru-RU" w:eastAsia="ru-RU"/>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p=,600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p=,574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p=,007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p=,888</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p=,574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p=,090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p=,799</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p=,135</w:t>
            </w:r>
          </w:p>
        </w:tc>
      </w:tr>
      <w:tr w:rsidR="00F21472" w:rsidRPr="007F5722" w:rsidTr="00F21472">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ДАТ</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-,0993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,0779</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-,4945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,0482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,0779</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,2981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,0610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,2308</w:t>
            </w:r>
          </w:p>
        </w:tc>
      </w:tr>
      <w:tr w:rsidR="00F21472" w:rsidRPr="007F5722" w:rsidTr="00F21472">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jc w:val="center"/>
              <w:rPr>
                <w:rFonts w:ascii="Times New Roman" w:eastAsia="Times New Roman" w:hAnsi="Times New Roman" w:cs="Times New Roman"/>
                <w:b/>
                <w:bCs/>
                <w:sz w:val="24"/>
                <w:szCs w:val="24"/>
                <w:lang w:val="ru-RU" w:eastAsia="ru-RU"/>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p=,705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p=,766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p=,044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p=,854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p=,766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p=,245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p=,816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p=,373</w:t>
            </w:r>
          </w:p>
        </w:tc>
      </w:tr>
      <w:tr w:rsidR="00F21472" w:rsidRPr="007F5722" w:rsidTr="00F21472">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ПАТ</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-,1276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,1592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-,5549</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,0177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,1592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,4020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,0524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,3850</w:t>
            </w:r>
          </w:p>
        </w:tc>
      </w:tr>
      <w:tr w:rsidR="00F21472" w:rsidRPr="007F5722" w:rsidTr="00F21472">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jc w:val="center"/>
              <w:rPr>
                <w:rFonts w:ascii="Times New Roman" w:eastAsia="Times New Roman" w:hAnsi="Times New Roman" w:cs="Times New Roman"/>
                <w:b/>
                <w:bCs/>
                <w:sz w:val="24"/>
                <w:szCs w:val="24"/>
                <w:lang w:val="ru-RU" w:eastAsia="ru-RU"/>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p=,625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p=,542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p=,021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p=,946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p=,542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p=,110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p=,842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p=,127</w:t>
            </w:r>
          </w:p>
        </w:tc>
      </w:tr>
      <w:tr w:rsidR="00F21472" w:rsidRPr="007F5722" w:rsidTr="00F21472">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7B7014" w:rsidP="00F21472">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Тривалість АГ</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-,0478</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-,2286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,0602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-,0152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-,2286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-,0186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-,0662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,2046</w:t>
            </w:r>
          </w:p>
        </w:tc>
      </w:tr>
      <w:tr w:rsidR="00F21472" w:rsidRPr="007F5722" w:rsidTr="00F21472">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jc w:val="center"/>
              <w:rPr>
                <w:rFonts w:ascii="Times New Roman" w:eastAsia="Times New Roman" w:hAnsi="Times New Roman" w:cs="Times New Roman"/>
                <w:b/>
                <w:bCs/>
                <w:sz w:val="24"/>
                <w:szCs w:val="24"/>
                <w:lang w:val="ru-RU" w:eastAsia="ru-RU"/>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p=,856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p=,377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p=,819</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p=,954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p=,377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p=,944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p=,801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1472" w:rsidRPr="007F5722" w:rsidRDefault="00F21472" w:rsidP="00F21472">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p=,431</w:t>
            </w:r>
          </w:p>
        </w:tc>
      </w:tr>
      <w:tr w:rsidR="003E5A8D" w:rsidRPr="007F5722" w:rsidTr="00F21472">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Маса тіла</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,2445</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,5498</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-,6786</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,3709</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,5498</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,7354</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,4577</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,5664</w:t>
            </w:r>
          </w:p>
        </w:tc>
      </w:tr>
      <w:tr w:rsidR="003E5A8D" w:rsidRPr="007F5722" w:rsidTr="00F21472">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p=,344</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p=,022</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p=,003</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p=,143</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p=,022</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p=,001</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p=,065</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p=,018</w:t>
            </w:r>
          </w:p>
        </w:tc>
      </w:tr>
      <w:tr w:rsidR="003E5A8D" w:rsidRPr="007F5722" w:rsidTr="00F21472">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ІМТ</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,1830</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,2691</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-,5769</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,3392</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,2691</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,6431</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,3647</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,6974</w:t>
            </w:r>
          </w:p>
        </w:tc>
      </w:tr>
      <w:tr w:rsidR="003E5A8D" w:rsidRPr="007F5722" w:rsidTr="00F21472">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p=,482</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p=,296</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p=,015</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p=,183</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p=,296</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p=,005</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p=,150</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p=,002</w:t>
            </w:r>
          </w:p>
        </w:tc>
      </w:tr>
      <w:tr w:rsidR="003E5A8D" w:rsidRPr="007F5722" w:rsidTr="00F21472">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ОТ</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,1107</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,0507</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-,2575</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,2012</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,0507</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,3490</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,1912</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,6234</w:t>
            </w:r>
          </w:p>
        </w:tc>
      </w:tr>
      <w:tr w:rsidR="003E5A8D" w:rsidRPr="007F5722" w:rsidTr="00F21472">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p=,672</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p=,847</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p=,318</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p=,439</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p=,847</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p=,170</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p=,462</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p=,008</w:t>
            </w:r>
          </w:p>
        </w:tc>
      </w:tr>
      <w:tr w:rsidR="003E5A8D" w:rsidRPr="007F5722" w:rsidTr="00F21472">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ОС</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-,0570</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-,0209</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-,3540</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,0698</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-,0209</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,3037</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,0574</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,5446</w:t>
            </w:r>
          </w:p>
        </w:tc>
      </w:tr>
      <w:tr w:rsidR="003E5A8D" w:rsidRPr="007F5722" w:rsidTr="00F21472">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p=,828</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p=,937</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p=,163</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p=,790</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p=,937</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p=,236</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p=,827</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p=,024</w:t>
            </w:r>
          </w:p>
        </w:tc>
      </w:tr>
      <w:tr w:rsidR="003E5A8D" w:rsidRPr="007F5722" w:rsidTr="00F21472">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r w:rsidRPr="007F5722">
              <w:rPr>
                <w:rFonts w:ascii="Arial" w:eastAsia="Times New Roman" w:hAnsi="Arial" w:cs="Arial"/>
                <w:b/>
                <w:bCs/>
                <w:color w:val="000000"/>
                <w:sz w:val="20"/>
                <w:szCs w:val="20"/>
                <w:lang w:val="ru-RU" w:eastAsia="ru-RU"/>
              </w:rPr>
              <w:t>ОТ/ОС</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,2914</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,1363</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-,0455</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,3020</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,1363</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,2884</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,3009</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,5216</w:t>
            </w:r>
          </w:p>
        </w:tc>
      </w:tr>
      <w:tr w:rsidR="003E5A8D" w:rsidRPr="007F5722" w:rsidTr="00F21472">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jc w:val="center"/>
              <w:rPr>
                <w:rFonts w:ascii="Times New Roman" w:eastAsia="Times New Roman" w:hAnsi="Times New Roman" w:cs="Times New Roman"/>
                <w:b/>
                <w:bCs/>
                <w:sz w:val="24"/>
                <w:szCs w:val="24"/>
                <w:lang w:val="ru-RU" w:eastAsia="ru-RU"/>
              </w:rPr>
            </w:pP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p=,256</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p=,602</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p=,862</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p=,239</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p=,602</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p=,262</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sz w:val="24"/>
                <w:szCs w:val="24"/>
                <w:lang w:val="ru-RU" w:eastAsia="ru-RU"/>
              </w:rPr>
            </w:pPr>
            <w:r w:rsidRPr="007F5722">
              <w:rPr>
                <w:rFonts w:ascii="Arial" w:eastAsia="Times New Roman" w:hAnsi="Arial" w:cs="Arial"/>
                <w:color w:val="000000"/>
                <w:sz w:val="20"/>
                <w:szCs w:val="20"/>
                <w:lang w:val="ru-RU" w:eastAsia="ru-RU"/>
              </w:rPr>
              <w:t>p=,241</w:t>
            </w:r>
          </w:p>
        </w:tc>
        <w:tc>
          <w:tcPr>
            <w:tcW w:w="0" w:type="auto"/>
            <w:tcBorders>
              <w:top w:val="outset" w:sz="6" w:space="0" w:color="auto"/>
              <w:left w:val="outset" w:sz="6" w:space="0" w:color="auto"/>
              <w:bottom w:val="outset" w:sz="6" w:space="0" w:color="auto"/>
              <w:right w:val="outset" w:sz="6" w:space="0" w:color="auto"/>
            </w:tcBorders>
            <w:noWrap/>
            <w:vAlign w:val="center"/>
          </w:tcPr>
          <w:p w:rsidR="003E5A8D" w:rsidRPr="007F5722" w:rsidRDefault="003E5A8D" w:rsidP="003E5A8D">
            <w:pPr>
              <w:spacing w:after="0" w:line="240" w:lineRule="auto"/>
              <w:rPr>
                <w:rFonts w:ascii="Times New Roman" w:eastAsia="Times New Roman" w:hAnsi="Times New Roman" w:cs="Times New Roman"/>
                <w:b/>
                <w:sz w:val="24"/>
                <w:szCs w:val="24"/>
                <w:lang w:val="ru-RU" w:eastAsia="ru-RU"/>
              </w:rPr>
            </w:pPr>
            <w:r w:rsidRPr="007F5722">
              <w:rPr>
                <w:rFonts w:ascii="Arial" w:eastAsia="Times New Roman" w:hAnsi="Arial" w:cs="Arial"/>
                <w:b/>
                <w:sz w:val="20"/>
                <w:szCs w:val="20"/>
                <w:lang w:val="ru-RU" w:eastAsia="ru-RU"/>
              </w:rPr>
              <w:t>p=,032</w:t>
            </w:r>
          </w:p>
        </w:tc>
      </w:tr>
    </w:tbl>
    <w:p w:rsidR="00F21472" w:rsidRPr="007F5722" w:rsidRDefault="00F21472" w:rsidP="003E5A8D">
      <w:pPr>
        <w:shd w:val="clear" w:color="auto" w:fill="FFFFFF"/>
        <w:spacing w:after="0" w:line="360" w:lineRule="auto"/>
        <w:rPr>
          <w:rFonts w:ascii="Times New Roman" w:eastAsia="Times New Roman" w:hAnsi="Times New Roman" w:cs="Times New Roman"/>
          <w:color w:val="000000"/>
          <w:sz w:val="28"/>
          <w:szCs w:val="28"/>
        </w:rPr>
      </w:pPr>
    </w:p>
    <w:p w:rsidR="00F21472" w:rsidRPr="007F5722" w:rsidRDefault="00DD42EA" w:rsidP="00DD42EA">
      <w:pPr>
        <w:shd w:val="clear" w:color="auto" w:fill="FFFFFF"/>
        <w:spacing w:after="0" w:line="360" w:lineRule="auto"/>
        <w:ind w:firstLine="709"/>
        <w:jc w:val="both"/>
        <w:rPr>
          <w:rFonts w:ascii="Times New Roman" w:hAnsi="Times New Roman"/>
          <w:sz w:val="28"/>
          <w:szCs w:val="28"/>
        </w:rPr>
      </w:pPr>
      <w:r w:rsidRPr="007F5722">
        <w:rPr>
          <w:rFonts w:ascii="Times New Roman" w:hAnsi="Times New Roman"/>
          <w:sz w:val="28"/>
          <w:szCs w:val="28"/>
        </w:rPr>
        <w:t xml:space="preserve">Також нами були досліджені кореляційні зв’язки ІЛ-22 з показниками ліпідного </w:t>
      </w:r>
      <w:r w:rsidR="00EE282C">
        <w:rPr>
          <w:rFonts w:ascii="Times New Roman" w:hAnsi="Times New Roman"/>
          <w:sz w:val="28"/>
          <w:szCs w:val="28"/>
        </w:rPr>
        <w:t>профілю</w:t>
      </w:r>
      <w:r w:rsidRPr="007F5722">
        <w:rPr>
          <w:rFonts w:ascii="Times New Roman" w:hAnsi="Times New Roman"/>
          <w:sz w:val="28"/>
          <w:szCs w:val="28"/>
        </w:rPr>
        <w:t>. Ми отримали наступні результати</w:t>
      </w:r>
      <w:r w:rsidR="00C252D0" w:rsidRPr="007F5722">
        <w:rPr>
          <w:rFonts w:ascii="Times New Roman" w:hAnsi="Times New Roman"/>
          <w:sz w:val="28"/>
          <w:szCs w:val="28"/>
        </w:rPr>
        <w:t xml:space="preserve">: у пацієнток хворих на ГХ з АО достовірними були взаємозв’язки між ІЛ-22 та такими параметрами ліпідного </w:t>
      </w:r>
      <w:r w:rsidR="00EE282C">
        <w:rPr>
          <w:rFonts w:ascii="Times New Roman" w:hAnsi="Times New Roman"/>
          <w:sz w:val="28"/>
          <w:szCs w:val="28"/>
        </w:rPr>
        <w:t>спектру</w:t>
      </w:r>
      <w:r w:rsidR="00C252D0" w:rsidRPr="007F5722">
        <w:rPr>
          <w:rFonts w:ascii="Times New Roman" w:hAnsi="Times New Roman"/>
          <w:sz w:val="28"/>
          <w:szCs w:val="28"/>
        </w:rPr>
        <w:t xml:space="preserve"> як ЗХС, ТГ, ХС ЛПНЩ, ХС ЛПДНЩ, КА, ХС не-ЛПВЩ, </w:t>
      </w:r>
      <w:r w:rsidR="00C252D0" w:rsidRPr="007F5722">
        <w:rPr>
          <w:rFonts w:ascii="Times New Roman" w:hAnsi="Times New Roman"/>
          <w:sz w:val="28"/>
          <w:szCs w:val="28"/>
        </w:rPr>
        <w:lastRenderedPageBreak/>
        <w:t>Апо В, щодо взаємозв’язку між ІЛ-22 та ХС ЛПВЩ, то він виявився недостовірним (таблиця 3.2.</w:t>
      </w:r>
      <w:r w:rsidR="00EE282C">
        <w:rPr>
          <w:rFonts w:ascii="Times New Roman" w:hAnsi="Times New Roman"/>
          <w:sz w:val="28"/>
          <w:szCs w:val="28"/>
        </w:rPr>
        <w:t>7</w:t>
      </w:r>
      <w:r w:rsidR="00C252D0" w:rsidRPr="007F5722">
        <w:rPr>
          <w:rFonts w:ascii="Times New Roman" w:hAnsi="Times New Roman"/>
          <w:sz w:val="28"/>
          <w:szCs w:val="28"/>
        </w:rPr>
        <w:t>).</w:t>
      </w:r>
    </w:p>
    <w:p w:rsidR="00DD42EA" w:rsidRPr="007F5722" w:rsidRDefault="00DD42EA" w:rsidP="00DD42EA">
      <w:pPr>
        <w:shd w:val="clear" w:color="auto" w:fill="FFFFFF"/>
        <w:spacing w:after="0" w:line="360" w:lineRule="auto"/>
        <w:ind w:firstLine="709"/>
        <w:jc w:val="right"/>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Таблиця 3.2</w:t>
      </w:r>
      <w:r w:rsidR="00EE282C">
        <w:rPr>
          <w:rFonts w:ascii="Times New Roman" w:eastAsia="Times New Roman" w:hAnsi="Times New Roman" w:cs="Times New Roman"/>
          <w:color w:val="000000"/>
          <w:sz w:val="28"/>
          <w:szCs w:val="28"/>
        </w:rPr>
        <w:t>.7</w:t>
      </w:r>
    </w:p>
    <w:p w:rsidR="00174462" w:rsidRPr="007F5722" w:rsidRDefault="00174462" w:rsidP="0087410D">
      <w:pPr>
        <w:shd w:val="clear" w:color="auto" w:fill="FFFFFF"/>
        <w:spacing w:after="0" w:line="360" w:lineRule="auto"/>
        <w:ind w:firstLine="709"/>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Кореляційні взаємозв’язки між показниками ліпідного профілю з ІЛ-22 у жінок хворих на ГХ з АО</w:t>
      </w:r>
    </w:p>
    <w:tbl>
      <w:tblPr>
        <w:tblStyle w:val="a9"/>
        <w:tblW w:w="0" w:type="auto"/>
        <w:tblLook w:val="04A0" w:firstRow="1" w:lastRow="0" w:firstColumn="1" w:lastColumn="0" w:noHBand="0" w:noVBand="1"/>
      </w:tblPr>
      <w:tblGrid>
        <w:gridCol w:w="4106"/>
        <w:gridCol w:w="1985"/>
        <w:gridCol w:w="1701"/>
        <w:gridCol w:w="1553"/>
      </w:tblGrid>
      <w:tr w:rsidR="00DD42EA" w:rsidRPr="007F5722" w:rsidTr="003E5A8D">
        <w:trPr>
          <w:trHeight w:val="569"/>
        </w:trPr>
        <w:tc>
          <w:tcPr>
            <w:tcW w:w="4106" w:type="dxa"/>
          </w:tcPr>
          <w:p w:rsidR="00DD42EA" w:rsidRPr="007F5722" w:rsidRDefault="00DD42EA" w:rsidP="00DD42EA">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Показник</w:t>
            </w:r>
          </w:p>
        </w:tc>
        <w:tc>
          <w:tcPr>
            <w:tcW w:w="1985" w:type="dxa"/>
          </w:tcPr>
          <w:p w:rsidR="00DD42EA" w:rsidRPr="007F5722" w:rsidRDefault="00DD42EA" w:rsidP="00DD42EA">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N</w:t>
            </w:r>
          </w:p>
        </w:tc>
        <w:tc>
          <w:tcPr>
            <w:tcW w:w="1701" w:type="dxa"/>
          </w:tcPr>
          <w:p w:rsidR="00DD42EA" w:rsidRPr="007F5722" w:rsidRDefault="00DD42EA" w:rsidP="00DD42EA">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R</w:t>
            </w:r>
          </w:p>
        </w:tc>
        <w:tc>
          <w:tcPr>
            <w:tcW w:w="1553" w:type="dxa"/>
          </w:tcPr>
          <w:p w:rsidR="00DD42EA" w:rsidRPr="007F5722" w:rsidRDefault="00DD42EA" w:rsidP="00DD42EA">
            <w:pPr>
              <w:spacing w:after="0" w:line="360" w:lineRule="auto"/>
              <w:jc w:val="both"/>
              <w:rPr>
                <w:rFonts w:ascii="Times New Roman" w:eastAsia="Times New Roman" w:hAnsi="Times New Roman" w:cs="Times New Roman"/>
                <w:color w:val="000000"/>
                <w:sz w:val="28"/>
                <w:szCs w:val="28"/>
                <w:lang w:val="en-US"/>
              </w:rPr>
            </w:pPr>
            <w:r w:rsidRPr="007F5722">
              <w:rPr>
                <w:rFonts w:ascii="Times New Roman" w:eastAsia="Times New Roman" w:hAnsi="Times New Roman" w:cs="Times New Roman"/>
                <w:color w:val="000000"/>
                <w:sz w:val="28"/>
                <w:szCs w:val="28"/>
                <w:lang w:val="en-US"/>
              </w:rPr>
              <w:t>p-level</w:t>
            </w:r>
          </w:p>
        </w:tc>
      </w:tr>
      <w:tr w:rsidR="00DD42EA" w:rsidRPr="007F5722" w:rsidTr="003E5A8D">
        <w:trPr>
          <w:trHeight w:val="549"/>
        </w:trPr>
        <w:tc>
          <w:tcPr>
            <w:tcW w:w="4106" w:type="dxa"/>
          </w:tcPr>
          <w:p w:rsidR="00DD42EA" w:rsidRPr="007F5722" w:rsidRDefault="00DD42EA" w:rsidP="00DD42EA">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ЗХС&amp;ІЛ-22</w:t>
            </w:r>
          </w:p>
        </w:tc>
        <w:tc>
          <w:tcPr>
            <w:tcW w:w="1985" w:type="dxa"/>
          </w:tcPr>
          <w:p w:rsidR="00DD42EA" w:rsidRPr="007F5722" w:rsidRDefault="00DD7987" w:rsidP="00DD42EA">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46</w:t>
            </w:r>
          </w:p>
        </w:tc>
        <w:tc>
          <w:tcPr>
            <w:tcW w:w="1701" w:type="dxa"/>
          </w:tcPr>
          <w:p w:rsidR="00DD42EA" w:rsidRPr="007F5722" w:rsidRDefault="00DD42EA" w:rsidP="00DD42EA">
            <w:pPr>
              <w:spacing w:after="0" w:line="360" w:lineRule="auto"/>
              <w:jc w:val="both"/>
              <w:rPr>
                <w:rFonts w:ascii="Times New Roman" w:eastAsia="Times New Roman" w:hAnsi="Times New Roman" w:cs="Times New Roman"/>
                <w:b/>
                <w:color w:val="000000"/>
                <w:sz w:val="28"/>
                <w:szCs w:val="28"/>
                <w:lang w:val="ru-RU"/>
              </w:rPr>
            </w:pPr>
            <w:r w:rsidRPr="007F5722">
              <w:rPr>
                <w:rFonts w:ascii="Times New Roman" w:eastAsia="Times New Roman" w:hAnsi="Times New Roman" w:cs="Times New Roman"/>
                <w:b/>
                <w:color w:val="000000"/>
                <w:sz w:val="28"/>
                <w:szCs w:val="28"/>
                <w:lang w:val="ru-RU"/>
              </w:rPr>
              <w:t>0,5610</w:t>
            </w:r>
          </w:p>
        </w:tc>
        <w:tc>
          <w:tcPr>
            <w:tcW w:w="1553" w:type="dxa"/>
          </w:tcPr>
          <w:p w:rsidR="00DD42EA" w:rsidRPr="007F5722" w:rsidRDefault="00DD42EA" w:rsidP="00DD42EA">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lang w:val="ru-RU"/>
              </w:rPr>
              <w:t>0,001</w:t>
            </w:r>
          </w:p>
        </w:tc>
      </w:tr>
      <w:tr w:rsidR="00DD42EA" w:rsidRPr="007F5722" w:rsidTr="003E5A8D">
        <w:tc>
          <w:tcPr>
            <w:tcW w:w="4106" w:type="dxa"/>
          </w:tcPr>
          <w:p w:rsidR="00DD42EA" w:rsidRPr="007F5722" w:rsidRDefault="00DD42EA" w:rsidP="00DD42EA">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ТГ&amp;ІЛ-22</w:t>
            </w:r>
          </w:p>
        </w:tc>
        <w:tc>
          <w:tcPr>
            <w:tcW w:w="1985" w:type="dxa"/>
          </w:tcPr>
          <w:p w:rsidR="00DD42EA" w:rsidRPr="007F5722" w:rsidRDefault="00DD7987" w:rsidP="00DD42EA">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46</w:t>
            </w:r>
          </w:p>
        </w:tc>
        <w:tc>
          <w:tcPr>
            <w:tcW w:w="1701" w:type="dxa"/>
          </w:tcPr>
          <w:p w:rsidR="00DD42EA" w:rsidRPr="007F5722" w:rsidRDefault="00174462" w:rsidP="00DD42EA">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w:t>
            </w:r>
            <w:r w:rsidRPr="007F5722">
              <w:rPr>
                <w:rFonts w:ascii="Times New Roman" w:eastAsia="Times New Roman" w:hAnsi="Times New Roman" w:cs="Times New Roman"/>
                <w:b/>
                <w:color w:val="000000"/>
                <w:sz w:val="28"/>
                <w:szCs w:val="28"/>
                <w:lang w:val="ru-RU"/>
              </w:rPr>
              <w:t>,5362</w:t>
            </w:r>
          </w:p>
        </w:tc>
        <w:tc>
          <w:tcPr>
            <w:tcW w:w="1553" w:type="dxa"/>
          </w:tcPr>
          <w:p w:rsidR="00DD42EA" w:rsidRPr="007F5722" w:rsidRDefault="00DD42EA" w:rsidP="00DD42EA">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w:t>
            </w:r>
            <w:r w:rsidR="00174462" w:rsidRPr="007F5722">
              <w:rPr>
                <w:rFonts w:ascii="Times New Roman" w:eastAsia="Times New Roman" w:hAnsi="Times New Roman" w:cs="Times New Roman"/>
                <w:b/>
                <w:color w:val="000000"/>
                <w:sz w:val="28"/>
                <w:szCs w:val="28"/>
                <w:lang w:val="ru-RU"/>
              </w:rPr>
              <w:t>001</w:t>
            </w:r>
          </w:p>
        </w:tc>
      </w:tr>
      <w:tr w:rsidR="00DD42EA" w:rsidRPr="007F5722" w:rsidTr="003E5A8D">
        <w:tc>
          <w:tcPr>
            <w:tcW w:w="4106" w:type="dxa"/>
          </w:tcPr>
          <w:p w:rsidR="00DD42EA" w:rsidRPr="007F5722" w:rsidRDefault="003E5A8D" w:rsidP="00DD42EA">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ХС ЛПВЩ&amp;</w:t>
            </w:r>
            <w:r w:rsidR="00DD42EA" w:rsidRPr="007F5722">
              <w:rPr>
                <w:rFonts w:ascii="Times New Roman" w:eastAsia="Times New Roman" w:hAnsi="Times New Roman" w:cs="Times New Roman"/>
                <w:color w:val="000000"/>
                <w:sz w:val="28"/>
                <w:szCs w:val="28"/>
              </w:rPr>
              <w:t>ІЛ-22</w:t>
            </w:r>
          </w:p>
        </w:tc>
        <w:tc>
          <w:tcPr>
            <w:tcW w:w="1985" w:type="dxa"/>
          </w:tcPr>
          <w:p w:rsidR="00DD42EA" w:rsidRPr="007F5722" w:rsidRDefault="00DD7987" w:rsidP="00DD42EA">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46</w:t>
            </w:r>
          </w:p>
        </w:tc>
        <w:tc>
          <w:tcPr>
            <w:tcW w:w="1701" w:type="dxa"/>
          </w:tcPr>
          <w:p w:rsidR="00DD42EA" w:rsidRPr="007F5722" w:rsidRDefault="00174462" w:rsidP="00174462">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w:t>
            </w:r>
            <w:r w:rsidR="00DD42EA" w:rsidRPr="007F5722">
              <w:rPr>
                <w:rFonts w:ascii="Times New Roman" w:eastAsia="Times New Roman" w:hAnsi="Times New Roman" w:cs="Times New Roman"/>
                <w:color w:val="000000"/>
                <w:sz w:val="28"/>
                <w:szCs w:val="28"/>
              </w:rPr>
              <w:t>0,</w:t>
            </w:r>
            <w:r w:rsidRPr="007F5722">
              <w:rPr>
                <w:rFonts w:ascii="Times New Roman" w:eastAsia="Times New Roman" w:hAnsi="Times New Roman" w:cs="Times New Roman"/>
                <w:color w:val="000000"/>
                <w:sz w:val="28"/>
                <w:szCs w:val="28"/>
              </w:rPr>
              <w:t>1192</w:t>
            </w:r>
          </w:p>
        </w:tc>
        <w:tc>
          <w:tcPr>
            <w:tcW w:w="1553" w:type="dxa"/>
          </w:tcPr>
          <w:p w:rsidR="00DD42EA" w:rsidRPr="007F5722" w:rsidRDefault="00DD42EA" w:rsidP="00DD42EA">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w:t>
            </w:r>
            <w:r w:rsidR="00174462" w:rsidRPr="007F5722">
              <w:rPr>
                <w:rFonts w:ascii="Times New Roman" w:eastAsia="Times New Roman" w:hAnsi="Times New Roman" w:cs="Times New Roman"/>
                <w:color w:val="000000"/>
                <w:sz w:val="28"/>
                <w:szCs w:val="28"/>
                <w:lang w:val="ru-RU"/>
              </w:rPr>
              <w:t>502</w:t>
            </w:r>
          </w:p>
        </w:tc>
      </w:tr>
      <w:tr w:rsidR="00DD42EA" w:rsidRPr="007F5722" w:rsidTr="003E5A8D">
        <w:tc>
          <w:tcPr>
            <w:tcW w:w="4106" w:type="dxa"/>
          </w:tcPr>
          <w:p w:rsidR="00DD42EA" w:rsidRPr="007F5722" w:rsidRDefault="003E5A8D" w:rsidP="00DD42EA">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ХС ЛПНЩ&amp;</w:t>
            </w:r>
            <w:r w:rsidR="00DD42EA" w:rsidRPr="007F5722">
              <w:rPr>
                <w:rFonts w:ascii="Times New Roman" w:eastAsia="Times New Roman" w:hAnsi="Times New Roman" w:cs="Times New Roman"/>
                <w:color w:val="000000"/>
                <w:sz w:val="28"/>
                <w:szCs w:val="28"/>
              </w:rPr>
              <w:t>ІЛ-22</w:t>
            </w:r>
          </w:p>
        </w:tc>
        <w:tc>
          <w:tcPr>
            <w:tcW w:w="1985" w:type="dxa"/>
          </w:tcPr>
          <w:p w:rsidR="00DD42EA" w:rsidRPr="007F5722" w:rsidRDefault="00DD7987" w:rsidP="00DD42EA">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46</w:t>
            </w:r>
          </w:p>
        </w:tc>
        <w:tc>
          <w:tcPr>
            <w:tcW w:w="1701" w:type="dxa"/>
          </w:tcPr>
          <w:p w:rsidR="00DD42EA" w:rsidRPr="007F5722" w:rsidRDefault="00174462" w:rsidP="00DD42EA">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0,5751</w:t>
            </w:r>
          </w:p>
        </w:tc>
        <w:tc>
          <w:tcPr>
            <w:tcW w:w="1553" w:type="dxa"/>
          </w:tcPr>
          <w:p w:rsidR="00DD42EA" w:rsidRPr="007F5722" w:rsidRDefault="00174462" w:rsidP="00DD42EA">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b/>
                <w:color w:val="000000"/>
                <w:sz w:val="28"/>
                <w:szCs w:val="28"/>
              </w:rPr>
              <w:t>0,0001</w:t>
            </w:r>
          </w:p>
        </w:tc>
      </w:tr>
      <w:tr w:rsidR="00DD42EA" w:rsidRPr="007F5722" w:rsidTr="003E5A8D">
        <w:tc>
          <w:tcPr>
            <w:tcW w:w="4106" w:type="dxa"/>
          </w:tcPr>
          <w:p w:rsidR="00DD42EA" w:rsidRPr="007F5722" w:rsidRDefault="003E5A8D" w:rsidP="00DD42EA">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ХС ЛПДНЩ&amp;</w:t>
            </w:r>
            <w:r w:rsidR="00DD42EA" w:rsidRPr="007F5722">
              <w:rPr>
                <w:rFonts w:ascii="Times New Roman" w:eastAsia="Times New Roman" w:hAnsi="Times New Roman" w:cs="Times New Roman"/>
                <w:color w:val="000000"/>
                <w:sz w:val="28"/>
                <w:szCs w:val="28"/>
              </w:rPr>
              <w:t>ІЛ-22</w:t>
            </w:r>
          </w:p>
        </w:tc>
        <w:tc>
          <w:tcPr>
            <w:tcW w:w="1985" w:type="dxa"/>
          </w:tcPr>
          <w:p w:rsidR="00DD42EA" w:rsidRPr="007F5722" w:rsidRDefault="00DD7987" w:rsidP="00DD42EA">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46</w:t>
            </w:r>
          </w:p>
        </w:tc>
        <w:tc>
          <w:tcPr>
            <w:tcW w:w="1701" w:type="dxa"/>
          </w:tcPr>
          <w:p w:rsidR="00DD42EA" w:rsidRPr="007F5722" w:rsidRDefault="00DD42EA" w:rsidP="00DD42EA">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w:t>
            </w:r>
            <w:r w:rsidR="00174462" w:rsidRPr="007F5722">
              <w:rPr>
                <w:rFonts w:ascii="Times New Roman" w:eastAsia="Times New Roman" w:hAnsi="Times New Roman" w:cs="Times New Roman"/>
                <w:b/>
                <w:color w:val="000000"/>
                <w:sz w:val="28"/>
                <w:szCs w:val="28"/>
                <w:lang w:val="ru-RU"/>
              </w:rPr>
              <w:t>5362</w:t>
            </w:r>
          </w:p>
        </w:tc>
        <w:tc>
          <w:tcPr>
            <w:tcW w:w="1553" w:type="dxa"/>
          </w:tcPr>
          <w:p w:rsidR="00DD42EA" w:rsidRPr="007F5722" w:rsidRDefault="00174462" w:rsidP="00DD42EA">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0,00</w:t>
            </w:r>
            <w:r w:rsidR="00DD42EA" w:rsidRPr="007F5722">
              <w:rPr>
                <w:rFonts w:ascii="Times New Roman" w:eastAsia="Times New Roman" w:hAnsi="Times New Roman" w:cs="Times New Roman"/>
                <w:b/>
                <w:color w:val="000000"/>
                <w:sz w:val="28"/>
                <w:szCs w:val="28"/>
              </w:rPr>
              <w:t>1</w:t>
            </w:r>
          </w:p>
        </w:tc>
      </w:tr>
      <w:tr w:rsidR="00DD42EA" w:rsidRPr="007F5722" w:rsidTr="003E5A8D">
        <w:tc>
          <w:tcPr>
            <w:tcW w:w="4106" w:type="dxa"/>
          </w:tcPr>
          <w:p w:rsidR="00DD42EA" w:rsidRPr="007F5722" w:rsidRDefault="00DD42EA" w:rsidP="00DD42EA">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КА&amp;ІЛ-22</w:t>
            </w:r>
          </w:p>
        </w:tc>
        <w:tc>
          <w:tcPr>
            <w:tcW w:w="1985" w:type="dxa"/>
          </w:tcPr>
          <w:p w:rsidR="00DD42EA" w:rsidRPr="007F5722" w:rsidRDefault="00DD7987" w:rsidP="00DD42EA">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46</w:t>
            </w:r>
          </w:p>
        </w:tc>
        <w:tc>
          <w:tcPr>
            <w:tcW w:w="1701" w:type="dxa"/>
          </w:tcPr>
          <w:p w:rsidR="00DD42EA" w:rsidRPr="007F5722" w:rsidRDefault="00DD42EA" w:rsidP="00DD42EA">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w:t>
            </w:r>
            <w:r w:rsidR="00174462" w:rsidRPr="007F5722">
              <w:rPr>
                <w:rFonts w:ascii="Times New Roman" w:eastAsia="Times New Roman" w:hAnsi="Times New Roman" w:cs="Times New Roman"/>
                <w:b/>
                <w:color w:val="000000"/>
                <w:sz w:val="28"/>
                <w:szCs w:val="28"/>
                <w:lang w:val="ru-RU"/>
              </w:rPr>
              <w:t>5204</w:t>
            </w:r>
          </w:p>
        </w:tc>
        <w:tc>
          <w:tcPr>
            <w:tcW w:w="1553" w:type="dxa"/>
          </w:tcPr>
          <w:p w:rsidR="00DD42EA" w:rsidRPr="007F5722" w:rsidRDefault="00174462" w:rsidP="00DD42EA">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0,002</w:t>
            </w:r>
          </w:p>
        </w:tc>
      </w:tr>
      <w:tr w:rsidR="0087410D" w:rsidRPr="007F5722" w:rsidTr="003E5A8D">
        <w:tc>
          <w:tcPr>
            <w:tcW w:w="4106" w:type="dxa"/>
          </w:tcPr>
          <w:p w:rsidR="0087410D" w:rsidRPr="007F5722" w:rsidRDefault="003E5A8D" w:rsidP="00DD42EA">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ХС не-ЛПВЩ&amp;</w:t>
            </w:r>
            <w:r w:rsidR="0087410D" w:rsidRPr="007F5722">
              <w:rPr>
                <w:rFonts w:ascii="Times New Roman" w:eastAsia="Times New Roman" w:hAnsi="Times New Roman" w:cs="Times New Roman"/>
                <w:color w:val="000000"/>
                <w:sz w:val="28"/>
                <w:szCs w:val="28"/>
              </w:rPr>
              <w:t>ІЛ-22</w:t>
            </w:r>
          </w:p>
        </w:tc>
        <w:tc>
          <w:tcPr>
            <w:tcW w:w="1985" w:type="dxa"/>
          </w:tcPr>
          <w:p w:rsidR="0087410D" w:rsidRPr="007F5722" w:rsidRDefault="0087410D" w:rsidP="00DD42EA">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46</w:t>
            </w:r>
          </w:p>
        </w:tc>
        <w:tc>
          <w:tcPr>
            <w:tcW w:w="1701" w:type="dxa"/>
          </w:tcPr>
          <w:p w:rsidR="0087410D" w:rsidRPr="007F5722" w:rsidRDefault="0087410D" w:rsidP="00DD42EA">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w:t>
            </w:r>
            <w:r w:rsidRPr="007F5722">
              <w:rPr>
                <w:rFonts w:ascii="Times New Roman" w:eastAsia="Times New Roman" w:hAnsi="Times New Roman" w:cs="Times New Roman"/>
                <w:b/>
                <w:color w:val="000000"/>
                <w:sz w:val="28"/>
                <w:szCs w:val="28"/>
                <w:lang w:val="ru-RU"/>
              </w:rPr>
              <w:t>6275</w:t>
            </w:r>
          </w:p>
        </w:tc>
        <w:tc>
          <w:tcPr>
            <w:tcW w:w="1553" w:type="dxa"/>
          </w:tcPr>
          <w:p w:rsidR="0087410D" w:rsidRPr="007F5722" w:rsidRDefault="0087410D" w:rsidP="00DD42EA">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0,0001</w:t>
            </w:r>
          </w:p>
        </w:tc>
      </w:tr>
      <w:tr w:rsidR="0087410D" w:rsidRPr="007F5722" w:rsidTr="003E5A8D">
        <w:tc>
          <w:tcPr>
            <w:tcW w:w="4106" w:type="dxa"/>
          </w:tcPr>
          <w:p w:rsidR="0087410D" w:rsidRPr="007F5722" w:rsidRDefault="0087410D" w:rsidP="00DD42EA">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Апо В&amp;ІЛ-22</w:t>
            </w:r>
          </w:p>
        </w:tc>
        <w:tc>
          <w:tcPr>
            <w:tcW w:w="1985" w:type="dxa"/>
          </w:tcPr>
          <w:p w:rsidR="0087410D" w:rsidRPr="007F5722" w:rsidRDefault="0087410D" w:rsidP="00DD42EA">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46</w:t>
            </w:r>
          </w:p>
        </w:tc>
        <w:tc>
          <w:tcPr>
            <w:tcW w:w="1701" w:type="dxa"/>
          </w:tcPr>
          <w:p w:rsidR="0087410D" w:rsidRPr="007F5722" w:rsidRDefault="0087410D" w:rsidP="00DD42EA">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w:t>
            </w:r>
            <w:r w:rsidRPr="007F5722">
              <w:rPr>
                <w:rFonts w:ascii="Times New Roman" w:eastAsia="Times New Roman" w:hAnsi="Times New Roman" w:cs="Times New Roman"/>
                <w:b/>
                <w:sz w:val="28"/>
                <w:szCs w:val="28"/>
                <w:lang w:eastAsia="ru-RU"/>
              </w:rPr>
              <w:t>3703</w:t>
            </w:r>
          </w:p>
        </w:tc>
        <w:tc>
          <w:tcPr>
            <w:tcW w:w="1553" w:type="dxa"/>
          </w:tcPr>
          <w:p w:rsidR="0087410D" w:rsidRPr="007F5722" w:rsidRDefault="00D61A67" w:rsidP="00DD42EA">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0,0</w:t>
            </w:r>
            <w:r w:rsidR="0087410D" w:rsidRPr="007F5722">
              <w:rPr>
                <w:rFonts w:ascii="Times New Roman" w:eastAsia="Times New Roman" w:hAnsi="Times New Roman" w:cs="Times New Roman"/>
                <w:b/>
                <w:color w:val="000000"/>
                <w:sz w:val="28"/>
                <w:szCs w:val="28"/>
              </w:rPr>
              <w:t>01</w:t>
            </w:r>
          </w:p>
        </w:tc>
      </w:tr>
    </w:tbl>
    <w:p w:rsidR="0087410D" w:rsidRPr="007F5722" w:rsidRDefault="0087410D" w:rsidP="00174462">
      <w:pPr>
        <w:shd w:val="clear" w:color="auto" w:fill="FFFFFF"/>
        <w:spacing w:after="0" w:line="360" w:lineRule="auto"/>
        <w:ind w:firstLine="709"/>
        <w:jc w:val="right"/>
        <w:rPr>
          <w:rFonts w:ascii="Times New Roman" w:eastAsia="Times New Roman" w:hAnsi="Times New Roman" w:cs="Times New Roman"/>
          <w:color w:val="000000"/>
          <w:sz w:val="28"/>
          <w:szCs w:val="28"/>
        </w:rPr>
      </w:pPr>
    </w:p>
    <w:p w:rsidR="0087410D" w:rsidRPr="007F5722" w:rsidRDefault="0087410D" w:rsidP="0087410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У чоловіків цієї ж групи спостерігалася подібна тенденція, а саме наявність достовірних взаємозв’язків між ІЛ-22 та параметрами ліпідного спектру, окрім ХС ЛПВЩ (таблиця 3.2.</w:t>
      </w:r>
      <w:r w:rsidR="00EE282C">
        <w:rPr>
          <w:rFonts w:ascii="Times New Roman" w:eastAsia="Times New Roman" w:hAnsi="Times New Roman" w:cs="Times New Roman"/>
          <w:color w:val="000000"/>
          <w:sz w:val="28"/>
          <w:szCs w:val="28"/>
        </w:rPr>
        <w:t>8</w:t>
      </w:r>
      <w:r w:rsidRPr="007F5722">
        <w:rPr>
          <w:rFonts w:ascii="Times New Roman" w:eastAsia="Times New Roman" w:hAnsi="Times New Roman" w:cs="Times New Roman"/>
          <w:color w:val="000000"/>
          <w:sz w:val="28"/>
          <w:szCs w:val="28"/>
        </w:rPr>
        <w:t>).</w:t>
      </w:r>
    </w:p>
    <w:p w:rsidR="00174462" w:rsidRPr="007F5722" w:rsidRDefault="00174462" w:rsidP="00174462">
      <w:pPr>
        <w:shd w:val="clear" w:color="auto" w:fill="FFFFFF"/>
        <w:spacing w:after="0" w:line="360" w:lineRule="auto"/>
        <w:ind w:firstLine="709"/>
        <w:jc w:val="right"/>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Таблиця 3.2.</w:t>
      </w:r>
      <w:r w:rsidR="00EE282C">
        <w:rPr>
          <w:rFonts w:ascii="Times New Roman" w:eastAsia="Times New Roman" w:hAnsi="Times New Roman" w:cs="Times New Roman"/>
          <w:color w:val="000000"/>
          <w:sz w:val="28"/>
          <w:szCs w:val="28"/>
        </w:rPr>
        <w:t>8</w:t>
      </w:r>
    </w:p>
    <w:p w:rsidR="00174462" w:rsidRPr="007F5722" w:rsidRDefault="00174462" w:rsidP="0087410D">
      <w:pPr>
        <w:shd w:val="clear" w:color="auto" w:fill="FFFFFF"/>
        <w:spacing w:after="0" w:line="360" w:lineRule="auto"/>
        <w:ind w:firstLine="709"/>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Кореляційні взаємозв’язки між показниками ліпідного профілю з ІЛ-22 у чоловіків хворих на ГХ з АО</w:t>
      </w:r>
    </w:p>
    <w:tbl>
      <w:tblPr>
        <w:tblStyle w:val="a9"/>
        <w:tblW w:w="0" w:type="auto"/>
        <w:tblLook w:val="04A0" w:firstRow="1" w:lastRow="0" w:firstColumn="1" w:lastColumn="0" w:noHBand="0" w:noVBand="1"/>
      </w:tblPr>
      <w:tblGrid>
        <w:gridCol w:w="4106"/>
        <w:gridCol w:w="1985"/>
        <w:gridCol w:w="1701"/>
        <w:gridCol w:w="1553"/>
      </w:tblGrid>
      <w:tr w:rsidR="00174462" w:rsidRPr="007F5722" w:rsidTr="003E5A8D">
        <w:trPr>
          <w:trHeight w:val="675"/>
        </w:trPr>
        <w:tc>
          <w:tcPr>
            <w:tcW w:w="4106" w:type="dxa"/>
          </w:tcPr>
          <w:p w:rsidR="00174462" w:rsidRPr="007F5722" w:rsidRDefault="00174462"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Показник</w:t>
            </w:r>
          </w:p>
        </w:tc>
        <w:tc>
          <w:tcPr>
            <w:tcW w:w="1985" w:type="dxa"/>
          </w:tcPr>
          <w:p w:rsidR="00174462" w:rsidRPr="007F5722" w:rsidRDefault="00174462"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N</w:t>
            </w:r>
          </w:p>
        </w:tc>
        <w:tc>
          <w:tcPr>
            <w:tcW w:w="1701" w:type="dxa"/>
          </w:tcPr>
          <w:p w:rsidR="00174462" w:rsidRPr="007F5722" w:rsidRDefault="00174462"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R</w:t>
            </w:r>
          </w:p>
        </w:tc>
        <w:tc>
          <w:tcPr>
            <w:tcW w:w="1553" w:type="dxa"/>
          </w:tcPr>
          <w:p w:rsidR="00174462" w:rsidRPr="007F5722" w:rsidRDefault="00174462" w:rsidP="00686267">
            <w:pPr>
              <w:spacing w:after="0" w:line="360" w:lineRule="auto"/>
              <w:jc w:val="both"/>
              <w:rPr>
                <w:rFonts w:ascii="Times New Roman" w:eastAsia="Times New Roman" w:hAnsi="Times New Roman" w:cs="Times New Roman"/>
                <w:color w:val="000000"/>
                <w:sz w:val="28"/>
                <w:szCs w:val="28"/>
                <w:lang w:val="en-US"/>
              </w:rPr>
            </w:pPr>
            <w:r w:rsidRPr="007F5722">
              <w:rPr>
                <w:rFonts w:ascii="Times New Roman" w:eastAsia="Times New Roman" w:hAnsi="Times New Roman" w:cs="Times New Roman"/>
                <w:color w:val="000000"/>
                <w:sz w:val="28"/>
                <w:szCs w:val="28"/>
                <w:lang w:val="en-US"/>
              </w:rPr>
              <w:t>p-level</w:t>
            </w:r>
          </w:p>
        </w:tc>
      </w:tr>
      <w:tr w:rsidR="00174462" w:rsidRPr="007F5722" w:rsidTr="003E5A8D">
        <w:trPr>
          <w:trHeight w:val="549"/>
        </w:trPr>
        <w:tc>
          <w:tcPr>
            <w:tcW w:w="4106" w:type="dxa"/>
          </w:tcPr>
          <w:p w:rsidR="00174462" w:rsidRPr="007F5722" w:rsidRDefault="00174462"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ЗХС&amp;ІЛ-22</w:t>
            </w:r>
          </w:p>
        </w:tc>
        <w:tc>
          <w:tcPr>
            <w:tcW w:w="1985" w:type="dxa"/>
          </w:tcPr>
          <w:p w:rsidR="00174462" w:rsidRPr="007F5722" w:rsidRDefault="00DD7987"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12</w:t>
            </w:r>
          </w:p>
        </w:tc>
        <w:tc>
          <w:tcPr>
            <w:tcW w:w="1701" w:type="dxa"/>
          </w:tcPr>
          <w:p w:rsidR="00174462" w:rsidRPr="007F5722" w:rsidRDefault="00174462" w:rsidP="00686267">
            <w:pPr>
              <w:spacing w:after="0" w:line="360" w:lineRule="auto"/>
              <w:jc w:val="both"/>
              <w:rPr>
                <w:rFonts w:ascii="Times New Roman" w:eastAsia="Times New Roman" w:hAnsi="Times New Roman" w:cs="Times New Roman"/>
                <w:b/>
                <w:color w:val="000000"/>
                <w:sz w:val="28"/>
                <w:szCs w:val="28"/>
                <w:lang w:val="ru-RU"/>
              </w:rPr>
            </w:pPr>
            <w:r w:rsidRPr="007F5722">
              <w:rPr>
                <w:rFonts w:ascii="Times New Roman" w:eastAsia="Times New Roman" w:hAnsi="Times New Roman" w:cs="Times New Roman"/>
                <w:b/>
                <w:color w:val="000000"/>
                <w:sz w:val="28"/>
                <w:szCs w:val="28"/>
                <w:lang w:val="ru-RU"/>
              </w:rPr>
              <w:t>0,</w:t>
            </w:r>
            <w:r w:rsidR="00DD7987" w:rsidRPr="007F5722">
              <w:rPr>
                <w:rFonts w:ascii="Times New Roman" w:eastAsia="Times New Roman" w:hAnsi="Times New Roman" w:cs="Times New Roman"/>
                <w:b/>
                <w:color w:val="000000"/>
                <w:sz w:val="28"/>
                <w:szCs w:val="28"/>
                <w:lang w:val="ru-RU"/>
              </w:rPr>
              <w:t>7456</w:t>
            </w:r>
          </w:p>
        </w:tc>
        <w:tc>
          <w:tcPr>
            <w:tcW w:w="1553" w:type="dxa"/>
          </w:tcPr>
          <w:p w:rsidR="00174462" w:rsidRPr="007F5722" w:rsidRDefault="00174462" w:rsidP="00686267">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lang w:val="ru-RU"/>
              </w:rPr>
              <w:t>0</w:t>
            </w:r>
            <w:r w:rsidR="00DD7987" w:rsidRPr="007F5722">
              <w:rPr>
                <w:rFonts w:ascii="Times New Roman" w:eastAsia="Times New Roman" w:hAnsi="Times New Roman" w:cs="Times New Roman"/>
                <w:b/>
                <w:color w:val="000000"/>
                <w:sz w:val="28"/>
                <w:szCs w:val="28"/>
                <w:lang w:val="ru-RU"/>
              </w:rPr>
              <w:t>,02</w:t>
            </w:r>
            <w:r w:rsidRPr="007F5722">
              <w:rPr>
                <w:rFonts w:ascii="Times New Roman" w:eastAsia="Times New Roman" w:hAnsi="Times New Roman" w:cs="Times New Roman"/>
                <w:b/>
                <w:color w:val="000000"/>
                <w:sz w:val="28"/>
                <w:szCs w:val="28"/>
                <w:lang w:val="ru-RU"/>
              </w:rPr>
              <w:t>1</w:t>
            </w:r>
          </w:p>
        </w:tc>
      </w:tr>
      <w:tr w:rsidR="00174462" w:rsidRPr="007F5722" w:rsidTr="003E5A8D">
        <w:tc>
          <w:tcPr>
            <w:tcW w:w="4106" w:type="dxa"/>
          </w:tcPr>
          <w:p w:rsidR="00174462" w:rsidRPr="007F5722" w:rsidRDefault="00174462"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ТГ&amp;ІЛ-22</w:t>
            </w:r>
          </w:p>
        </w:tc>
        <w:tc>
          <w:tcPr>
            <w:tcW w:w="1985" w:type="dxa"/>
          </w:tcPr>
          <w:p w:rsidR="00174462" w:rsidRPr="007F5722" w:rsidRDefault="00DD7987"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12</w:t>
            </w:r>
          </w:p>
        </w:tc>
        <w:tc>
          <w:tcPr>
            <w:tcW w:w="1701" w:type="dxa"/>
          </w:tcPr>
          <w:p w:rsidR="00174462" w:rsidRPr="007F5722" w:rsidRDefault="00174462" w:rsidP="00686267">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w:t>
            </w:r>
            <w:r w:rsidRPr="007F5722">
              <w:rPr>
                <w:rFonts w:ascii="Times New Roman" w:eastAsia="Times New Roman" w:hAnsi="Times New Roman" w:cs="Times New Roman"/>
                <w:b/>
                <w:color w:val="000000"/>
                <w:sz w:val="28"/>
                <w:szCs w:val="28"/>
                <w:lang w:val="ru-RU"/>
              </w:rPr>
              <w:t>,</w:t>
            </w:r>
            <w:r w:rsidR="00DD7987" w:rsidRPr="007F5722">
              <w:rPr>
                <w:rFonts w:ascii="Times New Roman" w:eastAsia="Times New Roman" w:hAnsi="Times New Roman" w:cs="Times New Roman"/>
                <w:b/>
                <w:color w:val="000000"/>
                <w:sz w:val="28"/>
                <w:szCs w:val="28"/>
                <w:lang w:val="ru-RU"/>
              </w:rPr>
              <w:t>7392</w:t>
            </w:r>
          </w:p>
        </w:tc>
        <w:tc>
          <w:tcPr>
            <w:tcW w:w="1553" w:type="dxa"/>
          </w:tcPr>
          <w:p w:rsidR="00174462" w:rsidRPr="007F5722" w:rsidRDefault="00174462" w:rsidP="00686267">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w:t>
            </w:r>
            <w:r w:rsidR="00DD7987" w:rsidRPr="007F5722">
              <w:rPr>
                <w:rFonts w:ascii="Times New Roman" w:eastAsia="Times New Roman" w:hAnsi="Times New Roman" w:cs="Times New Roman"/>
                <w:b/>
                <w:color w:val="000000"/>
                <w:sz w:val="28"/>
                <w:szCs w:val="28"/>
                <w:lang w:val="ru-RU"/>
              </w:rPr>
              <w:t>023</w:t>
            </w:r>
          </w:p>
        </w:tc>
      </w:tr>
      <w:tr w:rsidR="00174462" w:rsidRPr="007F5722" w:rsidTr="003E5A8D">
        <w:tc>
          <w:tcPr>
            <w:tcW w:w="4106" w:type="dxa"/>
          </w:tcPr>
          <w:p w:rsidR="00174462" w:rsidRPr="007F5722" w:rsidRDefault="003E5A8D" w:rsidP="00686267">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ХС ЛПВЩ&amp;</w:t>
            </w:r>
            <w:r w:rsidR="00174462" w:rsidRPr="007F5722">
              <w:rPr>
                <w:rFonts w:ascii="Times New Roman" w:eastAsia="Times New Roman" w:hAnsi="Times New Roman" w:cs="Times New Roman"/>
                <w:color w:val="000000"/>
                <w:sz w:val="28"/>
                <w:szCs w:val="28"/>
              </w:rPr>
              <w:t>ІЛ-22</w:t>
            </w:r>
          </w:p>
        </w:tc>
        <w:tc>
          <w:tcPr>
            <w:tcW w:w="1985" w:type="dxa"/>
          </w:tcPr>
          <w:p w:rsidR="00174462" w:rsidRPr="007F5722" w:rsidRDefault="00DD7987"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12</w:t>
            </w:r>
          </w:p>
        </w:tc>
        <w:tc>
          <w:tcPr>
            <w:tcW w:w="1701" w:type="dxa"/>
          </w:tcPr>
          <w:p w:rsidR="00174462" w:rsidRPr="007F5722" w:rsidRDefault="00174462"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w:t>
            </w:r>
            <w:r w:rsidR="00DD7987" w:rsidRPr="007F5722">
              <w:rPr>
                <w:rFonts w:ascii="Times New Roman" w:eastAsia="Times New Roman" w:hAnsi="Times New Roman" w:cs="Times New Roman"/>
                <w:color w:val="000000"/>
                <w:sz w:val="28"/>
                <w:szCs w:val="28"/>
                <w:lang w:eastAsia="ru-RU"/>
              </w:rPr>
              <w:t>2696</w:t>
            </w:r>
          </w:p>
        </w:tc>
        <w:tc>
          <w:tcPr>
            <w:tcW w:w="1553" w:type="dxa"/>
          </w:tcPr>
          <w:p w:rsidR="00174462" w:rsidRPr="007F5722" w:rsidRDefault="00174462"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w:t>
            </w:r>
            <w:r w:rsidR="00DD7987" w:rsidRPr="007F5722">
              <w:rPr>
                <w:rFonts w:ascii="Times New Roman" w:eastAsia="Times New Roman" w:hAnsi="Times New Roman" w:cs="Times New Roman"/>
                <w:color w:val="000000"/>
                <w:sz w:val="28"/>
                <w:szCs w:val="28"/>
                <w:lang w:val="ru-RU"/>
              </w:rPr>
              <w:t>483</w:t>
            </w:r>
          </w:p>
        </w:tc>
      </w:tr>
      <w:tr w:rsidR="00174462" w:rsidRPr="007F5722" w:rsidTr="003E5A8D">
        <w:tc>
          <w:tcPr>
            <w:tcW w:w="4106" w:type="dxa"/>
          </w:tcPr>
          <w:p w:rsidR="00174462" w:rsidRPr="007F5722" w:rsidRDefault="003E5A8D" w:rsidP="00686267">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ХС ЛПНЩ&amp;</w:t>
            </w:r>
            <w:r w:rsidR="00174462" w:rsidRPr="007F5722">
              <w:rPr>
                <w:rFonts w:ascii="Times New Roman" w:eastAsia="Times New Roman" w:hAnsi="Times New Roman" w:cs="Times New Roman"/>
                <w:color w:val="000000"/>
                <w:sz w:val="28"/>
                <w:szCs w:val="28"/>
              </w:rPr>
              <w:t>ІЛ-22</w:t>
            </w:r>
          </w:p>
        </w:tc>
        <w:tc>
          <w:tcPr>
            <w:tcW w:w="1985" w:type="dxa"/>
          </w:tcPr>
          <w:p w:rsidR="00174462" w:rsidRPr="007F5722" w:rsidRDefault="00DD7987"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12</w:t>
            </w:r>
          </w:p>
        </w:tc>
        <w:tc>
          <w:tcPr>
            <w:tcW w:w="1701" w:type="dxa"/>
          </w:tcPr>
          <w:p w:rsidR="00174462" w:rsidRPr="007F5722" w:rsidRDefault="00174462" w:rsidP="00686267">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w:t>
            </w:r>
            <w:r w:rsidR="00DD7987" w:rsidRPr="007F5722">
              <w:rPr>
                <w:rFonts w:ascii="Times New Roman" w:eastAsia="Times New Roman" w:hAnsi="Times New Roman" w:cs="Times New Roman"/>
                <w:b/>
                <w:color w:val="000000"/>
                <w:sz w:val="28"/>
                <w:szCs w:val="28"/>
                <w:lang w:val="ru-RU"/>
              </w:rPr>
              <w:t>7530</w:t>
            </w:r>
          </w:p>
        </w:tc>
        <w:tc>
          <w:tcPr>
            <w:tcW w:w="1553" w:type="dxa"/>
          </w:tcPr>
          <w:p w:rsidR="00174462" w:rsidRPr="007F5722" w:rsidRDefault="00DD7987"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b/>
                <w:color w:val="000000"/>
                <w:sz w:val="28"/>
                <w:szCs w:val="28"/>
              </w:rPr>
              <w:t>0,0</w:t>
            </w:r>
            <w:r w:rsidR="00174462" w:rsidRPr="007F5722">
              <w:rPr>
                <w:rFonts w:ascii="Times New Roman" w:eastAsia="Times New Roman" w:hAnsi="Times New Roman" w:cs="Times New Roman"/>
                <w:b/>
                <w:color w:val="000000"/>
                <w:sz w:val="28"/>
                <w:szCs w:val="28"/>
              </w:rPr>
              <w:t>1</w:t>
            </w:r>
            <w:r w:rsidRPr="007F5722">
              <w:rPr>
                <w:rFonts w:ascii="Times New Roman" w:eastAsia="Times New Roman" w:hAnsi="Times New Roman" w:cs="Times New Roman"/>
                <w:b/>
                <w:color w:val="000000"/>
                <w:sz w:val="28"/>
                <w:szCs w:val="28"/>
              </w:rPr>
              <w:t>9</w:t>
            </w:r>
          </w:p>
        </w:tc>
      </w:tr>
      <w:tr w:rsidR="00174462" w:rsidRPr="007F5722" w:rsidTr="003E5A8D">
        <w:tc>
          <w:tcPr>
            <w:tcW w:w="4106" w:type="dxa"/>
          </w:tcPr>
          <w:p w:rsidR="00174462" w:rsidRPr="007F5722" w:rsidRDefault="003E5A8D" w:rsidP="00686267">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ХС ЛПДНЩ&amp;</w:t>
            </w:r>
            <w:r w:rsidR="00174462" w:rsidRPr="007F5722">
              <w:rPr>
                <w:rFonts w:ascii="Times New Roman" w:eastAsia="Times New Roman" w:hAnsi="Times New Roman" w:cs="Times New Roman"/>
                <w:color w:val="000000"/>
                <w:sz w:val="28"/>
                <w:szCs w:val="28"/>
              </w:rPr>
              <w:t>ІЛ-22</w:t>
            </w:r>
          </w:p>
        </w:tc>
        <w:tc>
          <w:tcPr>
            <w:tcW w:w="1985" w:type="dxa"/>
          </w:tcPr>
          <w:p w:rsidR="00174462" w:rsidRPr="007F5722" w:rsidRDefault="00DD7987"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12</w:t>
            </w:r>
          </w:p>
        </w:tc>
        <w:tc>
          <w:tcPr>
            <w:tcW w:w="1701" w:type="dxa"/>
          </w:tcPr>
          <w:p w:rsidR="00174462" w:rsidRPr="007F5722" w:rsidRDefault="00174462" w:rsidP="00686267">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w:t>
            </w:r>
            <w:r w:rsidR="00DD7987" w:rsidRPr="007F5722">
              <w:rPr>
                <w:rFonts w:ascii="Times New Roman" w:eastAsia="Times New Roman" w:hAnsi="Times New Roman" w:cs="Times New Roman"/>
                <w:b/>
                <w:color w:val="000000"/>
                <w:sz w:val="28"/>
                <w:szCs w:val="28"/>
                <w:lang w:val="ru-RU"/>
              </w:rPr>
              <w:t>7392</w:t>
            </w:r>
          </w:p>
        </w:tc>
        <w:tc>
          <w:tcPr>
            <w:tcW w:w="1553" w:type="dxa"/>
          </w:tcPr>
          <w:p w:rsidR="00174462" w:rsidRPr="007F5722" w:rsidRDefault="00DD7987" w:rsidP="00686267">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0,023</w:t>
            </w:r>
          </w:p>
        </w:tc>
      </w:tr>
      <w:tr w:rsidR="00174462" w:rsidRPr="007F5722" w:rsidTr="003E5A8D">
        <w:tc>
          <w:tcPr>
            <w:tcW w:w="4106" w:type="dxa"/>
          </w:tcPr>
          <w:p w:rsidR="00174462" w:rsidRPr="007F5722" w:rsidRDefault="00174462"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КА&amp;ІЛ-22</w:t>
            </w:r>
          </w:p>
        </w:tc>
        <w:tc>
          <w:tcPr>
            <w:tcW w:w="1985" w:type="dxa"/>
          </w:tcPr>
          <w:p w:rsidR="00174462" w:rsidRPr="007F5722" w:rsidRDefault="00DD7987"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12</w:t>
            </w:r>
          </w:p>
        </w:tc>
        <w:tc>
          <w:tcPr>
            <w:tcW w:w="1701" w:type="dxa"/>
          </w:tcPr>
          <w:p w:rsidR="00174462" w:rsidRPr="007F5722" w:rsidRDefault="00174462" w:rsidP="00686267">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w:t>
            </w:r>
            <w:r w:rsidR="00DD7987" w:rsidRPr="007F5722">
              <w:rPr>
                <w:rFonts w:ascii="Times New Roman" w:eastAsia="Times New Roman" w:hAnsi="Times New Roman" w:cs="Times New Roman"/>
                <w:b/>
                <w:color w:val="000000"/>
                <w:sz w:val="28"/>
                <w:szCs w:val="28"/>
                <w:lang w:val="ru-RU"/>
              </w:rPr>
              <w:t>7066</w:t>
            </w:r>
          </w:p>
        </w:tc>
        <w:tc>
          <w:tcPr>
            <w:tcW w:w="1553" w:type="dxa"/>
          </w:tcPr>
          <w:p w:rsidR="00174462" w:rsidRPr="007F5722" w:rsidRDefault="00DD7987" w:rsidP="00686267">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0,033</w:t>
            </w:r>
          </w:p>
        </w:tc>
      </w:tr>
    </w:tbl>
    <w:p w:rsidR="003E5A8D" w:rsidRDefault="003E5A8D"/>
    <w:p w:rsidR="003E5A8D" w:rsidRPr="003E5A8D" w:rsidRDefault="003E5A8D">
      <w:pPr>
        <w:rPr>
          <w:rFonts w:ascii="Times New Roman" w:hAnsi="Times New Roman" w:cs="Times New Roman"/>
          <w:sz w:val="28"/>
          <w:szCs w:val="28"/>
        </w:rPr>
      </w:pPr>
      <w:r w:rsidRPr="003E5A8D">
        <w:rPr>
          <w:rFonts w:ascii="Times New Roman" w:hAnsi="Times New Roman" w:cs="Times New Roman"/>
          <w:sz w:val="28"/>
          <w:szCs w:val="28"/>
        </w:rPr>
        <w:lastRenderedPageBreak/>
        <w:t>Продовження таблиці 3.2.8</w:t>
      </w:r>
    </w:p>
    <w:tbl>
      <w:tblPr>
        <w:tblStyle w:val="a9"/>
        <w:tblW w:w="0" w:type="auto"/>
        <w:tblLook w:val="04A0" w:firstRow="1" w:lastRow="0" w:firstColumn="1" w:lastColumn="0" w:noHBand="0" w:noVBand="1"/>
      </w:tblPr>
      <w:tblGrid>
        <w:gridCol w:w="4106"/>
        <w:gridCol w:w="1985"/>
        <w:gridCol w:w="1701"/>
        <w:gridCol w:w="1553"/>
      </w:tblGrid>
      <w:tr w:rsidR="003E5A8D" w:rsidRPr="007F5722" w:rsidTr="003E5A8D">
        <w:tc>
          <w:tcPr>
            <w:tcW w:w="4106" w:type="dxa"/>
          </w:tcPr>
          <w:p w:rsidR="003E5A8D" w:rsidRPr="007F5722" w:rsidRDefault="003E5A8D" w:rsidP="003E5A8D">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Показник</w:t>
            </w:r>
          </w:p>
        </w:tc>
        <w:tc>
          <w:tcPr>
            <w:tcW w:w="1985" w:type="dxa"/>
          </w:tcPr>
          <w:p w:rsidR="003E5A8D" w:rsidRPr="007F5722" w:rsidRDefault="003E5A8D" w:rsidP="003E5A8D">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N</w:t>
            </w:r>
          </w:p>
        </w:tc>
        <w:tc>
          <w:tcPr>
            <w:tcW w:w="1701" w:type="dxa"/>
          </w:tcPr>
          <w:p w:rsidR="003E5A8D" w:rsidRPr="007F5722" w:rsidRDefault="003E5A8D" w:rsidP="003E5A8D">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R</w:t>
            </w:r>
          </w:p>
        </w:tc>
        <w:tc>
          <w:tcPr>
            <w:tcW w:w="1553" w:type="dxa"/>
          </w:tcPr>
          <w:p w:rsidR="003E5A8D" w:rsidRPr="007F5722" w:rsidRDefault="003E5A8D" w:rsidP="003E5A8D">
            <w:pPr>
              <w:spacing w:after="0" w:line="360" w:lineRule="auto"/>
              <w:jc w:val="both"/>
              <w:rPr>
                <w:rFonts w:ascii="Times New Roman" w:eastAsia="Times New Roman" w:hAnsi="Times New Roman" w:cs="Times New Roman"/>
                <w:color w:val="000000"/>
                <w:sz w:val="28"/>
                <w:szCs w:val="28"/>
                <w:lang w:val="en-US"/>
              </w:rPr>
            </w:pPr>
            <w:r w:rsidRPr="007F5722">
              <w:rPr>
                <w:rFonts w:ascii="Times New Roman" w:eastAsia="Times New Roman" w:hAnsi="Times New Roman" w:cs="Times New Roman"/>
                <w:color w:val="000000"/>
                <w:sz w:val="28"/>
                <w:szCs w:val="28"/>
                <w:lang w:val="en-US"/>
              </w:rPr>
              <w:t>p-level</w:t>
            </w:r>
          </w:p>
        </w:tc>
      </w:tr>
      <w:tr w:rsidR="003E5A8D" w:rsidRPr="007F5722" w:rsidTr="003E5A8D">
        <w:tc>
          <w:tcPr>
            <w:tcW w:w="4106" w:type="dxa"/>
          </w:tcPr>
          <w:p w:rsidR="003E5A8D" w:rsidRPr="007F5722" w:rsidRDefault="003E5A8D" w:rsidP="003E5A8D">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ХС не-ЛПВЩ&amp;</w:t>
            </w:r>
            <w:r w:rsidRPr="007F5722">
              <w:rPr>
                <w:rFonts w:ascii="Times New Roman" w:eastAsia="Times New Roman" w:hAnsi="Times New Roman" w:cs="Times New Roman"/>
                <w:color w:val="000000"/>
                <w:sz w:val="28"/>
                <w:szCs w:val="28"/>
              </w:rPr>
              <w:t>ІЛ-22</w:t>
            </w:r>
          </w:p>
        </w:tc>
        <w:tc>
          <w:tcPr>
            <w:tcW w:w="1985" w:type="dxa"/>
          </w:tcPr>
          <w:p w:rsidR="003E5A8D" w:rsidRPr="007F5722" w:rsidRDefault="003E5A8D" w:rsidP="003E5A8D">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12</w:t>
            </w:r>
          </w:p>
        </w:tc>
        <w:tc>
          <w:tcPr>
            <w:tcW w:w="1701" w:type="dxa"/>
          </w:tcPr>
          <w:p w:rsidR="003E5A8D" w:rsidRPr="007F5722" w:rsidRDefault="003E5A8D" w:rsidP="003E5A8D">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w:t>
            </w:r>
            <w:r w:rsidRPr="007F5722">
              <w:rPr>
                <w:rFonts w:ascii="Times New Roman" w:eastAsia="Times New Roman" w:hAnsi="Times New Roman" w:cs="Times New Roman"/>
                <w:b/>
                <w:color w:val="000000"/>
                <w:sz w:val="28"/>
                <w:szCs w:val="28"/>
                <w:lang w:val="ru-RU"/>
              </w:rPr>
              <w:t>7692</w:t>
            </w:r>
          </w:p>
        </w:tc>
        <w:tc>
          <w:tcPr>
            <w:tcW w:w="1553" w:type="dxa"/>
          </w:tcPr>
          <w:p w:rsidR="003E5A8D" w:rsidRPr="007F5722" w:rsidRDefault="003E5A8D" w:rsidP="003E5A8D">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0,015</w:t>
            </w:r>
          </w:p>
        </w:tc>
      </w:tr>
      <w:tr w:rsidR="003E5A8D" w:rsidRPr="007F5722" w:rsidTr="003E5A8D">
        <w:tc>
          <w:tcPr>
            <w:tcW w:w="4106" w:type="dxa"/>
          </w:tcPr>
          <w:p w:rsidR="003E5A8D" w:rsidRPr="007F5722" w:rsidRDefault="003E5A8D" w:rsidP="003E5A8D">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Апо В&amp;ІЛ-22</w:t>
            </w:r>
          </w:p>
        </w:tc>
        <w:tc>
          <w:tcPr>
            <w:tcW w:w="1985" w:type="dxa"/>
          </w:tcPr>
          <w:p w:rsidR="003E5A8D" w:rsidRPr="007F5722" w:rsidRDefault="003E5A8D" w:rsidP="003E5A8D">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12</w:t>
            </w:r>
          </w:p>
        </w:tc>
        <w:tc>
          <w:tcPr>
            <w:tcW w:w="1701" w:type="dxa"/>
          </w:tcPr>
          <w:p w:rsidR="003E5A8D" w:rsidRPr="007F5722" w:rsidRDefault="003E5A8D" w:rsidP="003E5A8D">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w:t>
            </w:r>
            <w:r w:rsidRPr="007F5722">
              <w:rPr>
                <w:rFonts w:ascii="Times New Roman" w:eastAsia="Times New Roman" w:hAnsi="Times New Roman" w:cs="Times New Roman"/>
                <w:b/>
                <w:sz w:val="28"/>
                <w:szCs w:val="28"/>
                <w:lang w:val="ru-RU" w:eastAsia="ru-RU"/>
              </w:rPr>
              <w:t>8172</w:t>
            </w:r>
          </w:p>
        </w:tc>
        <w:tc>
          <w:tcPr>
            <w:tcW w:w="1553" w:type="dxa"/>
          </w:tcPr>
          <w:p w:rsidR="003E5A8D" w:rsidRPr="007F5722" w:rsidRDefault="003E5A8D" w:rsidP="003E5A8D">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0,007</w:t>
            </w:r>
          </w:p>
        </w:tc>
      </w:tr>
    </w:tbl>
    <w:p w:rsidR="00DD7987" w:rsidRPr="007F5722" w:rsidRDefault="00DD7987" w:rsidP="00DD7987">
      <w:pPr>
        <w:shd w:val="clear" w:color="auto" w:fill="FFFFFF"/>
        <w:spacing w:after="0" w:line="360" w:lineRule="auto"/>
        <w:ind w:firstLine="709"/>
        <w:jc w:val="right"/>
        <w:rPr>
          <w:rFonts w:ascii="Times New Roman" w:eastAsia="Times New Roman" w:hAnsi="Times New Roman" w:cs="Times New Roman"/>
          <w:color w:val="000000"/>
          <w:sz w:val="28"/>
          <w:szCs w:val="28"/>
        </w:rPr>
      </w:pPr>
    </w:p>
    <w:p w:rsidR="00DD7987" w:rsidRPr="007F5722" w:rsidRDefault="0087410D" w:rsidP="0087410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 xml:space="preserve">За результатами проведеного нами кореляційного аналізу у групі хворих на ГХ без АО з’ясовано значно меншу кількість достовірних взаємозв’язків між ІЛ-22 та показниками ліпідного профілю. Так, </w:t>
      </w:r>
      <w:r w:rsidR="00C7732D" w:rsidRPr="007F5722">
        <w:rPr>
          <w:rFonts w:ascii="Times New Roman" w:eastAsia="Times New Roman" w:hAnsi="Times New Roman" w:cs="Times New Roman"/>
          <w:color w:val="000000"/>
          <w:sz w:val="28"/>
          <w:szCs w:val="28"/>
        </w:rPr>
        <w:t>у</w:t>
      </w:r>
      <w:r w:rsidRPr="007F5722">
        <w:rPr>
          <w:rFonts w:ascii="Times New Roman" w:eastAsia="Times New Roman" w:hAnsi="Times New Roman" w:cs="Times New Roman"/>
          <w:color w:val="000000"/>
          <w:sz w:val="28"/>
          <w:szCs w:val="28"/>
        </w:rPr>
        <w:t xml:space="preserve"> жінок достовірним зворотнього напрямку були зв’язки </w:t>
      </w:r>
      <w:r w:rsidR="000909B1" w:rsidRPr="007F5722">
        <w:rPr>
          <w:rFonts w:ascii="Times New Roman" w:eastAsia="Times New Roman" w:hAnsi="Times New Roman" w:cs="Times New Roman"/>
          <w:color w:val="000000"/>
          <w:sz w:val="28"/>
          <w:szCs w:val="28"/>
        </w:rPr>
        <w:t>між ІЛ-22 та ХС ЛПВЩ, прямі зв’язки між ІЛ-22 та КА, Апо В (таблиця 3.2.</w:t>
      </w:r>
      <w:r w:rsidR="00EE282C">
        <w:rPr>
          <w:rFonts w:ascii="Times New Roman" w:eastAsia="Times New Roman" w:hAnsi="Times New Roman" w:cs="Times New Roman"/>
          <w:color w:val="000000"/>
          <w:sz w:val="28"/>
          <w:szCs w:val="28"/>
        </w:rPr>
        <w:t>9</w:t>
      </w:r>
      <w:r w:rsidR="000909B1" w:rsidRPr="007F5722">
        <w:rPr>
          <w:rFonts w:ascii="Times New Roman" w:eastAsia="Times New Roman" w:hAnsi="Times New Roman" w:cs="Times New Roman"/>
          <w:color w:val="000000"/>
          <w:sz w:val="28"/>
          <w:szCs w:val="28"/>
        </w:rPr>
        <w:t>).</w:t>
      </w:r>
    </w:p>
    <w:p w:rsidR="00DD7987" w:rsidRPr="007F5722" w:rsidRDefault="00DD7987" w:rsidP="00DD7987">
      <w:pPr>
        <w:shd w:val="clear" w:color="auto" w:fill="FFFFFF"/>
        <w:spacing w:after="0" w:line="360" w:lineRule="auto"/>
        <w:ind w:firstLine="709"/>
        <w:jc w:val="right"/>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Таблиця 3.2.</w:t>
      </w:r>
      <w:r w:rsidR="00EE282C">
        <w:rPr>
          <w:rFonts w:ascii="Times New Roman" w:eastAsia="Times New Roman" w:hAnsi="Times New Roman" w:cs="Times New Roman"/>
          <w:color w:val="000000"/>
          <w:sz w:val="28"/>
          <w:szCs w:val="28"/>
        </w:rPr>
        <w:t>9</w:t>
      </w:r>
    </w:p>
    <w:p w:rsidR="00174462" w:rsidRPr="007F5722" w:rsidRDefault="00DD7987" w:rsidP="00EE282C">
      <w:pPr>
        <w:shd w:val="clear" w:color="auto" w:fill="FFFFFF"/>
        <w:spacing w:after="0" w:line="360" w:lineRule="auto"/>
        <w:ind w:firstLine="709"/>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Кореляційні взаємозв’язки між показниками ліпідного профілю з ІЛ-22 у жінок хворих на ГХ без АО</w:t>
      </w:r>
    </w:p>
    <w:tbl>
      <w:tblPr>
        <w:tblStyle w:val="a9"/>
        <w:tblW w:w="0" w:type="auto"/>
        <w:tblLook w:val="04A0" w:firstRow="1" w:lastRow="0" w:firstColumn="1" w:lastColumn="0" w:noHBand="0" w:noVBand="1"/>
      </w:tblPr>
      <w:tblGrid>
        <w:gridCol w:w="4106"/>
        <w:gridCol w:w="1985"/>
        <w:gridCol w:w="1701"/>
        <w:gridCol w:w="1553"/>
      </w:tblGrid>
      <w:tr w:rsidR="00DD7987" w:rsidRPr="007F5722" w:rsidTr="003E5A8D">
        <w:trPr>
          <w:trHeight w:val="675"/>
        </w:trPr>
        <w:tc>
          <w:tcPr>
            <w:tcW w:w="4106" w:type="dxa"/>
          </w:tcPr>
          <w:p w:rsidR="00DD7987" w:rsidRPr="007F5722" w:rsidRDefault="00DD7987"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Показник</w:t>
            </w:r>
          </w:p>
        </w:tc>
        <w:tc>
          <w:tcPr>
            <w:tcW w:w="1985" w:type="dxa"/>
          </w:tcPr>
          <w:p w:rsidR="00DD7987" w:rsidRPr="007F5722" w:rsidRDefault="00DD7987"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N</w:t>
            </w:r>
          </w:p>
        </w:tc>
        <w:tc>
          <w:tcPr>
            <w:tcW w:w="1701" w:type="dxa"/>
          </w:tcPr>
          <w:p w:rsidR="00DD7987" w:rsidRPr="007F5722" w:rsidRDefault="00DD7987"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R</w:t>
            </w:r>
          </w:p>
        </w:tc>
        <w:tc>
          <w:tcPr>
            <w:tcW w:w="1553" w:type="dxa"/>
          </w:tcPr>
          <w:p w:rsidR="00DD7987" w:rsidRPr="007F5722" w:rsidRDefault="00DD7987" w:rsidP="00686267">
            <w:pPr>
              <w:spacing w:after="0" w:line="360" w:lineRule="auto"/>
              <w:jc w:val="both"/>
              <w:rPr>
                <w:rFonts w:ascii="Times New Roman" w:eastAsia="Times New Roman" w:hAnsi="Times New Roman" w:cs="Times New Roman"/>
                <w:color w:val="000000"/>
                <w:sz w:val="28"/>
                <w:szCs w:val="28"/>
                <w:lang w:val="en-US"/>
              </w:rPr>
            </w:pPr>
            <w:r w:rsidRPr="007F5722">
              <w:rPr>
                <w:rFonts w:ascii="Times New Roman" w:eastAsia="Times New Roman" w:hAnsi="Times New Roman" w:cs="Times New Roman"/>
                <w:color w:val="000000"/>
                <w:sz w:val="28"/>
                <w:szCs w:val="28"/>
                <w:lang w:val="en-US"/>
              </w:rPr>
              <w:t>p-level</w:t>
            </w:r>
          </w:p>
        </w:tc>
      </w:tr>
      <w:tr w:rsidR="00DD7987" w:rsidRPr="007F5722" w:rsidTr="003E5A8D">
        <w:trPr>
          <w:trHeight w:val="549"/>
        </w:trPr>
        <w:tc>
          <w:tcPr>
            <w:tcW w:w="4106" w:type="dxa"/>
          </w:tcPr>
          <w:p w:rsidR="00DD7987" w:rsidRPr="007F5722" w:rsidRDefault="00DD7987"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ЗХС&amp;ІЛ-22</w:t>
            </w:r>
          </w:p>
        </w:tc>
        <w:tc>
          <w:tcPr>
            <w:tcW w:w="1985" w:type="dxa"/>
          </w:tcPr>
          <w:p w:rsidR="00DD7987" w:rsidRPr="007F5722" w:rsidRDefault="00DD7987"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29</w:t>
            </w:r>
          </w:p>
        </w:tc>
        <w:tc>
          <w:tcPr>
            <w:tcW w:w="1701" w:type="dxa"/>
          </w:tcPr>
          <w:p w:rsidR="00DD7987" w:rsidRPr="007F5722" w:rsidRDefault="00DD7987" w:rsidP="00686267">
            <w:pPr>
              <w:spacing w:after="0" w:line="360" w:lineRule="auto"/>
              <w:jc w:val="both"/>
              <w:rPr>
                <w:rFonts w:ascii="Times New Roman" w:eastAsia="Times New Roman" w:hAnsi="Times New Roman" w:cs="Times New Roman"/>
                <w:color w:val="000000"/>
                <w:sz w:val="28"/>
                <w:szCs w:val="28"/>
                <w:lang w:val="ru-RU"/>
              </w:rPr>
            </w:pPr>
            <w:r w:rsidRPr="007F5722">
              <w:rPr>
                <w:rFonts w:ascii="Times New Roman" w:eastAsia="Times New Roman" w:hAnsi="Times New Roman" w:cs="Times New Roman"/>
                <w:color w:val="000000"/>
                <w:sz w:val="28"/>
                <w:szCs w:val="28"/>
                <w:lang w:val="ru-RU"/>
              </w:rPr>
              <w:t>0,0788</w:t>
            </w:r>
          </w:p>
        </w:tc>
        <w:tc>
          <w:tcPr>
            <w:tcW w:w="1553" w:type="dxa"/>
          </w:tcPr>
          <w:p w:rsidR="00DD7987" w:rsidRPr="007F5722" w:rsidRDefault="00DD7987"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lang w:val="ru-RU"/>
              </w:rPr>
              <w:t>0,764</w:t>
            </w:r>
          </w:p>
        </w:tc>
      </w:tr>
      <w:tr w:rsidR="00DD7987" w:rsidRPr="007F5722" w:rsidTr="003E5A8D">
        <w:trPr>
          <w:trHeight w:val="581"/>
        </w:trPr>
        <w:tc>
          <w:tcPr>
            <w:tcW w:w="4106" w:type="dxa"/>
          </w:tcPr>
          <w:p w:rsidR="00DD7987" w:rsidRPr="007F5722" w:rsidRDefault="00DD7987"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ТГ&amp;ІЛ-22</w:t>
            </w:r>
          </w:p>
        </w:tc>
        <w:tc>
          <w:tcPr>
            <w:tcW w:w="1985" w:type="dxa"/>
          </w:tcPr>
          <w:p w:rsidR="00DD7987" w:rsidRPr="007F5722" w:rsidRDefault="00DD7987"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29</w:t>
            </w:r>
          </w:p>
        </w:tc>
        <w:tc>
          <w:tcPr>
            <w:tcW w:w="1701" w:type="dxa"/>
          </w:tcPr>
          <w:p w:rsidR="00DD7987" w:rsidRPr="007F5722" w:rsidRDefault="00DD7987"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w:t>
            </w:r>
            <w:r w:rsidRPr="007F5722">
              <w:rPr>
                <w:rFonts w:ascii="Times New Roman" w:eastAsia="Times New Roman" w:hAnsi="Times New Roman" w:cs="Times New Roman"/>
                <w:color w:val="000000"/>
                <w:sz w:val="28"/>
                <w:szCs w:val="28"/>
                <w:lang w:val="ru-RU"/>
              </w:rPr>
              <w:t>,3651</w:t>
            </w:r>
          </w:p>
        </w:tc>
        <w:tc>
          <w:tcPr>
            <w:tcW w:w="1553" w:type="dxa"/>
          </w:tcPr>
          <w:p w:rsidR="00DD7987" w:rsidRPr="007F5722" w:rsidRDefault="00DD7987" w:rsidP="00DD798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w:t>
            </w:r>
            <w:r w:rsidRPr="007F5722">
              <w:rPr>
                <w:rFonts w:ascii="Times New Roman" w:eastAsia="Times New Roman" w:hAnsi="Times New Roman" w:cs="Times New Roman"/>
                <w:color w:val="000000"/>
                <w:sz w:val="28"/>
                <w:szCs w:val="28"/>
                <w:lang w:val="ru-RU"/>
              </w:rPr>
              <w:t>150</w:t>
            </w:r>
          </w:p>
        </w:tc>
      </w:tr>
      <w:tr w:rsidR="00DD7987" w:rsidRPr="007F5722" w:rsidTr="003E5A8D">
        <w:tc>
          <w:tcPr>
            <w:tcW w:w="4106" w:type="dxa"/>
          </w:tcPr>
          <w:p w:rsidR="00DD7987" w:rsidRPr="007F5722" w:rsidRDefault="003E5A8D" w:rsidP="00686267">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ХС ЛПВЩ&amp;</w:t>
            </w:r>
            <w:r w:rsidR="00DD7987" w:rsidRPr="007F5722">
              <w:rPr>
                <w:rFonts w:ascii="Times New Roman" w:eastAsia="Times New Roman" w:hAnsi="Times New Roman" w:cs="Times New Roman"/>
                <w:color w:val="000000"/>
                <w:sz w:val="28"/>
                <w:szCs w:val="28"/>
              </w:rPr>
              <w:t>ІЛ-22</w:t>
            </w:r>
          </w:p>
        </w:tc>
        <w:tc>
          <w:tcPr>
            <w:tcW w:w="1985" w:type="dxa"/>
          </w:tcPr>
          <w:p w:rsidR="00DD7987" w:rsidRPr="007F5722" w:rsidRDefault="00DD7987"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29</w:t>
            </w:r>
          </w:p>
        </w:tc>
        <w:tc>
          <w:tcPr>
            <w:tcW w:w="1701" w:type="dxa"/>
          </w:tcPr>
          <w:p w:rsidR="00DD7987" w:rsidRPr="007F5722" w:rsidRDefault="00DD7987" w:rsidP="00686267">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w:t>
            </w:r>
            <w:r w:rsidRPr="007F5722">
              <w:rPr>
                <w:rFonts w:ascii="Times New Roman" w:eastAsia="Times New Roman" w:hAnsi="Times New Roman" w:cs="Times New Roman"/>
                <w:b/>
                <w:color w:val="000000"/>
                <w:sz w:val="28"/>
                <w:szCs w:val="28"/>
                <w:lang w:val="ru-RU" w:eastAsia="ru-RU"/>
              </w:rPr>
              <w:t>5821</w:t>
            </w:r>
          </w:p>
        </w:tc>
        <w:tc>
          <w:tcPr>
            <w:tcW w:w="1553" w:type="dxa"/>
          </w:tcPr>
          <w:p w:rsidR="00DD7987" w:rsidRPr="007F5722" w:rsidRDefault="00DD7987" w:rsidP="00686267">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0,01</w:t>
            </w:r>
            <w:r w:rsidRPr="007F5722">
              <w:rPr>
                <w:rFonts w:ascii="Times New Roman" w:eastAsia="Times New Roman" w:hAnsi="Times New Roman" w:cs="Times New Roman"/>
                <w:b/>
                <w:color w:val="000000"/>
                <w:sz w:val="28"/>
                <w:szCs w:val="28"/>
                <w:lang w:val="ru-RU"/>
              </w:rPr>
              <w:t>4</w:t>
            </w:r>
          </w:p>
        </w:tc>
      </w:tr>
      <w:tr w:rsidR="00DD7987" w:rsidRPr="007F5722" w:rsidTr="003E5A8D">
        <w:tc>
          <w:tcPr>
            <w:tcW w:w="4106" w:type="dxa"/>
          </w:tcPr>
          <w:p w:rsidR="00DD7987" w:rsidRPr="007F5722" w:rsidRDefault="003E5A8D" w:rsidP="00686267">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ХС ЛПНЩ&amp;</w:t>
            </w:r>
            <w:r w:rsidR="00DD7987" w:rsidRPr="007F5722">
              <w:rPr>
                <w:rFonts w:ascii="Times New Roman" w:eastAsia="Times New Roman" w:hAnsi="Times New Roman" w:cs="Times New Roman"/>
                <w:color w:val="000000"/>
                <w:sz w:val="28"/>
                <w:szCs w:val="28"/>
              </w:rPr>
              <w:t>ІЛ-22</w:t>
            </w:r>
          </w:p>
        </w:tc>
        <w:tc>
          <w:tcPr>
            <w:tcW w:w="1985" w:type="dxa"/>
          </w:tcPr>
          <w:p w:rsidR="00DD7987" w:rsidRPr="007F5722" w:rsidRDefault="00DD7987"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29</w:t>
            </w:r>
          </w:p>
        </w:tc>
        <w:tc>
          <w:tcPr>
            <w:tcW w:w="1701" w:type="dxa"/>
          </w:tcPr>
          <w:p w:rsidR="00DD7987" w:rsidRPr="007F5722" w:rsidRDefault="00DD7987"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w:t>
            </w:r>
            <w:r w:rsidRPr="007F5722">
              <w:rPr>
                <w:rFonts w:ascii="Times New Roman" w:eastAsia="Times New Roman" w:hAnsi="Times New Roman" w:cs="Times New Roman"/>
                <w:color w:val="000000"/>
                <w:sz w:val="28"/>
                <w:szCs w:val="28"/>
                <w:lang w:val="ru-RU"/>
              </w:rPr>
              <w:t>2016</w:t>
            </w:r>
          </w:p>
        </w:tc>
        <w:tc>
          <w:tcPr>
            <w:tcW w:w="1553" w:type="dxa"/>
          </w:tcPr>
          <w:p w:rsidR="00DD7987" w:rsidRPr="007F5722" w:rsidRDefault="00DD7987"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0,438</w:t>
            </w:r>
          </w:p>
        </w:tc>
      </w:tr>
      <w:tr w:rsidR="00DD7987" w:rsidRPr="007F5722" w:rsidTr="003E5A8D">
        <w:tc>
          <w:tcPr>
            <w:tcW w:w="4106" w:type="dxa"/>
          </w:tcPr>
          <w:p w:rsidR="00DD7987" w:rsidRPr="007F5722" w:rsidRDefault="003E5A8D" w:rsidP="00686267">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ХС ЛПДНЩ&amp;</w:t>
            </w:r>
            <w:r w:rsidR="00DD7987" w:rsidRPr="007F5722">
              <w:rPr>
                <w:rFonts w:ascii="Times New Roman" w:eastAsia="Times New Roman" w:hAnsi="Times New Roman" w:cs="Times New Roman"/>
                <w:color w:val="000000"/>
                <w:sz w:val="28"/>
                <w:szCs w:val="28"/>
              </w:rPr>
              <w:t>ІЛ-22</w:t>
            </w:r>
          </w:p>
        </w:tc>
        <w:tc>
          <w:tcPr>
            <w:tcW w:w="1985" w:type="dxa"/>
          </w:tcPr>
          <w:p w:rsidR="00DD7987" w:rsidRPr="007F5722" w:rsidRDefault="00DD7987"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29</w:t>
            </w:r>
          </w:p>
        </w:tc>
        <w:tc>
          <w:tcPr>
            <w:tcW w:w="1701" w:type="dxa"/>
          </w:tcPr>
          <w:p w:rsidR="00DD7987" w:rsidRPr="007F5722" w:rsidRDefault="00DD7987"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w:t>
            </w:r>
            <w:r w:rsidRPr="007F5722">
              <w:rPr>
                <w:rFonts w:ascii="Times New Roman" w:eastAsia="Times New Roman" w:hAnsi="Times New Roman" w:cs="Times New Roman"/>
                <w:color w:val="000000"/>
                <w:sz w:val="28"/>
                <w:szCs w:val="28"/>
                <w:lang w:val="ru-RU"/>
              </w:rPr>
              <w:t>3651</w:t>
            </w:r>
          </w:p>
        </w:tc>
        <w:tc>
          <w:tcPr>
            <w:tcW w:w="1553" w:type="dxa"/>
          </w:tcPr>
          <w:p w:rsidR="00DD7987" w:rsidRPr="007F5722" w:rsidRDefault="00DD7987" w:rsidP="00DD798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0,150</w:t>
            </w:r>
          </w:p>
        </w:tc>
      </w:tr>
      <w:tr w:rsidR="00DD7987" w:rsidRPr="007F5722" w:rsidTr="003E5A8D">
        <w:tc>
          <w:tcPr>
            <w:tcW w:w="4106" w:type="dxa"/>
          </w:tcPr>
          <w:p w:rsidR="00DD7987" w:rsidRPr="007F5722" w:rsidRDefault="00DD7987"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КА&amp;ІЛ-22</w:t>
            </w:r>
          </w:p>
        </w:tc>
        <w:tc>
          <w:tcPr>
            <w:tcW w:w="1985" w:type="dxa"/>
          </w:tcPr>
          <w:p w:rsidR="00DD7987" w:rsidRPr="007F5722" w:rsidRDefault="00DD7987"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29</w:t>
            </w:r>
          </w:p>
        </w:tc>
        <w:tc>
          <w:tcPr>
            <w:tcW w:w="1701" w:type="dxa"/>
          </w:tcPr>
          <w:p w:rsidR="00DD7987" w:rsidRPr="007F5722" w:rsidRDefault="00DD7987" w:rsidP="00686267">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w:t>
            </w:r>
            <w:r w:rsidRPr="007F5722">
              <w:rPr>
                <w:rFonts w:ascii="Times New Roman" w:eastAsia="Times New Roman" w:hAnsi="Times New Roman" w:cs="Times New Roman"/>
                <w:b/>
                <w:color w:val="000000"/>
                <w:sz w:val="28"/>
                <w:szCs w:val="28"/>
                <w:lang w:val="ru-RU"/>
              </w:rPr>
              <w:t>6015</w:t>
            </w:r>
          </w:p>
        </w:tc>
        <w:tc>
          <w:tcPr>
            <w:tcW w:w="1553" w:type="dxa"/>
          </w:tcPr>
          <w:p w:rsidR="00DD7987" w:rsidRPr="007F5722" w:rsidRDefault="00DD7987" w:rsidP="00686267">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0,011</w:t>
            </w:r>
          </w:p>
        </w:tc>
      </w:tr>
      <w:tr w:rsidR="00DD7987" w:rsidRPr="007F5722" w:rsidTr="003E5A8D">
        <w:tc>
          <w:tcPr>
            <w:tcW w:w="4106" w:type="dxa"/>
          </w:tcPr>
          <w:p w:rsidR="00DD7987" w:rsidRPr="007F5722" w:rsidRDefault="003E5A8D" w:rsidP="00686267">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ХС не-ЛПВЩ&amp;</w:t>
            </w:r>
            <w:r w:rsidR="00DD7987" w:rsidRPr="007F5722">
              <w:rPr>
                <w:rFonts w:ascii="Times New Roman" w:eastAsia="Times New Roman" w:hAnsi="Times New Roman" w:cs="Times New Roman"/>
                <w:color w:val="000000"/>
                <w:sz w:val="28"/>
                <w:szCs w:val="28"/>
              </w:rPr>
              <w:t>ІЛ-22</w:t>
            </w:r>
          </w:p>
        </w:tc>
        <w:tc>
          <w:tcPr>
            <w:tcW w:w="1985" w:type="dxa"/>
          </w:tcPr>
          <w:p w:rsidR="00DD7987" w:rsidRPr="007F5722" w:rsidRDefault="00DD7987"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29</w:t>
            </w:r>
          </w:p>
        </w:tc>
        <w:tc>
          <w:tcPr>
            <w:tcW w:w="1701" w:type="dxa"/>
          </w:tcPr>
          <w:p w:rsidR="00DD7987" w:rsidRPr="007F5722" w:rsidRDefault="00DD7987"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w:t>
            </w:r>
            <w:r w:rsidRPr="007F5722">
              <w:rPr>
                <w:rFonts w:ascii="Times New Roman" w:eastAsia="Times New Roman" w:hAnsi="Times New Roman" w:cs="Times New Roman"/>
                <w:color w:val="000000"/>
                <w:sz w:val="28"/>
                <w:szCs w:val="28"/>
                <w:lang w:val="ru-RU"/>
              </w:rPr>
              <w:t>2640</w:t>
            </w:r>
          </w:p>
        </w:tc>
        <w:tc>
          <w:tcPr>
            <w:tcW w:w="1553" w:type="dxa"/>
          </w:tcPr>
          <w:p w:rsidR="00DD7987" w:rsidRPr="007F5722" w:rsidRDefault="00DD7987"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0,306</w:t>
            </w:r>
          </w:p>
        </w:tc>
      </w:tr>
      <w:tr w:rsidR="00DD7987" w:rsidRPr="007F5722" w:rsidTr="003E5A8D">
        <w:tc>
          <w:tcPr>
            <w:tcW w:w="4106" w:type="dxa"/>
          </w:tcPr>
          <w:p w:rsidR="00DD7987" w:rsidRPr="007F5722" w:rsidRDefault="00DD7987"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Апо В&amp;ІЛ-22</w:t>
            </w:r>
          </w:p>
        </w:tc>
        <w:tc>
          <w:tcPr>
            <w:tcW w:w="1985" w:type="dxa"/>
          </w:tcPr>
          <w:p w:rsidR="00DD7987" w:rsidRPr="007F5722" w:rsidRDefault="00DD7987"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29</w:t>
            </w:r>
          </w:p>
        </w:tc>
        <w:tc>
          <w:tcPr>
            <w:tcW w:w="1701" w:type="dxa"/>
          </w:tcPr>
          <w:p w:rsidR="00DD7987" w:rsidRPr="007F5722" w:rsidRDefault="00DD7987" w:rsidP="00686267">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w:t>
            </w:r>
            <w:r w:rsidRPr="007F5722">
              <w:rPr>
                <w:rFonts w:ascii="Times New Roman" w:eastAsia="Times New Roman" w:hAnsi="Times New Roman" w:cs="Times New Roman"/>
                <w:b/>
                <w:sz w:val="28"/>
                <w:szCs w:val="28"/>
                <w:lang w:val="ru-RU" w:eastAsia="ru-RU"/>
              </w:rPr>
              <w:t>5935</w:t>
            </w:r>
          </w:p>
        </w:tc>
        <w:tc>
          <w:tcPr>
            <w:tcW w:w="1553" w:type="dxa"/>
          </w:tcPr>
          <w:p w:rsidR="00DD7987" w:rsidRPr="007F5722" w:rsidRDefault="00DD7987" w:rsidP="00686267">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0,012</w:t>
            </w:r>
          </w:p>
        </w:tc>
      </w:tr>
    </w:tbl>
    <w:p w:rsidR="00DD7987" w:rsidRPr="007F5722" w:rsidRDefault="00DD7987" w:rsidP="000909B1">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0909B1" w:rsidRPr="007F5722" w:rsidRDefault="000909B1" w:rsidP="000909B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У чоловіків хворих на ГХ без АО нами встановлено, що рівень ІЛ-22 корелював достовірно з ЗХС, ХС ЛПНЩ, КА, ХС не-ЛПВЩ, Апо В (таблиця 3.2.</w:t>
      </w:r>
      <w:r w:rsidR="00EE282C">
        <w:rPr>
          <w:rFonts w:ascii="Times New Roman" w:eastAsia="Times New Roman" w:hAnsi="Times New Roman" w:cs="Times New Roman"/>
          <w:color w:val="000000"/>
          <w:sz w:val="28"/>
          <w:szCs w:val="28"/>
        </w:rPr>
        <w:t>10</w:t>
      </w:r>
      <w:r w:rsidRPr="007F5722">
        <w:rPr>
          <w:rFonts w:ascii="Times New Roman" w:eastAsia="Times New Roman" w:hAnsi="Times New Roman" w:cs="Times New Roman"/>
          <w:color w:val="000000"/>
          <w:sz w:val="28"/>
          <w:szCs w:val="28"/>
        </w:rPr>
        <w:t>).</w:t>
      </w:r>
    </w:p>
    <w:p w:rsidR="003E5A8D" w:rsidRDefault="003E5A8D" w:rsidP="00DD7987">
      <w:pPr>
        <w:shd w:val="clear" w:color="auto" w:fill="FFFFFF"/>
        <w:spacing w:after="0" w:line="360" w:lineRule="auto"/>
        <w:jc w:val="right"/>
        <w:rPr>
          <w:rFonts w:ascii="Times New Roman" w:eastAsia="Times New Roman" w:hAnsi="Times New Roman" w:cs="Times New Roman"/>
          <w:color w:val="000000"/>
          <w:sz w:val="28"/>
          <w:szCs w:val="28"/>
        </w:rPr>
      </w:pPr>
    </w:p>
    <w:p w:rsidR="003E5A8D" w:rsidRDefault="003E5A8D" w:rsidP="00DD7987">
      <w:pPr>
        <w:shd w:val="clear" w:color="auto" w:fill="FFFFFF"/>
        <w:spacing w:after="0" w:line="360" w:lineRule="auto"/>
        <w:jc w:val="right"/>
        <w:rPr>
          <w:rFonts w:ascii="Times New Roman" w:eastAsia="Times New Roman" w:hAnsi="Times New Roman" w:cs="Times New Roman"/>
          <w:color w:val="000000"/>
          <w:sz w:val="28"/>
          <w:szCs w:val="28"/>
        </w:rPr>
      </w:pPr>
    </w:p>
    <w:p w:rsidR="003E5A8D" w:rsidRDefault="003E5A8D" w:rsidP="00DD7987">
      <w:pPr>
        <w:shd w:val="clear" w:color="auto" w:fill="FFFFFF"/>
        <w:spacing w:after="0" w:line="360" w:lineRule="auto"/>
        <w:jc w:val="right"/>
        <w:rPr>
          <w:rFonts w:ascii="Times New Roman" w:eastAsia="Times New Roman" w:hAnsi="Times New Roman" w:cs="Times New Roman"/>
          <w:color w:val="000000"/>
          <w:sz w:val="28"/>
          <w:szCs w:val="28"/>
        </w:rPr>
      </w:pPr>
    </w:p>
    <w:p w:rsidR="00DD7987" w:rsidRPr="007F5722" w:rsidRDefault="00DD7987" w:rsidP="00DD7987">
      <w:pPr>
        <w:shd w:val="clear" w:color="auto" w:fill="FFFFFF"/>
        <w:spacing w:after="0" w:line="360" w:lineRule="auto"/>
        <w:jc w:val="right"/>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lastRenderedPageBreak/>
        <w:t>Таблиця 3.2.</w:t>
      </w:r>
      <w:r w:rsidR="00EE282C">
        <w:rPr>
          <w:rFonts w:ascii="Times New Roman" w:eastAsia="Times New Roman" w:hAnsi="Times New Roman" w:cs="Times New Roman"/>
          <w:color w:val="000000"/>
          <w:sz w:val="28"/>
          <w:szCs w:val="28"/>
        </w:rPr>
        <w:t>10</w:t>
      </w:r>
    </w:p>
    <w:p w:rsidR="00DD7987" w:rsidRPr="007F5722" w:rsidRDefault="00DD7987" w:rsidP="00EE282C">
      <w:pPr>
        <w:shd w:val="clear" w:color="auto" w:fill="FFFFFF"/>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Кореляційні взаємозв’язки між показниками ліпідного профілю з ІЛ-22 у чоловіків хворих на ГХ без АО</w:t>
      </w:r>
    </w:p>
    <w:tbl>
      <w:tblPr>
        <w:tblStyle w:val="a9"/>
        <w:tblW w:w="0" w:type="auto"/>
        <w:tblLook w:val="04A0" w:firstRow="1" w:lastRow="0" w:firstColumn="1" w:lastColumn="0" w:noHBand="0" w:noVBand="1"/>
      </w:tblPr>
      <w:tblGrid>
        <w:gridCol w:w="4106"/>
        <w:gridCol w:w="1985"/>
        <w:gridCol w:w="1701"/>
        <w:gridCol w:w="1553"/>
      </w:tblGrid>
      <w:tr w:rsidR="00DD7987" w:rsidRPr="007F5722" w:rsidTr="003E5A8D">
        <w:trPr>
          <w:trHeight w:val="675"/>
        </w:trPr>
        <w:tc>
          <w:tcPr>
            <w:tcW w:w="4106" w:type="dxa"/>
          </w:tcPr>
          <w:p w:rsidR="00DD7987" w:rsidRPr="007F5722" w:rsidRDefault="00DD7987"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Показник</w:t>
            </w:r>
          </w:p>
        </w:tc>
        <w:tc>
          <w:tcPr>
            <w:tcW w:w="1985" w:type="dxa"/>
          </w:tcPr>
          <w:p w:rsidR="00DD7987" w:rsidRPr="007F5722" w:rsidRDefault="00DD7987"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N</w:t>
            </w:r>
          </w:p>
        </w:tc>
        <w:tc>
          <w:tcPr>
            <w:tcW w:w="1701" w:type="dxa"/>
          </w:tcPr>
          <w:p w:rsidR="00DD7987" w:rsidRPr="007F5722" w:rsidRDefault="00DD7987"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R</w:t>
            </w:r>
          </w:p>
        </w:tc>
        <w:tc>
          <w:tcPr>
            <w:tcW w:w="1553" w:type="dxa"/>
          </w:tcPr>
          <w:p w:rsidR="00DD7987" w:rsidRPr="007F5722" w:rsidRDefault="00DD7987" w:rsidP="00686267">
            <w:pPr>
              <w:spacing w:after="0" w:line="360" w:lineRule="auto"/>
              <w:jc w:val="both"/>
              <w:rPr>
                <w:rFonts w:ascii="Times New Roman" w:eastAsia="Times New Roman" w:hAnsi="Times New Roman" w:cs="Times New Roman"/>
                <w:color w:val="000000"/>
                <w:sz w:val="28"/>
                <w:szCs w:val="28"/>
                <w:lang w:val="en-US"/>
              </w:rPr>
            </w:pPr>
            <w:r w:rsidRPr="007F5722">
              <w:rPr>
                <w:rFonts w:ascii="Times New Roman" w:eastAsia="Times New Roman" w:hAnsi="Times New Roman" w:cs="Times New Roman"/>
                <w:color w:val="000000"/>
                <w:sz w:val="28"/>
                <w:szCs w:val="28"/>
                <w:lang w:val="en-US"/>
              </w:rPr>
              <w:t>p-level</w:t>
            </w:r>
          </w:p>
        </w:tc>
      </w:tr>
      <w:tr w:rsidR="00DD7987" w:rsidRPr="007F5722" w:rsidTr="003E5A8D">
        <w:trPr>
          <w:trHeight w:val="549"/>
        </w:trPr>
        <w:tc>
          <w:tcPr>
            <w:tcW w:w="4106" w:type="dxa"/>
          </w:tcPr>
          <w:p w:rsidR="00DD7987" w:rsidRPr="007F5722" w:rsidRDefault="00DD7987"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ЗХС&amp;ІЛ-22</w:t>
            </w:r>
          </w:p>
        </w:tc>
        <w:tc>
          <w:tcPr>
            <w:tcW w:w="1985" w:type="dxa"/>
          </w:tcPr>
          <w:p w:rsidR="00DD7987" w:rsidRPr="007F5722" w:rsidRDefault="00DD7987"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34</w:t>
            </w:r>
          </w:p>
        </w:tc>
        <w:tc>
          <w:tcPr>
            <w:tcW w:w="1701" w:type="dxa"/>
          </w:tcPr>
          <w:p w:rsidR="00DD7987" w:rsidRPr="007F5722" w:rsidRDefault="00DD7987" w:rsidP="00686267">
            <w:pPr>
              <w:spacing w:after="0" w:line="360" w:lineRule="auto"/>
              <w:jc w:val="both"/>
              <w:rPr>
                <w:rFonts w:ascii="Times New Roman" w:eastAsia="Times New Roman" w:hAnsi="Times New Roman" w:cs="Times New Roman"/>
                <w:b/>
                <w:color w:val="000000"/>
                <w:sz w:val="28"/>
                <w:szCs w:val="28"/>
                <w:lang w:val="ru-RU"/>
              </w:rPr>
            </w:pPr>
            <w:r w:rsidRPr="007F5722">
              <w:rPr>
                <w:rFonts w:ascii="Times New Roman" w:eastAsia="Times New Roman" w:hAnsi="Times New Roman" w:cs="Times New Roman"/>
                <w:b/>
                <w:color w:val="000000"/>
                <w:sz w:val="28"/>
                <w:szCs w:val="28"/>
                <w:lang w:val="ru-RU"/>
              </w:rPr>
              <w:t>0,4999</w:t>
            </w:r>
          </w:p>
        </w:tc>
        <w:tc>
          <w:tcPr>
            <w:tcW w:w="1553" w:type="dxa"/>
          </w:tcPr>
          <w:p w:rsidR="00DD7987" w:rsidRPr="007F5722" w:rsidRDefault="00DD7987" w:rsidP="00686267">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lang w:val="ru-RU"/>
              </w:rPr>
              <w:t>0,015</w:t>
            </w:r>
          </w:p>
        </w:tc>
      </w:tr>
      <w:tr w:rsidR="000909B1" w:rsidRPr="007F5722" w:rsidTr="003E5A8D">
        <w:tc>
          <w:tcPr>
            <w:tcW w:w="4106" w:type="dxa"/>
          </w:tcPr>
          <w:p w:rsidR="000909B1" w:rsidRPr="007F5722" w:rsidRDefault="000909B1"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ТГ&amp;ІЛ-22</w:t>
            </w:r>
          </w:p>
        </w:tc>
        <w:tc>
          <w:tcPr>
            <w:tcW w:w="1985" w:type="dxa"/>
          </w:tcPr>
          <w:p w:rsidR="000909B1" w:rsidRPr="007F5722" w:rsidRDefault="000909B1"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34</w:t>
            </w:r>
          </w:p>
        </w:tc>
        <w:tc>
          <w:tcPr>
            <w:tcW w:w="1701" w:type="dxa"/>
          </w:tcPr>
          <w:p w:rsidR="000909B1" w:rsidRPr="007F5722" w:rsidRDefault="000909B1"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w:t>
            </w:r>
            <w:r w:rsidRPr="007F5722">
              <w:rPr>
                <w:rFonts w:ascii="Times New Roman" w:eastAsia="Times New Roman" w:hAnsi="Times New Roman" w:cs="Times New Roman"/>
                <w:color w:val="000000"/>
                <w:sz w:val="28"/>
                <w:szCs w:val="28"/>
                <w:lang w:val="ru-RU"/>
              </w:rPr>
              <w:t>,3735</w:t>
            </w:r>
          </w:p>
        </w:tc>
        <w:tc>
          <w:tcPr>
            <w:tcW w:w="1553" w:type="dxa"/>
          </w:tcPr>
          <w:p w:rsidR="000909B1" w:rsidRPr="007F5722" w:rsidRDefault="000909B1"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w:t>
            </w:r>
            <w:r w:rsidRPr="007F5722">
              <w:rPr>
                <w:rFonts w:ascii="Times New Roman" w:eastAsia="Times New Roman" w:hAnsi="Times New Roman" w:cs="Times New Roman"/>
                <w:color w:val="000000"/>
                <w:sz w:val="28"/>
                <w:szCs w:val="28"/>
                <w:lang w:val="ru-RU"/>
              </w:rPr>
              <w:t>079</w:t>
            </w:r>
          </w:p>
        </w:tc>
      </w:tr>
      <w:tr w:rsidR="000909B1" w:rsidRPr="007F5722" w:rsidTr="003E5A8D">
        <w:tc>
          <w:tcPr>
            <w:tcW w:w="4106" w:type="dxa"/>
          </w:tcPr>
          <w:p w:rsidR="000909B1" w:rsidRPr="007F5722" w:rsidRDefault="003E5A8D" w:rsidP="00686267">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ХС ЛПВЩ&amp;</w:t>
            </w:r>
            <w:r w:rsidR="000909B1" w:rsidRPr="007F5722">
              <w:rPr>
                <w:rFonts w:ascii="Times New Roman" w:eastAsia="Times New Roman" w:hAnsi="Times New Roman" w:cs="Times New Roman"/>
                <w:color w:val="000000"/>
                <w:sz w:val="28"/>
                <w:szCs w:val="28"/>
              </w:rPr>
              <w:t>ІЛ-22</w:t>
            </w:r>
          </w:p>
        </w:tc>
        <w:tc>
          <w:tcPr>
            <w:tcW w:w="1985" w:type="dxa"/>
          </w:tcPr>
          <w:p w:rsidR="000909B1" w:rsidRPr="007F5722" w:rsidRDefault="000909B1"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34</w:t>
            </w:r>
          </w:p>
        </w:tc>
        <w:tc>
          <w:tcPr>
            <w:tcW w:w="1701" w:type="dxa"/>
          </w:tcPr>
          <w:p w:rsidR="000909B1" w:rsidRPr="007F5722" w:rsidRDefault="000909B1" w:rsidP="00DD798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w:t>
            </w:r>
            <w:r w:rsidRPr="007F5722">
              <w:rPr>
                <w:rFonts w:ascii="Times New Roman" w:eastAsia="Times New Roman" w:hAnsi="Times New Roman" w:cs="Times New Roman"/>
                <w:color w:val="000000"/>
                <w:sz w:val="28"/>
                <w:szCs w:val="28"/>
                <w:lang w:eastAsia="ru-RU"/>
              </w:rPr>
              <w:t>1273</w:t>
            </w:r>
          </w:p>
        </w:tc>
        <w:tc>
          <w:tcPr>
            <w:tcW w:w="1553" w:type="dxa"/>
          </w:tcPr>
          <w:p w:rsidR="000909B1" w:rsidRPr="007F5722" w:rsidRDefault="000909B1"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w:t>
            </w:r>
            <w:r w:rsidRPr="007F5722">
              <w:rPr>
                <w:rFonts w:ascii="Times New Roman" w:eastAsia="Times New Roman" w:hAnsi="Times New Roman" w:cs="Times New Roman"/>
                <w:color w:val="000000"/>
                <w:sz w:val="28"/>
                <w:szCs w:val="28"/>
                <w:lang w:val="ru-RU"/>
              </w:rPr>
              <w:t>563</w:t>
            </w:r>
          </w:p>
        </w:tc>
      </w:tr>
      <w:tr w:rsidR="000909B1" w:rsidRPr="007F5722" w:rsidTr="003E5A8D">
        <w:tc>
          <w:tcPr>
            <w:tcW w:w="4106" w:type="dxa"/>
          </w:tcPr>
          <w:p w:rsidR="000909B1" w:rsidRPr="007F5722" w:rsidRDefault="003E5A8D" w:rsidP="00686267">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ХС ЛПНЩ&amp;</w:t>
            </w:r>
            <w:r w:rsidR="000909B1" w:rsidRPr="007F5722">
              <w:rPr>
                <w:rFonts w:ascii="Times New Roman" w:eastAsia="Times New Roman" w:hAnsi="Times New Roman" w:cs="Times New Roman"/>
                <w:color w:val="000000"/>
                <w:sz w:val="28"/>
                <w:szCs w:val="28"/>
              </w:rPr>
              <w:t>ІЛ-22</w:t>
            </w:r>
          </w:p>
        </w:tc>
        <w:tc>
          <w:tcPr>
            <w:tcW w:w="1985" w:type="dxa"/>
          </w:tcPr>
          <w:p w:rsidR="000909B1" w:rsidRPr="007F5722" w:rsidRDefault="000909B1"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34</w:t>
            </w:r>
          </w:p>
        </w:tc>
        <w:tc>
          <w:tcPr>
            <w:tcW w:w="1701" w:type="dxa"/>
          </w:tcPr>
          <w:p w:rsidR="000909B1" w:rsidRPr="007F5722" w:rsidRDefault="000909B1" w:rsidP="00686267">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w:t>
            </w:r>
            <w:r w:rsidRPr="007F5722">
              <w:rPr>
                <w:rFonts w:ascii="Times New Roman" w:eastAsia="Times New Roman" w:hAnsi="Times New Roman" w:cs="Times New Roman"/>
                <w:b/>
                <w:color w:val="000000"/>
                <w:sz w:val="28"/>
                <w:szCs w:val="28"/>
                <w:lang w:val="ru-RU"/>
              </w:rPr>
              <w:t>5256</w:t>
            </w:r>
          </w:p>
        </w:tc>
        <w:tc>
          <w:tcPr>
            <w:tcW w:w="1553" w:type="dxa"/>
          </w:tcPr>
          <w:p w:rsidR="000909B1" w:rsidRPr="007F5722" w:rsidRDefault="000909B1"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b/>
                <w:color w:val="000000"/>
                <w:sz w:val="28"/>
                <w:szCs w:val="28"/>
              </w:rPr>
              <w:t>0,010</w:t>
            </w:r>
          </w:p>
        </w:tc>
      </w:tr>
      <w:tr w:rsidR="000909B1" w:rsidRPr="007F5722" w:rsidTr="003E5A8D">
        <w:tc>
          <w:tcPr>
            <w:tcW w:w="4106" w:type="dxa"/>
          </w:tcPr>
          <w:p w:rsidR="000909B1" w:rsidRPr="007F5722" w:rsidRDefault="003E5A8D" w:rsidP="00686267">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ХС ЛПДНЩ&amp;</w:t>
            </w:r>
            <w:r w:rsidR="000909B1" w:rsidRPr="007F5722">
              <w:rPr>
                <w:rFonts w:ascii="Times New Roman" w:eastAsia="Times New Roman" w:hAnsi="Times New Roman" w:cs="Times New Roman"/>
                <w:color w:val="000000"/>
                <w:sz w:val="28"/>
                <w:szCs w:val="28"/>
              </w:rPr>
              <w:t>ІЛ-22</w:t>
            </w:r>
          </w:p>
        </w:tc>
        <w:tc>
          <w:tcPr>
            <w:tcW w:w="1985" w:type="dxa"/>
          </w:tcPr>
          <w:p w:rsidR="000909B1" w:rsidRPr="007F5722" w:rsidRDefault="000909B1"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34</w:t>
            </w:r>
          </w:p>
        </w:tc>
        <w:tc>
          <w:tcPr>
            <w:tcW w:w="1701" w:type="dxa"/>
          </w:tcPr>
          <w:p w:rsidR="000909B1" w:rsidRPr="007F5722" w:rsidRDefault="000909B1"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w:t>
            </w:r>
            <w:r w:rsidRPr="007F5722">
              <w:rPr>
                <w:rFonts w:ascii="Times New Roman" w:eastAsia="Times New Roman" w:hAnsi="Times New Roman" w:cs="Times New Roman"/>
                <w:color w:val="000000"/>
                <w:sz w:val="28"/>
                <w:szCs w:val="28"/>
                <w:lang w:val="ru-RU"/>
              </w:rPr>
              <w:t>3735</w:t>
            </w:r>
          </w:p>
        </w:tc>
        <w:tc>
          <w:tcPr>
            <w:tcW w:w="1553" w:type="dxa"/>
          </w:tcPr>
          <w:p w:rsidR="000909B1" w:rsidRPr="007F5722" w:rsidRDefault="000909B1"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0,079</w:t>
            </w:r>
          </w:p>
        </w:tc>
      </w:tr>
      <w:tr w:rsidR="000909B1" w:rsidRPr="007F5722" w:rsidTr="003E5A8D">
        <w:tc>
          <w:tcPr>
            <w:tcW w:w="4106" w:type="dxa"/>
          </w:tcPr>
          <w:p w:rsidR="000909B1" w:rsidRPr="007F5722" w:rsidRDefault="000909B1"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КА&amp;ІЛ-22</w:t>
            </w:r>
          </w:p>
        </w:tc>
        <w:tc>
          <w:tcPr>
            <w:tcW w:w="1985" w:type="dxa"/>
          </w:tcPr>
          <w:p w:rsidR="000909B1" w:rsidRPr="007F5722" w:rsidRDefault="000909B1"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34</w:t>
            </w:r>
          </w:p>
        </w:tc>
        <w:tc>
          <w:tcPr>
            <w:tcW w:w="1701" w:type="dxa"/>
          </w:tcPr>
          <w:p w:rsidR="000909B1" w:rsidRPr="007F5722" w:rsidRDefault="000909B1" w:rsidP="00686267">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w:t>
            </w:r>
            <w:r w:rsidRPr="007F5722">
              <w:rPr>
                <w:rFonts w:ascii="Times New Roman" w:eastAsia="Times New Roman" w:hAnsi="Times New Roman" w:cs="Times New Roman"/>
                <w:b/>
                <w:color w:val="000000"/>
                <w:sz w:val="28"/>
                <w:szCs w:val="28"/>
                <w:lang w:val="ru-RU"/>
              </w:rPr>
              <w:t>4590</w:t>
            </w:r>
          </w:p>
        </w:tc>
        <w:tc>
          <w:tcPr>
            <w:tcW w:w="1553" w:type="dxa"/>
          </w:tcPr>
          <w:p w:rsidR="000909B1" w:rsidRPr="007F5722" w:rsidRDefault="000909B1" w:rsidP="00686267">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0,028</w:t>
            </w:r>
          </w:p>
        </w:tc>
      </w:tr>
      <w:tr w:rsidR="000909B1" w:rsidRPr="007F5722" w:rsidTr="003E5A8D">
        <w:tc>
          <w:tcPr>
            <w:tcW w:w="4106" w:type="dxa"/>
          </w:tcPr>
          <w:p w:rsidR="000909B1" w:rsidRPr="007F5722" w:rsidRDefault="003E5A8D" w:rsidP="00686267">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ХС не-ЛПВЩ&amp;</w:t>
            </w:r>
            <w:r w:rsidR="000909B1" w:rsidRPr="007F5722">
              <w:rPr>
                <w:rFonts w:ascii="Times New Roman" w:eastAsia="Times New Roman" w:hAnsi="Times New Roman" w:cs="Times New Roman"/>
                <w:color w:val="000000"/>
                <w:sz w:val="28"/>
                <w:szCs w:val="28"/>
              </w:rPr>
              <w:t>ІЛ-22</w:t>
            </w:r>
          </w:p>
        </w:tc>
        <w:tc>
          <w:tcPr>
            <w:tcW w:w="1985" w:type="dxa"/>
          </w:tcPr>
          <w:p w:rsidR="000909B1" w:rsidRPr="007F5722" w:rsidRDefault="000909B1"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34</w:t>
            </w:r>
          </w:p>
        </w:tc>
        <w:tc>
          <w:tcPr>
            <w:tcW w:w="1701" w:type="dxa"/>
          </w:tcPr>
          <w:p w:rsidR="000909B1" w:rsidRPr="007F5722" w:rsidRDefault="000909B1" w:rsidP="00686267">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w:t>
            </w:r>
            <w:r w:rsidRPr="007F5722">
              <w:rPr>
                <w:rFonts w:ascii="Times New Roman" w:eastAsia="Times New Roman" w:hAnsi="Times New Roman" w:cs="Times New Roman"/>
                <w:b/>
                <w:color w:val="000000"/>
                <w:sz w:val="28"/>
                <w:szCs w:val="28"/>
                <w:lang w:val="ru-RU"/>
              </w:rPr>
              <w:t>5532</w:t>
            </w:r>
          </w:p>
        </w:tc>
        <w:tc>
          <w:tcPr>
            <w:tcW w:w="1553" w:type="dxa"/>
          </w:tcPr>
          <w:p w:rsidR="000909B1" w:rsidRPr="007F5722" w:rsidRDefault="000909B1" w:rsidP="00686267">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0,006</w:t>
            </w:r>
          </w:p>
        </w:tc>
      </w:tr>
      <w:tr w:rsidR="000909B1" w:rsidRPr="007F5722" w:rsidTr="003E5A8D">
        <w:tc>
          <w:tcPr>
            <w:tcW w:w="4106" w:type="dxa"/>
          </w:tcPr>
          <w:p w:rsidR="000909B1" w:rsidRPr="007F5722" w:rsidRDefault="000909B1"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Апо В&amp;ІЛ-22</w:t>
            </w:r>
          </w:p>
        </w:tc>
        <w:tc>
          <w:tcPr>
            <w:tcW w:w="1985" w:type="dxa"/>
          </w:tcPr>
          <w:p w:rsidR="000909B1" w:rsidRPr="007F5722" w:rsidRDefault="000909B1" w:rsidP="00686267">
            <w:pPr>
              <w:spacing w:after="0" w:line="360" w:lineRule="auto"/>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34</w:t>
            </w:r>
          </w:p>
        </w:tc>
        <w:tc>
          <w:tcPr>
            <w:tcW w:w="1701" w:type="dxa"/>
          </w:tcPr>
          <w:p w:rsidR="000909B1" w:rsidRPr="007F5722" w:rsidRDefault="000909B1" w:rsidP="00686267">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w:t>
            </w:r>
            <w:r w:rsidRPr="007F5722">
              <w:rPr>
                <w:rFonts w:ascii="Times New Roman" w:eastAsia="Times New Roman" w:hAnsi="Times New Roman" w:cs="Times New Roman"/>
                <w:b/>
                <w:sz w:val="28"/>
                <w:szCs w:val="28"/>
                <w:lang w:val="ru-RU" w:eastAsia="ru-RU"/>
              </w:rPr>
              <w:t>6319</w:t>
            </w:r>
          </w:p>
        </w:tc>
        <w:tc>
          <w:tcPr>
            <w:tcW w:w="1553" w:type="dxa"/>
          </w:tcPr>
          <w:p w:rsidR="000909B1" w:rsidRPr="007F5722" w:rsidRDefault="000909B1" w:rsidP="00686267">
            <w:pPr>
              <w:spacing w:after="0" w:line="360" w:lineRule="auto"/>
              <w:jc w:val="both"/>
              <w:rPr>
                <w:rFonts w:ascii="Times New Roman" w:eastAsia="Times New Roman" w:hAnsi="Times New Roman" w:cs="Times New Roman"/>
                <w:b/>
                <w:color w:val="000000"/>
                <w:sz w:val="28"/>
                <w:szCs w:val="28"/>
              </w:rPr>
            </w:pPr>
            <w:r w:rsidRPr="007F5722">
              <w:rPr>
                <w:rFonts w:ascii="Times New Roman" w:eastAsia="Times New Roman" w:hAnsi="Times New Roman" w:cs="Times New Roman"/>
                <w:b/>
                <w:color w:val="000000"/>
                <w:sz w:val="28"/>
                <w:szCs w:val="28"/>
              </w:rPr>
              <w:t>0,001</w:t>
            </w:r>
          </w:p>
        </w:tc>
      </w:tr>
    </w:tbl>
    <w:p w:rsidR="00DD7987" w:rsidRPr="007F5722" w:rsidRDefault="00DD7987" w:rsidP="00174462">
      <w:pPr>
        <w:shd w:val="clear" w:color="auto" w:fill="FFFFFF"/>
        <w:spacing w:after="0" w:line="360" w:lineRule="auto"/>
        <w:rPr>
          <w:rFonts w:ascii="Times New Roman" w:eastAsia="Times New Roman" w:hAnsi="Times New Roman" w:cs="Times New Roman"/>
          <w:color w:val="000000"/>
          <w:sz w:val="28"/>
          <w:szCs w:val="28"/>
        </w:rPr>
      </w:pPr>
    </w:p>
    <w:p w:rsidR="00174462" w:rsidRPr="007F5722" w:rsidRDefault="00DD7987" w:rsidP="00DD798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У групі контролю достовірних кореляційних зв’язків не було виявлено.</w:t>
      </w:r>
    </w:p>
    <w:p w:rsidR="00E31F54" w:rsidRDefault="007B7014" w:rsidP="007A745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 xml:space="preserve">Таким чином, отримані нами у клінічному дослідженні дані можуть свідчити про залучення інтерлейкіну-22 до прогресування порушень ліпідного </w:t>
      </w:r>
      <w:r w:rsidR="00EE282C">
        <w:rPr>
          <w:rFonts w:ascii="Times New Roman" w:eastAsia="Times New Roman" w:hAnsi="Times New Roman" w:cs="Times New Roman"/>
          <w:color w:val="000000"/>
          <w:sz w:val="28"/>
          <w:szCs w:val="28"/>
        </w:rPr>
        <w:t>профілю</w:t>
      </w:r>
      <w:r w:rsidRPr="007F5722">
        <w:rPr>
          <w:rFonts w:ascii="Times New Roman" w:eastAsia="Times New Roman" w:hAnsi="Times New Roman" w:cs="Times New Roman"/>
          <w:color w:val="000000"/>
          <w:sz w:val="28"/>
          <w:szCs w:val="28"/>
        </w:rPr>
        <w:t>, патогенезу розвитку гіпертонічної хвороби, що асоцій</w:t>
      </w:r>
      <w:r w:rsidR="00E9787A" w:rsidRPr="007F5722">
        <w:rPr>
          <w:rFonts w:ascii="Times New Roman" w:eastAsia="Times New Roman" w:hAnsi="Times New Roman" w:cs="Times New Roman"/>
          <w:color w:val="000000"/>
          <w:sz w:val="28"/>
          <w:szCs w:val="28"/>
        </w:rPr>
        <w:t>о</w:t>
      </w:r>
      <w:r w:rsidR="00473C6A" w:rsidRPr="007F5722">
        <w:rPr>
          <w:rFonts w:ascii="Times New Roman" w:eastAsia="Times New Roman" w:hAnsi="Times New Roman" w:cs="Times New Roman"/>
          <w:color w:val="000000"/>
          <w:sz w:val="28"/>
          <w:szCs w:val="28"/>
        </w:rPr>
        <w:t>вана з абдомінальним ожирінням.</w:t>
      </w:r>
    </w:p>
    <w:p w:rsidR="00310757" w:rsidRDefault="00310757" w:rsidP="007A745E">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310757" w:rsidRDefault="00310757" w:rsidP="007A745E">
      <w:pPr>
        <w:shd w:val="clear" w:color="auto" w:fill="FFFFFF"/>
        <w:spacing w:after="0" w:line="360" w:lineRule="auto"/>
        <w:ind w:firstLine="709"/>
        <w:jc w:val="both"/>
        <w:rPr>
          <w:rFonts w:ascii="Times New Roman" w:hAnsi="Times New Roman"/>
          <w:sz w:val="28"/>
          <w:szCs w:val="28"/>
        </w:rPr>
      </w:pPr>
      <w:r w:rsidRPr="0013056D">
        <w:rPr>
          <w:rFonts w:ascii="Times New Roman" w:hAnsi="Times New Roman"/>
          <w:sz w:val="28"/>
          <w:szCs w:val="28"/>
        </w:rPr>
        <w:t>Результати, викладені в даному розділі, опубліковані в наступних наукових працях автора</w:t>
      </w:r>
      <w:r>
        <w:rPr>
          <w:rFonts w:ascii="Times New Roman" w:hAnsi="Times New Roman"/>
          <w:sz w:val="28"/>
          <w:szCs w:val="28"/>
        </w:rPr>
        <w:t>:</w:t>
      </w:r>
    </w:p>
    <w:p w:rsidR="00310757" w:rsidRPr="00310757" w:rsidRDefault="00310757" w:rsidP="00310757">
      <w:pPr>
        <w:pStyle w:val="a8"/>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645092">
        <w:rPr>
          <w:rFonts w:ascii="Times New Roman" w:hAnsi="Times New Roman"/>
          <w:sz w:val="28"/>
          <w:szCs w:val="28"/>
        </w:rPr>
        <w:t xml:space="preserve">Кисиленко К.В. </w:t>
      </w:r>
      <w:r w:rsidRPr="00645092">
        <w:rPr>
          <w:rFonts w:ascii="Times New Roman" w:hAnsi="Times New Roman"/>
          <w:color w:val="000000"/>
          <w:sz w:val="28"/>
          <w:szCs w:val="28"/>
        </w:rPr>
        <w:t xml:space="preserve">Дисліпідемія та вміст інтерлейкіну-22 у плазмі крові хворих на гіпертонічну хворобу з супутніми надлишковою масою тіла або ожирінням / </w:t>
      </w:r>
      <w:r w:rsidRPr="00645092">
        <w:rPr>
          <w:rFonts w:ascii="Times New Roman" w:hAnsi="Times New Roman"/>
          <w:sz w:val="28"/>
          <w:szCs w:val="28"/>
        </w:rPr>
        <w:t xml:space="preserve">О.М. Ковальова, Т.В. Ащеулова, К.В. Кисиленко // </w:t>
      </w:r>
      <w:r w:rsidRPr="00645092">
        <w:rPr>
          <w:rFonts w:ascii="Times New Roman" w:hAnsi="Times New Roman"/>
          <w:color w:val="000000"/>
          <w:sz w:val="28"/>
          <w:szCs w:val="28"/>
        </w:rPr>
        <w:t>Львівський клінічний вісник.</w:t>
      </w:r>
      <w:r w:rsidRPr="00645092">
        <w:rPr>
          <w:rFonts w:ascii="Times New Roman" w:hAnsi="Times New Roman"/>
          <w:sz w:val="28"/>
          <w:szCs w:val="28"/>
        </w:rPr>
        <w:t xml:space="preserve"> –</w:t>
      </w:r>
      <w:r w:rsidRPr="00645092">
        <w:rPr>
          <w:rFonts w:ascii="Times New Roman" w:hAnsi="Times New Roman"/>
          <w:color w:val="000000"/>
          <w:sz w:val="28"/>
          <w:szCs w:val="28"/>
        </w:rPr>
        <w:t xml:space="preserve"> 2017. </w:t>
      </w:r>
      <w:r w:rsidRPr="00645092">
        <w:rPr>
          <w:rFonts w:ascii="Times New Roman" w:hAnsi="Times New Roman"/>
          <w:sz w:val="28"/>
          <w:szCs w:val="28"/>
        </w:rPr>
        <w:t xml:space="preserve">– </w:t>
      </w:r>
      <w:r w:rsidRPr="00645092">
        <w:rPr>
          <w:rFonts w:ascii="Times New Roman" w:hAnsi="Times New Roman"/>
          <w:color w:val="000000"/>
          <w:sz w:val="28"/>
          <w:szCs w:val="28"/>
        </w:rPr>
        <w:t xml:space="preserve">№ 4. </w:t>
      </w:r>
      <w:r w:rsidRPr="00645092">
        <w:rPr>
          <w:rFonts w:ascii="Times New Roman" w:hAnsi="Times New Roman"/>
          <w:sz w:val="28"/>
          <w:szCs w:val="28"/>
        </w:rPr>
        <w:t xml:space="preserve">– </w:t>
      </w:r>
      <w:r w:rsidRPr="00645092">
        <w:rPr>
          <w:rFonts w:ascii="Times New Roman" w:hAnsi="Times New Roman"/>
          <w:color w:val="000000"/>
          <w:sz w:val="28"/>
          <w:szCs w:val="28"/>
        </w:rPr>
        <w:t>С. 8-14.</w:t>
      </w:r>
    </w:p>
    <w:p w:rsidR="00310757" w:rsidRPr="00310757" w:rsidRDefault="00310757" w:rsidP="00310757">
      <w:pPr>
        <w:pStyle w:val="a8"/>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BE1C95">
        <w:rPr>
          <w:rFonts w:ascii="Times New Roman" w:eastAsia="Times New Roman" w:hAnsi="Times New Roman"/>
          <w:sz w:val="28"/>
          <w:szCs w:val="28"/>
          <w:lang w:eastAsia="ru-RU"/>
        </w:rPr>
        <w:t>Кисиленко К.В. Постпрандіальна дисліпідемія у хворих на гіпертонічну хворобу з ожирінням / К.В. Кисиленко, О.М. Ковальова // Медицина сьогодні і завтра. -2018. - № 3 (80). – С. 28-32</w:t>
      </w:r>
      <w:r>
        <w:rPr>
          <w:rFonts w:ascii="Times New Roman" w:eastAsia="Times New Roman" w:hAnsi="Times New Roman"/>
          <w:sz w:val="28"/>
          <w:szCs w:val="28"/>
          <w:lang w:eastAsia="ru-RU"/>
        </w:rPr>
        <w:t>.</w:t>
      </w:r>
    </w:p>
    <w:p w:rsidR="00473C6A" w:rsidRPr="007F5722" w:rsidRDefault="00473C6A" w:rsidP="007A745E">
      <w:pPr>
        <w:shd w:val="clear" w:color="auto" w:fill="FFFFFF"/>
        <w:spacing w:after="0" w:line="360" w:lineRule="auto"/>
        <w:ind w:firstLine="709"/>
        <w:jc w:val="both"/>
        <w:rPr>
          <w:rFonts w:ascii="Times New Roman" w:eastAsia="Times New Roman" w:hAnsi="Times New Roman" w:cs="Times New Roman"/>
          <w:color w:val="000000"/>
          <w:sz w:val="28"/>
          <w:szCs w:val="28"/>
        </w:rPr>
        <w:sectPr w:rsidR="00473C6A" w:rsidRPr="007F5722" w:rsidSect="007C0B93">
          <w:pgSz w:w="11906" w:h="16838"/>
          <w:pgMar w:top="1134" w:right="850" w:bottom="1134" w:left="1701" w:header="708" w:footer="708" w:gutter="0"/>
          <w:cols w:space="708"/>
          <w:docGrid w:linePitch="360"/>
        </w:sectPr>
      </w:pPr>
    </w:p>
    <w:p w:rsidR="00E31F54" w:rsidRPr="007F5722" w:rsidRDefault="007A745E" w:rsidP="00E31F54">
      <w:pPr>
        <w:shd w:val="clear" w:color="auto" w:fill="FFFFFF"/>
        <w:spacing w:after="0" w:line="360" w:lineRule="auto"/>
        <w:ind w:firstLine="709"/>
        <w:jc w:val="center"/>
        <w:rPr>
          <w:rFonts w:ascii="Times New Roman" w:eastAsia="Times New Roman" w:hAnsi="Times New Roman" w:cs="Times New Roman"/>
          <w:b/>
          <w:bCs/>
          <w:color w:val="000000"/>
          <w:sz w:val="28"/>
          <w:szCs w:val="28"/>
        </w:rPr>
      </w:pPr>
      <w:r w:rsidRPr="007F5722">
        <w:rPr>
          <w:rFonts w:ascii="Times New Roman" w:eastAsia="Times New Roman" w:hAnsi="Times New Roman" w:cs="Times New Roman"/>
          <w:b/>
          <w:bCs/>
          <w:color w:val="000000"/>
          <w:sz w:val="28"/>
          <w:szCs w:val="28"/>
        </w:rPr>
        <w:lastRenderedPageBreak/>
        <w:t>3</w:t>
      </w:r>
      <w:r w:rsidR="00E31F54" w:rsidRPr="007F5722">
        <w:rPr>
          <w:rFonts w:ascii="Times New Roman" w:eastAsia="Times New Roman" w:hAnsi="Times New Roman" w:cs="Times New Roman"/>
          <w:b/>
          <w:bCs/>
          <w:color w:val="000000"/>
          <w:sz w:val="28"/>
          <w:szCs w:val="28"/>
        </w:rPr>
        <w:t>.3 Плазматичний вміст інтерлейкіну-22, ремоделювання серця та судин у хворих на гіпертонічну хворобу з супутнім ожирінням</w:t>
      </w:r>
    </w:p>
    <w:p w:rsidR="00E31F54" w:rsidRPr="007F5722" w:rsidRDefault="009F32D3" w:rsidP="00E31F54">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lang w:val="ru-RU"/>
        </w:rPr>
        <w:t xml:space="preserve">ГХ </w:t>
      </w:r>
      <w:r w:rsidRPr="007F5722">
        <w:rPr>
          <w:rFonts w:ascii="Times New Roman" w:eastAsia="Times New Roman" w:hAnsi="Times New Roman" w:cs="Times New Roman"/>
          <w:bCs/>
          <w:color w:val="000000"/>
          <w:sz w:val="28"/>
          <w:szCs w:val="28"/>
        </w:rPr>
        <w:t>призводить до ураження таких органів-мішеней, як серце та судини. У зв’язку з чим ми проаналізували структурно-функціональні параметри міокарду лівого шлуночку</w:t>
      </w:r>
      <w:r w:rsidR="0025291D" w:rsidRPr="007F5722">
        <w:rPr>
          <w:rFonts w:ascii="Times New Roman" w:eastAsia="Times New Roman" w:hAnsi="Times New Roman" w:cs="Times New Roman"/>
          <w:bCs/>
          <w:color w:val="000000"/>
          <w:sz w:val="28"/>
          <w:szCs w:val="28"/>
        </w:rPr>
        <w:t xml:space="preserve"> (ЛШ)</w:t>
      </w:r>
      <w:r w:rsidRPr="007F5722">
        <w:rPr>
          <w:rFonts w:ascii="Times New Roman" w:eastAsia="Times New Roman" w:hAnsi="Times New Roman" w:cs="Times New Roman"/>
          <w:bCs/>
          <w:color w:val="000000"/>
          <w:sz w:val="28"/>
          <w:szCs w:val="28"/>
        </w:rPr>
        <w:t xml:space="preserve"> за даними ультразвукового дослідження серця (табл. 3.3.1). </w:t>
      </w:r>
    </w:p>
    <w:p w:rsidR="009F32D3" w:rsidRPr="007F5722" w:rsidRDefault="009F32D3" w:rsidP="009F32D3">
      <w:pPr>
        <w:shd w:val="clear" w:color="auto" w:fill="FFFFFF"/>
        <w:spacing w:after="0" w:line="360" w:lineRule="auto"/>
        <w:ind w:firstLine="709"/>
        <w:jc w:val="right"/>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Таблиця 3.3.1</w:t>
      </w:r>
    </w:p>
    <w:p w:rsidR="009F32D3" w:rsidRPr="007F5722" w:rsidRDefault="009F32D3" w:rsidP="009F32D3">
      <w:pPr>
        <w:shd w:val="clear" w:color="auto" w:fill="FFFFFF"/>
        <w:spacing w:after="0" w:line="360" w:lineRule="auto"/>
        <w:ind w:firstLine="709"/>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Особливості лінійних параметрів лівого шлуночка серця у хворих на ГХ в залежності від наявності надмірної маси тіла та ожиріння</w:t>
      </w:r>
    </w:p>
    <w:tbl>
      <w:tblPr>
        <w:tblStyle w:val="a9"/>
        <w:tblW w:w="0" w:type="auto"/>
        <w:tblLook w:val="04A0" w:firstRow="1" w:lastRow="0" w:firstColumn="1" w:lastColumn="0" w:noHBand="0" w:noVBand="1"/>
      </w:tblPr>
      <w:tblGrid>
        <w:gridCol w:w="1780"/>
        <w:gridCol w:w="2497"/>
        <w:gridCol w:w="2484"/>
        <w:gridCol w:w="2584"/>
      </w:tblGrid>
      <w:tr w:rsidR="00284257" w:rsidRPr="007F5722" w:rsidTr="00284257">
        <w:tc>
          <w:tcPr>
            <w:tcW w:w="1809" w:type="dxa"/>
          </w:tcPr>
          <w:p w:rsidR="00284257" w:rsidRPr="007F5722" w:rsidRDefault="00284257" w:rsidP="00115BA3">
            <w:pPr>
              <w:jc w:val="center"/>
              <w:rPr>
                <w:rFonts w:ascii="Times New Roman" w:hAnsi="Times New Roman" w:cs="Times New Roman"/>
                <w:sz w:val="28"/>
                <w:szCs w:val="28"/>
              </w:rPr>
            </w:pPr>
            <w:r w:rsidRPr="007F5722">
              <w:rPr>
                <w:rFonts w:ascii="Times New Roman" w:hAnsi="Times New Roman" w:cs="Times New Roman"/>
                <w:sz w:val="28"/>
                <w:szCs w:val="28"/>
              </w:rPr>
              <w:t>Показник</w:t>
            </w:r>
          </w:p>
        </w:tc>
        <w:tc>
          <w:tcPr>
            <w:tcW w:w="2552" w:type="dxa"/>
            <w:vAlign w:val="center"/>
          </w:tcPr>
          <w:p w:rsidR="00284257" w:rsidRPr="007F5722" w:rsidRDefault="00284257" w:rsidP="00284257">
            <w:pPr>
              <w:jc w:val="center"/>
              <w:rPr>
                <w:rFonts w:ascii="Times New Roman" w:hAnsi="Times New Roman" w:cs="Times New Roman"/>
                <w:sz w:val="28"/>
                <w:szCs w:val="28"/>
                <w:lang w:val="ru-RU"/>
              </w:rPr>
            </w:pPr>
            <w:r w:rsidRPr="007F5722">
              <w:rPr>
                <w:rFonts w:ascii="Times New Roman" w:hAnsi="Times New Roman" w:cs="Times New Roman"/>
                <w:sz w:val="28"/>
                <w:szCs w:val="28"/>
                <w:lang w:val="ru-RU"/>
              </w:rPr>
              <w:t>Хвор</w:t>
            </w:r>
            <w:r w:rsidRPr="007F5722">
              <w:rPr>
                <w:rFonts w:ascii="Times New Roman" w:hAnsi="Times New Roman" w:cs="Times New Roman"/>
                <w:sz w:val="28"/>
                <w:szCs w:val="28"/>
              </w:rPr>
              <w:t xml:space="preserve">і на ГХ </w:t>
            </w:r>
            <w:r w:rsidRPr="007F5722">
              <w:rPr>
                <w:rFonts w:ascii="Times New Roman" w:hAnsi="Times New Roman" w:cs="Times New Roman"/>
                <w:sz w:val="28"/>
                <w:szCs w:val="28"/>
                <w:lang w:val="ru-RU"/>
              </w:rPr>
              <w:t xml:space="preserve">нормальною </w:t>
            </w:r>
            <w:r w:rsidRPr="007F5722">
              <w:rPr>
                <w:rFonts w:ascii="Times New Roman" w:hAnsi="Times New Roman" w:cs="Times New Roman"/>
                <w:sz w:val="28"/>
                <w:szCs w:val="28"/>
              </w:rPr>
              <w:t>масою тіла</w:t>
            </w:r>
          </w:p>
        </w:tc>
        <w:tc>
          <w:tcPr>
            <w:tcW w:w="2551" w:type="dxa"/>
            <w:vAlign w:val="center"/>
          </w:tcPr>
          <w:p w:rsidR="00284257" w:rsidRPr="007F5722" w:rsidRDefault="00284257" w:rsidP="00284257">
            <w:pPr>
              <w:jc w:val="center"/>
              <w:rPr>
                <w:rFonts w:ascii="Times New Roman" w:hAnsi="Times New Roman" w:cs="Times New Roman"/>
                <w:sz w:val="28"/>
                <w:szCs w:val="28"/>
                <w:lang w:val="ru-RU"/>
              </w:rPr>
            </w:pPr>
            <w:r w:rsidRPr="007F5722">
              <w:rPr>
                <w:rFonts w:ascii="Times New Roman" w:hAnsi="Times New Roman" w:cs="Times New Roman"/>
                <w:sz w:val="28"/>
                <w:szCs w:val="28"/>
              </w:rPr>
              <w:t>Хворі на ГХ з надмірною масою тіла</w:t>
            </w:r>
          </w:p>
        </w:tc>
        <w:tc>
          <w:tcPr>
            <w:tcW w:w="2659" w:type="dxa"/>
            <w:vAlign w:val="center"/>
          </w:tcPr>
          <w:p w:rsidR="00284257" w:rsidRPr="007F5722" w:rsidRDefault="00284257" w:rsidP="00284257">
            <w:pPr>
              <w:jc w:val="center"/>
              <w:rPr>
                <w:rFonts w:ascii="Times New Roman" w:hAnsi="Times New Roman" w:cs="Times New Roman"/>
                <w:sz w:val="28"/>
                <w:szCs w:val="28"/>
                <w:lang w:val="ru-RU"/>
              </w:rPr>
            </w:pPr>
            <w:r w:rsidRPr="007F5722">
              <w:rPr>
                <w:rFonts w:ascii="Times New Roman" w:hAnsi="Times New Roman" w:cs="Times New Roman"/>
                <w:sz w:val="28"/>
                <w:szCs w:val="28"/>
              </w:rPr>
              <w:t>Хворі на ГХ з ожирінням</w:t>
            </w:r>
          </w:p>
        </w:tc>
      </w:tr>
      <w:tr w:rsidR="009F32D3" w:rsidRPr="007F5722" w:rsidTr="00284257">
        <w:tc>
          <w:tcPr>
            <w:tcW w:w="1809" w:type="dxa"/>
          </w:tcPr>
          <w:p w:rsidR="009F32D3" w:rsidRPr="007F5722" w:rsidRDefault="009F32D3" w:rsidP="00115BA3">
            <w:pPr>
              <w:jc w:val="both"/>
              <w:rPr>
                <w:rFonts w:ascii="Times New Roman" w:hAnsi="Times New Roman" w:cs="Times New Roman"/>
                <w:sz w:val="28"/>
                <w:szCs w:val="28"/>
              </w:rPr>
            </w:pPr>
            <w:r w:rsidRPr="007F5722">
              <w:rPr>
                <w:rFonts w:ascii="Times New Roman" w:hAnsi="Times New Roman" w:cs="Times New Roman"/>
                <w:sz w:val="28"/>
                <w:szCs w:val="28"/>
              </w:rPr>
              <w:t>КДР, см</w:t>
            </w:r>
          </w:p>
        </w:tc>
        <w:tc>
          <w:tcPr>
            <w:tcW w:w="2552" w:type="dxa"/>
          </w:tcPr>
          <w:p w:rsidR="009F32D3" w:rsidRPr="007F5722" w:rsidRDefault="009F32D3" w:rsidP="00115BA3">
            <w:pPr>
              <w:jc w:val="center"/>
              <w:rPr>
                <w:rFonts w:ascii="Times New Roman" w:hAnsi="Times New Roman" w:cs="Times New Roman"/>
                <w:sz w:val="28"/>
                <w:szCs w:val="28"/>
              </w:rPr>
            </w:pPr>
            <w:r w:rsidRPr="007F5722">
              <w:rPr>
                <w:rFonts w:ascii="Times New Roman" w:hAnsi="Times New Roman" w:cs="Times New Roman"/>
                <w:sz w:val="28"/>
                <w:szCs w:val="28"/>
              </w:rPr>
              <w:t>4,4 (4,1; 4,9)</w:t>
            </w:r>
          </w:p>
        </w:tc>
        <w:tc>
          <w:tcPr>
            <w:tcW w:w="2551" w:type="dxa"/>
          </w:tcPr>
          <w:p w:rsidR="009F32D3" w:rsidRPr="007F5722" w:rsidRDefault="009F32D3" w:rsidP="00284257">
            <w:pPr>
              <w:jc w:val="center"/>
              <w:rPr>
                <w:rFonts w:ascii="Times New Roman" w:hAnsi="Times New Roman" w:cs="Times New Roman"/>
                <w:sz w:val="28"/>
                <w:szCs w:val="28"/>
                <w:lang w:val="ru-RU"/>
              </w:rPr>
            </w:pPr>
            <w:r w:rsidRPr="007F5722">
              <w:rPr>
                <w:rFonts w:ascii="Times New Roman" w:hAnsi="Times New Roman" w:cs="Times New Roman"/>
                <w:sz w:val="28"/>
                <w:szCs w:val="28"/>
              </w:rPr>
              <w:t>4,7 (4,4; 5,3)</w:t>
            </w:r>
            <w:r w:rsidR="00284257" w:rsidRPr="007F5722">
              <w:rPr>
                <w:rFonts w:ascii="Times New Roman" w:hAnsi="Times New Roman" w:cs="Times New Roman"/>
                <w:sz w:val="28"/>
                <w:szCs w:val="28"/>
                <w:lang w:val="ru-RU"/>
              </w:rPr>
              <w:t xml:space="preserve"> </w:t>
            </w:r>
            <w:r w:rsidR="00284257" w:rsidRPr="007F5722">
              <w:rPr>
                <w:rFonts w:ascii="Times New Roman" w:hAnsi="Times New Roman" w:cs="Times New Roman"/>
                <w:b/>
                <w:sz w:val="28"/>
                <w:szCs w:val="28"/>
                <w:lang w:val="ru-RU"/>
              </w:rPr>
              <w:t>*</w:t>
            </w:r>
          </w:p>
        </w:tc>
        <w:tc>
          <w:tcPr>
            <w:tcW w:w="2659" w:type="dxa"/>
          </w:tcPr>
          <w:p w:rsidR="009F32D3" w:rsidRPr="007F5722" w:rsidRDefault="009F32D3" w:rsidP="00284257">
            <w:pPr>
              <w:jc w:val="center"/>
              <w:rPr>
                <w:rFonts w:ascii="Times New Roman" w:hAnsi="Times New Roman" w:cs="Times New Roman"/>
                <w:sz w:val="28"/>
                <w:szCs w:val="28"/>
                <w:lang w:val="ru-RU"/>
              </w:rPr>
            </w:pPr>
            <w:r w:rsidRPr="007F5722">
              <w:rPr>
                <w:rFonts w:ascii="Times New Roman" w:hAnsi="Times New Roman" w:cs="Times New Roman"/>
                <w:sz w:val="28"/>
                <w:szCs w:val="28"/>
              </w:rPr>
              <w:t>4,9 (4,7; 5,1)</w:t>
            </w:r>
            <w:r w:rsidR="00284257" w:rsidRPr="007F5722">
              <w:rPr>
                <w:rFonts w:ascii="Times New Roman" w:hAnsi="Times New Roman" w:cs="Times New Roman"/>
                <w:sz w:val="28"/>
                <w:szCs w:val="28"/>
                <w:lang w:val="ru-RU"/>
              </w:rPr>
              <w:t xml:space="preserve"> </w:t>
            </w:r>
            <w:r w:rsidR="00284257" w:rsidRPr="007F5722">
              <w:rPr>
                <w:rFonts w:ascii="Times New Roman" w:hAnsi="Times New Roman" w:cs="Times New Roman"/>
                <w:b/>
                <w:sz w:val="28"/>
                <w:szCs w:val="28"/>
                <w:lang w:val="ru-RU"/>
              </w:rPr>
              <w:t>*</w:t>
            </w:r>
          </w:p>
        </w:tc>
      </w:tr>
      <w:tr w:rsidR="009F32D3" w:rsidRPr="007F5722" w:rsidTr="00284257">
        <w:tc>
          <w:tcPr>
            <w:tcW w:w="1809" w:type="dxa"/>
          </w:tcPr>
          <w:p w:rsidR="009F32D3" w:rsidRPr="007F5722" w:rsidRDefault="009F32D3" w:rsidP="00115BA3">
            <w:pPr>
              <w:jc w:val="both"/>
              <w:rPr>
                <w:rFonts w:ascii="Times New Roman" w:hAnsi="Times New Roman" w:cs="Times New Roman"/>
                <w:sz w:val="28"/>
                <w:szCs w:val="28"/>
              </w:rPr>
            </w:pPr>
            <w:r w:rsidRPr="007F5722">
              <w:rPr>
                <w:rFonts w:ascii="Times New Roman" w:hAnsi="Times New Roman" w:cs="Times New Roman"/>
                <w:sz w:val="28"/>
                <w:szCs w:val="28"/>
              </w:rPr>
              <w:t>КСР, см</w:t>
            </w:r>
          </w:p>
        </w:tc>
        <w:tc>
          <w:tcPr>
            <w:tcW w:w="2552" w:type="dxa"/>
          </w:tcPr>
          <w:p w:rsidR="009F32D3" w:rsidRPr="007F5722" w:rsidRDefault="003E0B18" w:rsidP="00115BA3">
            <w:pPr>
              <w:jc w:val="center"/>
              <w:rPr>
                <w:rFonts w:ascii="Times New Roman" w:hAnsi="Times New Roman" w:cs="Times New Roman"/>
                <w:sz w:val="28"/>
                <w:szCs w:val="28"/>
              </w:rPr>
            </w:pPr>
            <w:r w:rsidRPr="007F5722">
              <w:rPr>
                <w:rFonts w:ascii="Times New Roman" w:hAnsi="Times New Roman" w:cs="Times New Roman"/>
                <w:sz w:val="28"/>
                <w:szCs w:val="28"/>
              </w:rPr>
              <w:t>2,8 (2,4; 3,1)</w:t>
            </w:r>
          </w:p>
        </w:tc>
        <w:tc>
          <w:tcPr>
            <w:tcW w:w="2551" w:type="dxa"/>
          </w:tcPr>
          <w:p w:rsidR="009F32D3" w:rsidRPr="007F5722" w:rsidRDefault="003E0B18" w:rsidP="00115BA3">
            <w:pPr>
              <w:jc w:val="center"/>
              <w:rPr>
                <w:rFonts w:ascii="Times New Roman" w:hAnsi="Times New Roman" w:cs="Times New Roman"/>
                <w:sz w:val="28"/>
                <w:szCs w:val="28"/>
              </w:rPr>
            </w:pPr>
            <w:r w:rsidRPr="007F5722">
              <w:rPr>
                <w:rFonts w:ascii="Times New Roman" w:hAnsi="Times New Roman" w:cs="Times New Roman"/>
                <w:sz w:val="28"/>
                <w:szCs w:val="28"/>
              </w:rPr>
              <w:t>2,82 (2,6; 3,39)</w:t>
            </w:r>
          </w:p>
        </w:tc>
        <w:tc>
          <w:tcPr>
            <w:tcW w:w="2659" w:type="dxa"/>
          </w:tcPr>
          <w:p w:rsidR="00115BA3" w:rsidRPr="007F5722" w:rsidRDefault="003E0B18" w:rsidP="00284257">
            <w:pPr>
              <w:jc w:val="center"/>
              <w:rPr>
                <w:rFonts w:ascii="Times New Roman" w:hAnsi="Times New Roman" w:cs="Times New Roman"/>
                <w:sz w:val="28"/>
                <w:szCs w:val="28"/>
                <w:lang w:val="ru-RU"/>
              </w:rPr>
            </w:pPr>
            <w:r w:rsidRPr="007F5722">
              <w:rPr>
                <w:rFonts w:ascii="Times New Roman" w:hAnsi="Times New Roman" w:cs="Times New Roman"/>
                <w:sz w:val="28"/>
                <w:szCs w:val="28"/>
              </w:rPr>
              <w:t>3,1 (2,9; 3,4)</w:t>
            </w:r>
            <w:r w:rsidR="00284257" w:rsidRPr="007F5722">
              <w:rPr>
                <w:rFonts w:ascii="Times New Roman" w:hAnsi="Times New Roman" w:cs="Times New Roman"/>
                <w:sz w:val="28"/>
                <w:szCs w:val="28"/>
                <w:lang w:val="ru-RU"/>
              </w:rPr>
              <w:t xml:space="preserve"> </w:t>
            </w:r>
            <w:r w:rsidR="00284257" w:rsidRPr="007F5722">
              <w:rPr>
                <w:rFonts w:ascii="Times New Roman" w:hAnsi="Times New Roman" w:cs="Times New Roman"/>
                <w:b/>
                <w:sz w:val="28"/>
                <w:szCs w:val="28"/>
                <w:lang w:val="ru-RU"/>
              </w:rPr>
              <w:t>*</w:t>
            </w:r>
          </w:p>
        </w:tc>
      </w:tr>
      <w:tr w:rsidR="009F32D3" w:rsidRPr="007F5722" w:rsidTr="00284257">
        <w:tc>
          <w:tcPr>
            <w:tcW w:w="1809" w:type="dxa"/>
          </w:tcPr>
          <w:p w:rsidR="009F32D3" w:rsidRPr="007F5722" w:rsidRDefault="009F32D3" w:rsidP="00115BA3">
            <w:pPr>
              <w:jc w:val="both"/>
              <w:rPr>
                <w:rFonts w:ascii="Times New Roman" w:hAnsi="Times New Roman" w:cs="Times New Roman"/>
                <w:sz w:val="28"/>
                <w:szCs w:val="28"/>
              </w:rPr>
            </w:pPr>
            <w:r w:rsidRPr="007F5722">
              <w:rPr>
                <w:rFonts w:ascii="Times New Roman" w:hAnsi="Times New Roman" w:cs="Times New Roman"/>
                <w:sz w:val="28"/>
                <w:szCs w:val="28"/>
              </w:rPr>
              <w:t>ТМШП, см</w:t>
            </w:r>
          </w:p>
        </w:tc>
        <w:tc>
          <w:tcPr>
            <w:tcW w:w="2552" w:type="dxa"/>
          </w:tcPr>
          <w:p w:rsidR="009F32D3" w:rsidRPr="007F5722" w:rsidRDefault="009F32D3" w:rsidP="00115BA3">
            <w:pPr>
              <w:jc w:val="center"/>
              <w:rPr>
                <w:rFonts w:ascii="Times New Roman" w:hAnsi="Times New Roman" w:cs="Times New Roman"/>
                <w:sz w:val="28"/>
                <w:szCs w:val="28"/>
              </w:rPr>
            </w:pPr>
            <w:r w:rsidRPr="007F5722">
              <w:rPr>
                <w:rFonts w:ascii="Times New Roman" w:hAnsi="Times New Roman" w:cs="Times New Roman"/>
                <w:sz w:val="28"/>
                <w:szCs w:val="28"/>
              </w:rPr>
              <w:t>1,2 (1,1; 1,3)</w:t>
            </w:r>
          </w:p>
        </w:tc>
        <w:tc>
          <w:tcPr>
            <w:tcW w:w="2551" w:type="dxa"/>
          </w:tcPr>
          <w:p w:rsidR="009F32D3" w:rsidRPr="007F5722" w:rsidRDefault="009F32D3" w:rsidP="00115BA3">
            <w:pPr>
              <w:jc w:val="center"/>
              <w:rPr>
                <w:rFonts w:ascii="Times New Roman" w:hAnsi="Times New Roman" w:cs="Times New Roman"/>
                <w:sz w:val="28"/>
                <w:szCs w:val="28"/>
              </w:rPr>
            </w:pPr>
            <w:r w:rsidRPr="007F5722">
              <w:rPr>
                <w:rFonts w:ascii="Times New Roman" w:hAnsi="Times New Roman" w:cs="Times New Roman"/>
                <w:sz w:val="28"/>
                <w:szCs w:val="28"/>
              </w:rPr>
              <w:t>1,13 (1,1; 1,3)</w:t>
            </w:r>
          </w:p>
        </w:tc>
        <w:tc>
          <w:tcPr>
            <w:tcW w:w="2659" w:type="dxa"/>
          </w:tcPr>
          <w:p w:rsidR="009F32D3" w:rsidRPr="007F5722" w:rsidRDefault="009F32D3" w:rsidP="00115BA3">
            <w:pPr>
              <w:jc w:val="center"/>
              <w:rPr>
                <w:rFonts w:ascii="Times New Roman" w:hAnsi="Times New Roman" w:cs="Times New Roman"/>
                <w:sz w:val="28"/>
                <w:szCs w:val="28"/>
              </w:rPr>
            </w:pPr>
            <w:r w:rsidRPr="007F5722">
              <w:rPr>
                <w:rFonts w:ascii="Times New Roman" w:hAnsi="Times New Roman" w:cs="Times New Roman"/>
                <w:sz w:val="28"/>
                <w:szCs w:val="28"/>
              </w:rPr>
              <w:t>1,2 (1,1; 1,3)</w:t>
            </w:r>
          </w:p>
        </w:tc>
      </w:tr>
      <w:tr w:rsidR="009F32D3" w:rsidRPr="007F5722" w:rsidTr="00284257">
        <w:tc>
          <w:tcPr>
            <w:tcW w:w="1809" w:type="dxa"/>
          </w:tcPr>
          <w:p w:rsidR="009F32D3" w:rsidRPr="007F5722" w:rsidRDefault="009F32D3" w:rsidP="00115BA3">
            <w:pPr>
              <w:jc w:val="both"/>
              <w:rPr>
                <w:rFonts w:ascii="Times New Roman" w:hAnsi="Times New Roman" w:cs="Times New Roman"/>
                <w:sz w:val="28"/>
                <w:szCs w:val="28"/>
              </w:rPr>
            </w:pPr>
            <w:r w:rsidRPr="007F5722">
              <w:rPr>
                <w:rFonts w:ascii="Times New Roman" w:hAnsi="Times New Roman" w:cs="Times New Roman"/>
                <w:sz w:val="28"/>
                <w:szCs w:val="28"/>
              </w:rPr>
              <w:t>ТЗСЛШ, см</w:t>
            </w:r>
          </w:p>
        </w:tc>
        <w:tc>
          <w:tcPr>
            <w:tcW w:w="2552" w:type="dxa"/>
          </w:tcPr>
          <w:p w:rsidR="009F32D3" w:rsidRPr="007F5722" w:rsidRDefault="009F32D3" w:rsidP="00115BA3">
            <w:pPr>
              <w:jc w:val="center"/>
              <w:rPr>
                <w:rFonts w:ascii="Times New Roman" w:hAnsi="Times New Roman" w:cs="Times New Roman"/>
                <w:sz w:val="28"/>
                <w:szCs w:val="28"/>
              </w:rPr>
            </w:pPr>
            <w:r w:rsidRPr="007F5722">
              <w:rPr>
                <w:rFonts w:ascii="Times New Roman" w:hAnsi="Times New Roman" w:cs="Times New Roman"/>
                <w:sz w:val="28"/>
                <w:szCs w:val="28"/>
              </w:rPr>
              <w:t>1,1 (1,03; 1,2)</w:t>
            </w:r>
          </w:p>
        </w:tc>
        <w:tc>
          <w:tcPr>
            <w:tcW w:w="2551" w:type="dxa"/>
          </w:tcPr>
          <w:p w:rsidR="009F32D3" w:rsidRPr="007F5722" w:rsidRDefault="009F32D3" w:rsidP="00115BA3">
            <w:pPr>
              <w:jc w:val="center"/>
              <w:rPr>
                <w:rFonts w:ascii="Times New Roman" w:hAnsi="Times New Roman" w:cs="Times New Roman"/>
                <w:sz w:val="28"/>
                <w:szCs w:val="28"/>
              </w:rPr>
            </w:pPr>
            <w:r w:rsidRPr="007F5722">
              <w:rPr>
                <w:rFonts w:ascii="Times New Roman" w:hAnsi="Times New Roman" w:cs="Times New Roman"/>
                <w:sz w:val="28"/>
                <w:szCs w:val="28"/>
              </w:rPr>
              <w:t>1,1 (1,0; 1,2)</w:t>
            </w:r>
          </w:p>
        </w:tc>
        <w:tc>
          <w:tcPr>
            <w:tcW w:w="2659" w:type="dxa"/>
          </w:tcPr>
          <w:p w:rsidR="009F32D3" w:rsidRPr="007F5722" w:rsidRDefault="009F32D3" w:rsidP="00115BA3">
            <w:pPr>
              <w:jc w:val="center"/>
              <w:rPr>
                <w:rFonts w:ascii="Times New Roman" w:hAnsi="Times New Roman" w:cs="Times New Roman"/>
                <w:sz w:val="28"/>
                <w:szCs w:val="28"/>
              </w:rPr>
            </w:pPr>
            <w:r w:rsidRPr="007F5722">
              <w:rPr>
                <w:rFonts w:ascii="Times New Roman" w:hAnsi="Times New Roman" w:cs="Times New Roman"/>
                <w:sz w:val="28"/>
                <w:szCs w:val="28"/>
              </w:rPr>
              <w:t>1,1 (1,0; 1,3)</w:t>
            </w:r>
          </w:p>
        </w:tc>
      </w:tr>
      <w:tr w:rsidR="009F32D3" w:rsidRPr="007F5722" w:rsidTr="00284257">
        <w:tc>
          <w:tcPr>
            <w:tcW w:w="1809" w:type="dxa"/>
          </w:tcPr>
          <w:p w:rsidR="009F32D3" w:rsidRPr="007F5722" w:rsidRDefault="009F32D3" w:rsidP="00115BA3">
            <w:pPr>
              <w:jc w:val="both"/>
              <w:rPr>
                <w:rFonts w:ascii="Times New Roman" w:hAnsi="Times New Roman" w:cs="Times New Roman"/>
                <w:sz w:val="28"/>
                <w:szCs w:val="28"/>
              </w:rPr>
            </w:pPr>
            <w:r w:rsidRPr="007F5722">
              <w:rPr>
                <w:rFonts w:ascii="Times New Roman" w:hAnsi="Times New Roman" w:cs="Times New Roman"/>
                <w:sz w:val="28"/>
                <w:szCs w:val="28"/>
              </w:rPr>
              <w:t>ВТСЛШ</w:t>
            </w:r>
          </w:p>
        </w:tc>
        <w:tc>
          <w:tcPr>
            <w:tcW w:w="2552" w:type="dxa"/>
          </w:tcPr>
          <w:p w:rsidR="009F32D3" w:rsidRPr="007F5722" w:rsidRDefault="003E0B18" w:rsidP="00115BA3">
            <w:pPr>
              <w:jc w:val="center"/>
              <w:rPr>
                <w:rFonts w:ascii="Times New Roman" w:hAnsi="Times New Roman" w:cs="Times New Roman"/>
                <w:sz w:val="28"/>
                <w:szCs w:val="28"/>
              </w:rPr>
            </w:pPr>
            <w:r w:rsidRPr="007F5722">
              <w:rPr>
                <w:rFonts w:ascii="Times New Roman" w:hAnsi="Times New Roman" w:cs="Times New Roman"/>
                <w:sz w:val="28"/>
                <w:szCs w:val="28"/>
              </w:rPr>
              <w:t>0,55 (0,45; 0,57)</w:t>
            </w:r>
          </w:p>
        </w:tc>
        <w:tc>
          <w:tcPr>
            <w:tcW w:w="2551" w:type="dxa"/>
          </w:tcPr>
          <w:p w:rsidR="009F32D3" w:rsidRPr="007F5722" w:rsidRDefault="003E0B18" w:rsidP="00115BA3">
            <w:pPr>
              <w:jc w:val="center"/>
              <w:rPr>
                <w:rFonts w:ascii="Times New Roman" w:hAnsi="Times New Roman" w:cs="Times New Roman"/>
                <w:sz w:val="28"/>
                <w:szCs w:val="28"/>
              </w:rPr>
            </w:pPr>
            <w:r w:rsidRPr="007F5722">
              <w:rPr>
                <w:rFonts w:ascii="Times New Roman" w:hAnsi="Times New Roman" w:cs="Times New Roman"/>
                <w:sz w:val="28"/>
                <w:szCs w:val="28"/>
              </w:rPr>
              <w:t>0,47 (0,42; 0,54)</w:t>
            </w:r>
          </w:p>
        </w:tc>
        <w:tc>
          <w:tcPr>
            <w:tcW w:w="2659" w:type="dxa"/>
          </w:tcPr>
          <w:p w:rsidR="009F32D3" w:rsidRPr="007F5722" w:rsidRDefault="003E0B18" w:rsidP="00115BA3">
            <w:pPr>
              <w:jc w:val="center"/>
              <w:rPr>
                <w:rFonts w:ascii="Times New Roman" w:hAnsi="Times New Roman" w:cs="Times New Roman"/>
                <w:sz w:val="28"/>
                <w:szCs w:val="28"/>
              </w:rPr>
            </w:pPr>
            <w:r w:rsidRPr="007F5722">
              <w:rPr>
                <w:rFonts w:ascii="Times New Roman" w:hAnsi="Times New Roman" w:cs="Times New Roman"/>
                <w:sz w:val="28"/>
                <w:szCs w:val="28"/>
              </w:rPr>
              <w:t>0,47 (0,43; 0,5)</w:t>
            </w:r>
          </w:p>
        </w:tc>
      </w:tr>
      <w:tr w:rsidR="009F32D3" w:rsidRPr="007F5722" w:rsidTr="00284257">
        <w:tc>
          <w:tcPr>
            <w:tcW w:w="1809" w:type="dxa"/>
          </w:tcPr>
          <w:p w:rsidR="009F32D3" w:rsidRPr="007F5722" w:rsidRDefault="009F32D3" w:rsidP="00115BA3">
            <w:pPr>
              <w:jc w:val="both"/>
              <w:rPr>
                <w:rFonts w:ascii="Times New Roman" w:hAnsi="Times New Roman" w:cs="Times New Roman"/>
                <w:sz w:val="28"/>
                <w:szCs w:val="28"/>
              </w:rPr>
            </w:pPr>
            <w:r w:rsidRPr="007F5722">
              <w:rPr>
                <w:rFonts w:ascii="Times New Roman" w:hAnsi="Times New Roman" w:cs="Times New Roman"/>
                <w:sz w:val="28"/>
                <w:szCs w:val="28"/>
              </w:rPr>
              <w:t>ММЛШ, г</w:t>
            </w:r>
          </w:p>
        </w:tc>
        <w:tc>
          <w:tcPr>
            <w:tcW w:w="2552" w:type="dxa"/>
          </w:tcPr>
          <w:p w:rsidR="009F32D3" w:rsidRPr="007F5722" w:rsidRDefault="009F32D3" w:rsidP="00115BA3">
            <w:pPr>
              <w:jc w:val="center"/>
              <w:rPr>
                <w:rFonts w:ascii="Times New Roman" w:hAnsi="Times New Roman" w:cs="Times New Roman"/>
                <w:sz w:val="28"/>
                <w:szCs w:val="28"/>
              </w:rPr>
            </w:pPr>
            <w:r w:rsidRPr="007F5722">
              <w:rPr>
                <w:rFonts w:ascii="Times New Roman" w:hAnsi="Times New Roman" w:cs="Times New Roman"/>
                <w:sz w:val="28"/>
                <w:szCs w:val="28"/>
              </w:rPr>
              <w:t>178,3 (145,5; 230,1)</w:t>
            </w:r>
          </w:p>
        </w:tc>
        <w:tc>
          <w:tcPr>
            <w:tcW w:w="2551" w:type="dxa"/>
          </w:tcPr>
          <w:p w:rsidR="009F32D3" w:rsidRPr="007F5722" w:rsidRDefault="009F32D3" w:rsidP="00115BA3">
            <w:pPr>
              <w:jc w:val="center"/>
              <w:rPr>
                <w:rFonts w:ascii="Times New Roman" w:hAnsi="Times New Roman" w:cs="Times New Roman"/>
                <w:sz w:val="28"/>
                <w:szCs w:val="28"/>
              </w:rPr>
            </w:pPr>
            <w:r w:rsidRPr="007F5722">
              <w:rPr>
                <w:rFonts w:ascii="Times New Roman" w:hAnsi="Times New Roman" w:cs="Times New Roman"/>
                <w:sz w:val="28"/>
                <w:szCs w:val="28"/>
              </w:rPr>
              <w:t>216,5 (163,3; 241,1)</w:t>
            </w:r>
          </w:p>
        </w:tc>
        <w:tc>
          <w:tcPr>
            <w:tcW w:w="2659" w:type="dxa"/>
          </w:tcPr>
          <w:p w:rsidR="009F32D3" w:rsidRPr="007F5722" w:rsidRDefault="009F32D3" w:rsidP="00115BA3">
            <w:pPr>
              <w:jc w:val="center"/>
              <w:rPr>
                <w:rFonts w:ascii="Times New Roman" w:hAnsi="Times New Roman" w:cs="Times New Roman"/>
                <w:sz w:val="28"/>
                <w:szCs w:val="28"/>
              </w:rPr>
            </w:pPr>
            <w:r w:rsidRPr="007F5722">
              <w:rPr>
                <w:rFonts w:ascii="Times New Roman" w:hAnsi="Times New Roman" w:cs="Times New Roman"/>
                <w:sz w:val="28"/>
                <w:szCs w:val="28"/>
              </w:rPr>
              <w:t>203,2 (183,2; 248,4)</w:t>
            </w:r>
          </w:p>
        </w:tc>
      </w:tr>
      <w:tr w:rsidR="009F32D3" w:rsidRPr="007F5722" w:rsidTr="00284257">
        <w:tc>
          <w:tcPr>
            <w:tcW w:w="1809" w:type="dxa"/>
          </w:tcPr>
          <w:p w:rsidR="009F32D3" w:rsidRPr="007F5722" w:rsidRDefault="009F32D3" w:rsidP="00115BA3">
            <w:pPr>
              <w:jc w:val="both"/>
              <w:rPr>
                <w:rFonts w:ascii="Times New Roman" w:hAnsi="Times New Roman" w:cs="Times New Roman"/>
                <w:bCs/>
                <w:sz w:val="28"/>
                <w:szCs w:val="28"/>
                <w:vertAlign w:val="superscript"/>
                <w:lang w:val="ru-RU"/>
              </w:rPr>
            </w:pPr>
            <w:r w:rsidRPr="007F5722">
              <w:rPr>
                <w:rFonts w:ascii="Times New Roman" w:hAnsi="Times New Roman" w:cs="Times New Roman"/>
                <w:bCs/>
                <w:sz w:val="28"/>
                <w:szCs w:val="28"/>
              </w:rPr>
              <w:t>іММ, г/м</w:t>
            </w:r>
            <w:r w:rsidRPr="007F5722">
              <w:rPr>
                <w:rFonts w:ascii="Times New Roman" w:hAnsi="Times New Roman" w:cs="Times New Roman"/>
                <w:bCs/>
                <w:sz w:val="28"/>
                <w:szCs w:val="28"/>
                <w:vertAlign w:val="superscript"/>
                <w:lang w:val="ru-RU"/>
              </w:rPr>
              <w:t>2</w:t>
            </w:r>
          </w:p>
          <w:p w:rsidR="00BE6CF6" w:rsidRPr="007F5722" w:rsidRDefault="00BE6CF6" w:rsidP="00115BA3">
            <w:pPr>
              <w:jc w:val="both"/>
              <w:rPr>
                <w:rFonts w:ascii="Times New Roman" w:hAnsi="Times New Roman" w:cs="Times New Roman"/>
                <w:bCs/>
                <w:sz w:val="28"/>
                <w:szCs w:val="28"/>
              </w:rPr>
            </w:pPr>
            <w:r w:rsidRPr="007F5722">
              <w:rPr>
                <w:rFonts w:ascii="Times New Roman" w:hAnsi="Times New Roman" w:cs="Times New Roman"/>
                <w:bCs/>
                <w:sz w:val="28"/>
                <w:szCs w:val="28"/>
              </w:rPr>
              <w:t>чо</w:t>
            </w:r>
            <w:r w:rsidR="00CF2220" w:rsidRPr="007F5722">
              <w:rPr>
                <w:rFonts w:ascii="Times New Roman" w:hAnsi="Times New Roman" w:cs="Times New Roman"/>
                <w:bCs/>
                <w:sz w:val="28"/>
                <w:szCs w:val="28"/>
              </w:rPr>
              <w:t>ло</w:t>
            </w:r>
            <w:r w:rsidRPr="007F5722">
              <w:rPr>
                <w:rFonts w:ascii="Times New Roman" w:hAnsi="Times New Roman" w:cs="Times New Roman"/>
                <w:bCs/>
                <w:sz w:val="28"/>
                <w:szCs w:val="28"/>
              </w:rPr>
              <w:t>віки</w:t>
            </w:r>
          </w:p>
          <w:p w:rsidR="00BE6CF6" w:rsidRPr="007F5722" w:rsidRDefault="00BE6CF6" w:rsidP="00115BA3">
            <w:pPr>
              <w:jc w:val="both"/>
              <w:rPr>
                <w:rFonts w:ascii="Times New Roman" w:hAnsi="Times New Roman" w:cs="Times New Roman"/>
                <w:sz w:val="28"/>
                <w:szCs w:val="28"/>
              </w:rPr>
            </w:pPr>
            <w:r w:rsidRPr="007F5722">
              <w:rPr>
                <w:rFonts w:ascii="Times New Roman" w:hAnsi="Times New Roman" w:cs="Times New Roman"/>
                <w:bCs/>
                <w:sz w:val="28"/>
                <w:szCs w:val="28"/>
              </w:rPr>
              <w:t>жінки</w:t>
            </w:r>
          </w:p>
        </w:tc>
        <w:tc>
          <w:tcPr>
            <w:tcW w:w="2552" w:type="dxa"/>
          </w:tcPr>
          <w:p w:rsidR="00BE6CF6" w:rsidRPr="007F5722" w:rsidRDefault="00BE6CF6" w:rsidP="00115BA3">
            <w:pPr>
              <w:jc w:val="center"/>
              <w:rPr>
                <w:rFonts w:ascii="Times New Roman" w:hAnsi="Times New Roman" w:cs="Times New Roman"/>
                <w:sz w:val="28"/>
                <w:szCs w:val="28"/>
              </w:rPr>
            </w:pPr>
          </w:p>
          <w:p w:rsidR="009F32D3" w:rsidRPr="007F5722" w:rsidRDefault="00CF2220" w:rsidP="00115BA3">
            <w:pPr>
              <w:jc w:val="center"/>
              <w:rPr>
                <w:rFonts w:ascii="Times New Roman" w:hAnsi="Times New Roman" w:cs="Times New Roman"/>
                <w:sz w:val="28"/>
                <w:szCs w:val="28"/>
              </w:rPr>
            </w:pPr>
            <w:r w:rsidRPr="007F5722">
              <w:rPr>
                <w:rFonts w:ascii="Times New Roman" w:hAnsi="Times New Roman" w:cs="Times New Roman"/>
                <w:sz w:val="28"/>
                <w:szCs w:val="28"/>
              </w:rPr>
              <w:t>106,0 (95,2; 125,4</w:t>
            </w:r>
            <w:r w:rsidR="009F32D3" w:rsidRPr="007F5722">
              <w:rPr>
                <w:rFonts w:ascii="Times New Roman" w:hAnsi="Times New Roman" w:cs="Times New Roman"/>
                <w:sz w:val="28"/>
                <w:szCs w:val="28"/>
              </w:rPr>
              <w:t>)</w:t>
            </w:r>
          </w:p>
          <w:p w:rsidR="00CF2220" w:rsidRPr="007F5722" w:rsidRDefault="00CF2220" w:rsidP="00115BA3">
            <w:pPr>
              <w:jc w:val="center"/>
              <w:rPr>
                <w:rFonts w:ascii="Times New Roman" w:hAnsi="Times New Roman" w:cs="Times New Roman"/>
                <w:sz w:val="28"/>
                <w:szCs w:val="28"/>
              </w:rPr>
            </w:pPr>
            <w:r w:rsidRPr="007F5722">
              <w:rPr>
                <w:rFonts w:ascii="Times New Roman" w:hAnsi="Times New Roman" w:cs="Times New Roman"/>
                <w:sz w:val="28"/>
                <w:szCs w:val="28"/>
              </w:rPr>
              <w:t>95,7 (83,9; 104,7)</w:t>
            </w:r>
          </w:p>
        </w:tc>
        <w:tc>
          <w:tcPr>
            <w:tcW w:w="2551" w:type="dxa"/>
          </w:tcPr>
          <w:p w:rsidR="00BE6CF6" w:rsidRPr="007F5722" w:rsidRDefault="00BE6CF6" w:rsidP="00115BA3">
            <w:pPr>
              <w:jc w:val="center"/>
              <w:rPr>
                <w:rFonts w:ascii="Times New Roman" w:hAnsi="Times New Roman" w:cs="Times New Roman"/>
                <w:sz w:val="28"/>
                <w:szCs w:val="28"/>
              </w:rPr>
            </w:pPr>
          </w:p>
          <w:p w:rsidR="009F32D3" w:rsidRPr="007F5722" w:rsidRDefault="00CF2220" w:rsidP="00115BA3">
            <w:pPr>
              <w:jc w:val="center"/>
              <w:rPr>
                <w:rFonts w:ascii="Times New Roman" w:hAnsi="Times New Roman" w:cs="Times New Roman"/>
                <w:sz w:val="28"/>
                <w:szCs w:val="28"/>
              </w:rPr>
            </w:pPr>
            <w:r w:rsidRPr="007F5722">
              <w:rPr>
                <w:rFonts w:ascii="Times New Roman" w:hAnsi="Times New Roman" w:cs="Times New Roman"/>
                <w:sz w:val="28"/>
                <w:szCs w:val="28"/>
              </w:rPr>
              <w:t>121,1 (106,2; 135,4</w:t>
            </w:r>
            <w:r w:rsidR="009F32D3" w:rsidRPr="007F5722">
              <w:rPr>
                <w:rFonts w:ascii="Times New Roman" w:hAnsi="Times New Roman" w:cs="Times New Roman"/>
                <w:sz w:val="28"/>
                <w:szCs w:val="28"/>
              </w:rPr>
              <w:t>)</w:t>
            </w:r>
          </w:p>
          <w:p w:rsidR="00CF2220" w:rsidRPr="007F5722" w:rsidRDefault="00CF2220" w:rsidP="00115BA3">
            <w:pPr>
              <w:jc w:val="center"/>
              <w:rPr>
                <w:rFonts w:ascii="Times New Roman" w:hAnsi="Times New Roman" w:cs="Times New Roman"/>
                <w:sz w:val="28"/>
                <w:szCs w:val="28"/>
              </w:rPr>
            </w:pPr>
            <w:r w:rsidRPr="007F5722">
              <w:rPr>
                <w:rFonts w:ascii="Times New Roman" w:hAnsi="Times New Roman" w:cs="Times New Roman"/>
                <w:sz w:val="28"/>
                <w:szCs w:val="28"/>
              </w:rPr>
              <w:t>101,6 (78,5; 118,9)</w:t>
            </w:r>
          </w:p>
        </w:tc>
        <w:tc>
          <w:tcPr>
            <w:tcW w:w="2659" w:type="dxa"/>
          </w:tcPr>
          <w:p w:rsidR="00BE6CF6" w:rsidRPr="007F5722" w:rsidRDefault="00BE6CF6" w:rsidP="00115BA3">
            <w:pPr>
              <w:jc w:val="center"/>
              <w:rPr>
                <w:rFonts w:ascii="Times New Roman" w:hAnsi="Times New Roman" w:cs="Times New Roman"/>
                <w:sz w:val="28"/>
                <w:szCs w:val="28"/>
              </w:rPr>
            </w:pPr>
          </w:p>
          <w:p w:rsidR="009F32D3" w:rsidRPr="007F5722" w:rsidRDefault="00CF2220" w:rsidP="00115BA3">
            <w:pPr>
              <w:jc w:val="center"/>
              <w:rPr>
                <w:rFonts w:ascii="Times New Roman" w:hAnsi="Times New Roman" w:cs="Times New Roman"/>
                <w:sz w:val="28"/>
                <w:szCs w:val="28"/>
              </w:rPr>
            </w:pPr>
            <w:r w:rsidRPr="007F5722">
              <w:rPr>
                <w:rFonts w:ascii="Times New Roman" w:hAnsi="Times New Roman" w:cs="Times New Roman"/>
                <w:sz w:val="28"/>
                <w:szCs w:val="28"/>
              </w:rPr>
              <w:t>107,4 (101,9; 129</w:t>
            </w:r>
            <w:r w:rsidR="009F32D3" w:rsidRPr="007F5722">
              <w:rPr>
                <w:rFonts w:ascii="Times New Roman" w:hAnsi="Times New Roman" w:cs="Times New Roman"/>
                <w:sz w:val="28"/>
                <w:szCs w:val="28"/>
              </w:rPr>
              <w:t>,1)</w:t>
            </w:r>
          </w:p>
          <w:p w:rsidR="00CF2220" w:rsidRPr="007F5722" w:rsidRDefault="00CF2220" w:rsidP="00115BA3">
            <w:pPr>
              <w:jc w:val="center"/>
              <w:rPr>
                <w:rFonts w:ascii="Times New Roman" w:hAnsi="Times New Roman" w:cs="Times New Roman"/>
                <w:sz w:val="28"/>
                <w:szCs w:val="28"/>
              </w:rPr>
            </w:pPr>
            <w:r w:rsidRPr="007F5722">
              <w:rPr>
                <w:rFonts w:ascii="Times New Roman" w:hAnsi="Times New Roman" w:cs="Times New Roman"/>
                <w:sz w:val="28"/>
                <w:szCs w:val="28"/>
              </w:rPr>
              <w:t>86,9 (82,7; 101,9)</w:t>
            </w:r>
          </w:p>
        </w:tc>
      </w:tr>
      <w:tr w:rsidR="009F32D3" w:rsidRPr="007F5722" w:rsidTr="00284257">
        <w:tc>
          <w:tcPr>
            <w:tcW w:w="1809" w:type="dxa"/>
          </w:tcPr>
          <w:p w:rsidR="009F32D3" w:rsidRPr="007F5722" w:rsidRDefault="009F32D3" w:rsidP="00115BA3">
            <w:pPr>
              <w:jc w:val="both"/>
              <w:rPr>
                <w:rFonts w:ascii="Times New Roman" w:hAnsi="Times New Roman" w:cs="Times New Roman"/>
                <w:sz w:val="28"/>
                <w:szCs w:val="28"/>
              </w:rPr>
            </w:pPr>
            <w:r w:rsidRPr="007F5722">
              <w:rPr>
                <w:rFonts w:ascii="Times New Roman" w:hAnsi="Times New Roman" w:cs="Times New Roman"/>
                <w:bCs/>
                <w:sz w:val="28"/>
                <w:szCs w:val="28"/>
              </w:rPr>
              <w:t>іММз</w:t>
            </w:r>
            <w:r w:rsidRPr="007F5722">
              <w:rPr>
                <w:rFonts w:ascii="Times New Roman" w:hAnsi="Times New Roman" w:cs="Times New Roman"/>
                <w:bCs/>
                <w:sz w:val="28"/>
                <w:szCs w:val="28"/>
                <w:vertAlign w:val="superscript"/>
              </w:rPr>
              <w:t>2,7</w:t>
            </w:r>
            <w:r w:rsidRPr="007F5722">
              <w:rPr>
                <w:rFonts w:ascii="Times New Roman" w:hAnsi="Times New Roman" w:cs="Times New Roman"/>
                <w:bCs/>
                <w:sz w:val="28"/>
                <w:szCs w:val="28"/>
              </w:rPr>
              <w:t>, г/м</w:t>
            </w:r>
            <w:r w:rsidRPr="007F5722">
              <w:rPr>
                <w:rFonts w:ascii="Times New Roman" w:hAnsi="Times New Roman" w:cs="Times New Roman"/>
                <w:bCs/>
                <w:sz w:val="28"/>
                <w:szCs w:val="28"/>
                <w:vertAlign w:val="superscript"/>
                <w:lang w:val="ru-RU"/>
              </w:rPr>
              <w:t>2,7</w:t>
            </w:r>
          </w:p>
        </w:tc>
        <w:tc>
          <w:tcPr>
            <w:tcW w:w="2552" w:type="dxa"/>
          </w:tcPr>
          <w:p w:rsidR="009F32D3" w:rsidRPr="007F5722" w:rsidRDefault="009F32D3" w:rsidP="00115BA3">
            <w:pPr>
              <w:jc w:val="center"/>
              <w:rPr>
                <w:rFonts w:ascii="Times New Roman" w:hAnsi="Times New Roman" w:cs="Times New Roman"/>
                <w:sz w:val="28"/>
                <w:szCs w:val="28"/>
              </w:rPr>
            </w:pPr>
            <w:r w:rsidRPr="007F5722">
              <w:rPr>
                <w:rFonts w:ascii="Times New Roman" w:hAnsi="Times New Roman" w:cs="Times New Roman"/>
                <w:sz w:val="28"/>
                <w:szCs w:val="28"/>
              </w:rPr>
              <w:t>42,4 (36,4; 48,3)</w:t>
            </w:r>
          </w:p>
        </w:tc>
        <w:tc>
          <w:tcPr>
            <w:tcW w:w="2551" w:type="dxa"/>
          </w:tcPr>
          <w:p w:rsidR="009F32D3" w:rsidRPr="007F5722" w:rsidRDefault="009F32D3" w:rsidP="00284257">
            <w:pPr>
              <w:jc w:val="center"/>
              <w:rPr>
                <w:rFonts w:ascii="Times New Roman" w:hAnsi="Times New Roman" w:cs="Times New Roman"/>
                <w:sz w:val="28"/>
                <w:szCs w:val="28"/>
                <w:lang w:val="ru-RU"/>
              </w:rPr>
            </w:pPr>
            <w:r w:rsidRPr="007F5722">
              <w:rPr>
                <w:rFonts w:ascii="Times New Roman" w:hAnsi="Times New Roman" w:cs="Times New Roman"/>
                <w:sz w:val="28"/>
                <w:szCs w:val="28"/>
              </w:rPr>
              <w:t>52,4 (39,1; 60,5)</w:t>
            </w:r>
            <w:r w:rsidR="00284257" w:rsidRPr="007F5722">
              <w:rPr>
                <w:rFonts w:ascii="Times New Roman" w:hAnsi="Times New Roman" w:cs="Times New Roman"/>
                <w:sz w:val="28"/>
                <w:szCs w:val="28"/>
                <w:lang w:val="ru-RU"/>
              </w:rPr>
              <w:t xml:space="preserve"> </w:t>
            </w:r>
            <w:r w:rsidR="00284257" w:rsidRPr="007F5722">
              <w:rPr>
                <w:rFonts w:ascii="Times New Roman" w:hAnsi="Times New Roman" w:cs="Times New Roman"/>
                <w:b/>
                <w:sz w:val="28"/>
                <w:szCs w:val="28"/>
                <w:lang w:val="ru-RU"/>
              </w:rPr>
              <w:t>*</w:t>
            </w:r>
          </w:p>
        </w:tc>
        <w:tc>
          <w:tcPr>
            <w:tcW w:w="2659" w:type="dxa"/>
          </w:tcPr>
          <w:p w:rsidR="009F32D3" w:rsidRPr="007F5722" w:rsidRDefault="009F32D3" w:rsidP="00284257">
            <w:pPr>
              <w:jc w:val="center"/>
              <w:rPr>
                <w:rFonts w:ascii="Times New Roman" w:hAnsi="Times New Roman" w:cs="Times New Roman"/>
                <w:sz w:val="28"/>
                <w:szCs w:val="28"/>
                <w:lang w:val="ru-RU"/>
              </w:rPr>
            </w:pPr>
            <w:r w:rsidRPr="007F5722">
              <w:rPr>
                <w:rFonts w:ascii="Times New Roman" w:hAnsi="Times New Roman" w:cs="Times New Roman"/>
                <w:sz w:val="28"/>
                <w:szCs w:val="28"/>
              </w:rPr>
              <w:t>55,6 (45,9; 61,8)</w:t>
            </w:r>
            <w:r w:rsidR="00284257" w:rsidRPr="007F5722">
              <w:rPr>
                <w:rFonts w:ascii="Times New Roman" w:hAnsi="Times New Roman" w:cs="Times New Roman"/>
                <w:sz w:val="28"/>
                <w:szCs w:val="28"/>
                <w:lang w:val="ru-RU"/>
              </w:rPr>
              <w:t xml:space="preserve"> </w:t>
            </w:r>
            <w:r w:rsidR="00284257" w:rsidRPr="007F5722">
              <w:rPr>
                <w:rFonts w:ascii="Times New Roman" w:hAnsi="Times New Roman" w:cs="Times New Roman"/>
                <w:b/>
                <w:sz w:val="28"/>
                <w:szCs w:val="28"/>
                <w:lang w:val="ru-RU"/>
              </w:rPr>
              <w:t>*</w:t>
            </w:r>
          </w:p>
        </w:tc>
      </w:tr>
      <w:tr w:rsidR="005F5A81" w:rsidRPr="007F5722" w:rsidTr="00284257">
        <w:tc>
          <w:tcPr>
            <w:tcW w:w="1809" w:type="dxa"/>
          </w:tcPr>
          <w:p w:rsidR="005F5A81" w:rsidRPr="007F5722" w:rsidRDefault="005F5A81" w:rsidP="00115BA3">
            <w:pPr>
              <w:jc w:val="both"/>
              <w:rPr>
                <w:rFonts w:ascii="Times New Roman" w:hAnsi="Times New Roman" w:cs="Times New Roman"/>
                <w:bCs/>
                <w:sz w:val="28"/>
                <w:szCs w:val="28"/>
              </w:rPr>
            </w:pPr>
            <w:r w:rsidRPr="007F5722">
              <w:rPr>
                <w:rFonts w:ascii="Times New Roman" w:hAnsi="Times New Roman" w:cs="Times New Roman"/>
                <w:bCs/>
                <w:sz w:val="28"/>
                <w:szCs w:val="28"/>
              </w:rPr>
              <w:t>ІЛ-22,</w:t>
            </w:r>
            <w:r w:rsidR="00365E10" w:rsidRPr="007F5722">
              <w:rPr>
                <w:rFonts w:ascii="Times New Roman" w:hAnsi="Times New Roman" w:cs="Times New Roman"/>
                <w:bCs/>
                <w:sz w:val="28"/>
                <w:szCs w:val="28"/>
              </w:rPr>
              <w:t xml:space="preserve"> пг/мл</w:t>
            </w:r>
          </w:p>
        </w:tc>
        <w:tc>
          <w:tcPr>
            <w:tcW w:w="2552" w:type="dxa"/>
          </w:tcPr>
          <w:p w:rsidR="005F5A81" w:rsidRPr="007F5722" w:rsidRDefault="00365E10" w:rsidP="00365E10">
            <w:pPr>
              <w:jc w:val="center"/>
              <w:rPr>
                <w:rFonts w:ascii="Times New Roman" w:hAnsi="Times New Roman" w:cs="Times New Roman"/>
                <w:sz w:val="28"/>
                <w:szCs w:val="28"/>
              </w:rPr>
            </w:pPr>
            <w:r w:rsidRPr="007F5722">
              <w:rPr>
                <w:rFonts w:ascii="Times New Roman" w:hAnsi="Times New Roman" w:cs="Times New Roman"/>
                <w:sz w:val="28"/>
                <w:szCs w:val="28"/>
              </w:rPr>
              <w:t>23,14 (22,47; 23,76)</w:t>
            </w:r>
          </w:p>
        </w:tc>
        <w:tc>
          <w:tcPr>
            <w:tcW w:w="2551" w:type="dxa"/>
          </w:tcPr>
          <w:p w:rsidR="005F5A81" w:rsidRPr="007F5722" w:rsidRDefault="00365E10" w:rsidP="00115BA3">
            <w:pPr>
              <w:jc w:val="center"/>
              <w:rPr>
                <w:rFonts w:ascii="Times New Roman" w:hAnsi="Times New Roman" w:cs="Times New Roman"/>
                <w:sz w:val="28"/>
                <w:szCs w:val="28"/>
              </w:rPr>
            </w:pPr>
            <w:r w:rsidRPr="007F5722">
              <w:rPr>
                <w:rFonts w:ascii="Times New Roman" w:hAnsi="Times New Roman" w:cs="Times New Roman"/>
                <w:sz w:val="28"/>
                <w:szCs w:val="28"/>
              </w:rPr>
              <w:t>28,64 (27,49; 28,94)</w:t>
            </w:r>
          </w:p>
        </w:tc>
        <w:tc>
          <w:tcPr>
            <w:tcW w:w="2659" w:type="dxa"/>
          </w:tcPr>
          <w:p w:rsidR="005F5A81" w:rsidRPr="007F5722" w:rsidRDefault="00365E10" w:rsidP="00115BA3">
            <w:pPr>
              <w:jc w:val="center"/>
              <w:rPr>
                <w:rFonts w:ascii="Times New Roman" w:hAnsi="Times New Roman" w:cs="Times New Roman"/>
                <w:sz w:val="28"/>
                <w:szCs w:val="28"/>
              </w:rPr>
            </w:pPr>
            <w:r w:rsidRPr="007F5722">
              <w:rPr>
                <w:rFonts w:ascii="Times New Roman" w:hAnsi="Times New Roman" w:cs="Times New Roman"/>
                <w:sz w:val="28"/>
                <w:szCs w:val="28"/>
              </w:rPr>
              <w:t>40,05 (35,23; 53,02)</w:t>
            </w:r>
          </w:p>
        </w:tc>
      </w:tr>
    </w:tbl>
    <w:p w:rsidR="009F32D3" w:rsidRPr="007F5722" w:rsidRDefault="00284257" w:rsidP="00E31F54">
      <w:pPr>
        <w:shd w:val="clear" w:color="auto" w:fill="FFFFFF"/>
        <w:spacing w:after="0" w:line="360" w:lineRule="auto"/>
        <w:ind w:firstLine="709"/>
        <w:jc w:val="both"/>
        <w:rPr>
          <w:rFonts w:ascii="Times New Roman" w:eastAsia="Times New Roman" w:hAnsi="Times New Roman" w:cs="Times New Roman"/>
          <w:bCs/>
          <w:color w:val="000000"/>
          <w:sz w:val="24"/>
          <w:szCs w:val="24"/>
        </w:rPr>
      </w:pPr>
      <w:r w:rsidRPr="007F5722">
        <w:rPr>
          <w:rFonts w:ascii="Times New Roman" w:eastAsia="Times New Roman" w:hAnsi="Times New Roman" w:cs="Times New Roman"/>
          <w:bCs/>
          <w:color w:val="000000"/>
          <w:sz w:val="24"/>
          <w:szCs w:val="24"/>
        </w:rPr>
        <w:t xml:space="preserve">Примітки: </w:t>
      </w:r>
      <w:r w:rsidR="009F32D3" w:rsidRPr="007F5722">
        <w:rPr>
          <w:rFonts w:ascii="Times New Roman" w:eastAsia="Times New Roman" w:hAnsi="Times New Roman" w:cs="Times New Roman"/>
          <w:b/>
          <w:bCs/>
          <w:color w:val="000000"/>
          <w:sz w:val="24"/>
          <w:szCs w:val="24"/>
        </w:rPr>
        <w:t>*</w:t>
      </w:r>
      <w:r w:rsidR="009F32D3" w:rsidRPr="007F5722">
        <w:rPr>
          <w:rFonts w:ascii="Times New Roman" w:eastAsia="Times New Roman" w:hAnsi="Times New Roman" w:cs="Times New Roman"/>
          <w:bCs/>
          <w:color w:val="000000"/>
          <w:sz w:val="24"/>
          <w:szCs w:val="24"/>
        </w:rPr>
        <w:t xml:space="preserve"> – </w:t>
      </w:r>
      <w:r w:rsidRPr="007F5722">
        <w:rPr>
          <w:rFonts w:ascii="Times New Roman" w:eastAsia="Times New Roman" w:hAnsi="Times New Roman" w:cs="Times New Roman"/>
          <w:bCs/>
          <w:color w:val="000000"/>
          <w:sz w:val="24"/>
          <w:szCs w:val="24"/>
        </w:rPr>
        <w:t xml:space="preserve">відмінність статистично достовірна </w:t>
      </w:r>
      <w:r w:rsidR="00543F7E" w:rsidRPr="007F5722">
        <w:rPr>
          <w:rFonts w:ascii="Times New Roman" w:eastAsia="Times New Roman" w:hAnsi="Times New Roman" w:cs="Times New Roman"/>
          <w:bCs/>
          <w:color w:val="000000"/>
          <w:sz w:val="24"/>
          <w:szCs w:val="24"/>
        </w:rPr>
        <w:t>в</w:t>
      </w:r>
      <w:r w:rsidR="009F32D3" w:rsidRPr="007F5722">
        <w:rPr>
          <w:rFonts w:ascii="Times New Roman" w:eastAsia="Times New Roman" w:hAnsi="Times New Roman" w:cs="Times New Roman"/>
          <w:bCs/>
          <w:color w:val="000000"/>
          <w:sz w:val="24"/>
          <w:szCs w:val="24"/>
        </w:rPr>
        <w:t xml:space="preserve"> по</w:t>
      </w:r>
      <w:r w:rsidR="00FD151A" w:rsidRPr="007F5722">
        <w:rPr>
          <w:rFonts w:ascii="Times New Roman" w:eastAsia="Times New Roman" w:hAnsi="Times New Roman" w:cs="Times New Roman"/>
          <w:bCs/>
          <w:color w:val="000000"/>
          <w:sz w:val="24"/>
          <w:szCs w:val="24"/>
        </w:rPr>
        <w:t>рівнянні з хворими на</w:t>
      </w:r>
      <w:r w:rsidR="009F32D3" w:rsidRPr="007F5722">
        <w:rPr>
          <w:rFonts w:ascii="Times New Roman" w:eastAsia="Times New Roman" w:hAnsi="Times New Roman" w:cs="Times New Roman"/>
          <w:bCs/>
          <w:color w:val="000000"/>
          <w:sz w:val="24"/>
          <w:szCs w:val="24"/>
        </w:rPr>
        <w:t xml:space="preserve"> ГХ</w:t>
      </w:r>
      <w:r w:rsidR="00FD151A" w:rsidRPr="007F5722">
        <w:rPr>
          <w:rFonts w:ascii="Times New Roman" w:eastAsia="Times New Roman" w:hAnsi="Times New Roman" w:cs="Times New Roman"/>
          <w:bCs/>
          <w:color w:val="000000"/>
          <w:sz w:val="24"/>
          <w:szCs w:val="24"/>
        </w:rPr>
        <w:t xml:space="preserve"> з нормальною масою тіла</w:t>
      </w:r>
      <w:r w:rsidR="00820979" w:rsidRPr="007F5722">
        <w:rPr>
          <w:rFonts w:ascii="Times New Roman" w:eastAsia="Times New Roman" w:hAnsi="Times New Roman" w:cs="Times New Roman"/>
          <w:bCs/>
          <w:color w:val="000000"/>
          <w:sz w:val="24"/>
          <w:szCs w:val="24"/>
        </w:rPr>
        <w:t>; ММ</w:t>
      </w:r>
      <w:r w:rsidR="009F32D3" w:rsidRPr="007F5722">
        <w:rPr>
          <w:rFonts w:ascii="Times New Roman" w:eastAsia="Times New Roman" w:hAnsi="Times New Roman" w:cs="Times New Roman"/>
          <w:bCs/>
          <w:color w:val="000000"/>
          <w:sz w:val="24"/>
          <w:szCs w:val="24"/>
        </w:rPr>
        <w:t xml:space="preserve">ЛШ – маса міокарда лівого шлуночку; іММ – індекс маси </w:t>
      </w:r>
      <w:r w:rsidR="009F32D3" w:rsidRPr="007F5722">
        <w:rPr>
          <w:rFonts w:ascii="Times New Roman" w:eastAsia="Times New Roman" w:hAnsi="Times New Roman" w:cs="Times New Roman"/>
          <w:bCs/>
          <w:color w:val="000000"/>
          <w:sz w:val="24"/>
          <w:szCs w:val="24"/>
        </w:rPr>
        <w:lastRenderedPageBreak/>
        <w:t>міокарда; іММз</w:t>
      </w:r>
      <w:r w:rsidR="009F32D3" w:rsidRPr="007F5722">
        <w:rPr>
          <w:rFonts w:ascii="Times New Roman" w:eastAsia="Times New Roman" w:hAnsi="Times New Roman" w:cs="Times New Roman"/>
          <w:bCs/>
          <w:color w:val="000000"/>
          <w:sz w:val="24"/>
          <w:szCs w:val="24"/>
          <w:vertAlign w:val="superscript"/>
        </w:rPr>
        <w:t xml:space="preserve">2,7  </w:t>
      </w:r>
      <w:r w:rsidR="009F32D3" w:rsidRPr="007F5722">
        <w:rPr>
          <w:rFonts w:ascii="Times New Roman" w:eastAsia="Times New Roman" w:hAnsi="Times New Roman" w:cs="Times New Roman"/>
          <w:bCs/>
          <w:color w:val="000000"/>
          <w:sz w:val="24"/>
          <w:szCs w:val="24"/>
        </w:rPr>
        <w:t>- індекс маси міокарда за зростом; ТМШП – товщи</w:t>
      </w:r>
      <w:r w:rsidR="00820979" w:rsidRPr="007F5722">
        <w:rPr>
          <w:rFonts w:ascii="Times New Roman" w:eastAsia="Times New Roman" w:hAnsi="Times New Roman" w:cs="Times New Roman"/>
          <w:bCs/>
          <w:color w:val="000000"/>
          <w:sz w:val="24"/>
          <w:szCs w:val="24"/>
        </w:rPr>
        <w:t>на міжшлункової перетинки; ТЗС</w:t>
      </w:r>
      <w:r w:rsidR="009F32D3" w:rsidRPr="007F5722">
        <w:rPr>
          <w:rFonts w:ascii="Times New Roman" w:eastAsia="Times New Roman" w:hAnsi="Times New Roman" w:cs="Times New Roman"/>
          <w:bCs/>
          <w:color w:val="000000"/>
          <w:sz w:val="24"/>
          <w:szCs w:val="24"/>
        </w:rPr>
        <w:t>ЛШ – товщина задньої стінки лівого шлуночку; КДР – кінцевий діастолічний розмір</w:t>
      </w:r>
      <w:r w:rsidR="00820979" w:rsidRPr="007F5722">
        <w:rPr>
          <w:rFonts w:ascii="Times New Roman" w:eastAsia="Times New Roman" w:hAnsi="Times New Roman" w:cs="Times New Roman"/>
          <w:bCs/>
          <w:color w:val="000000"/>
          <w:sz w:val="24"/>
          <w:szCs w:val="24"/>
        </w:rPr>
        <w:t>, КСР - кінцевий сістолічний розмір, ВТСЛШ – відносна товщина стінки лівого шлуночка</w:t>
      </w:r>
      <w:r w:rsidR="009F32D3" w:rsidRPr="007F5722">
        <w:rPr>
          <w:rFonts w:ascii="Times New Roman" w:eastAsia="Times New Roman" w:hAnsi="Times New Roman" w:cs="Times New Roman"/>
          <w:bCs/>
          <w:color w:val="000000"/>
          <w:sz w:val="24"/>
          <w:szCs w:val="24"/>
        </w:rPr>
        <w:t>.</w:t>
      </w:r>
    </w:p>
    <w:p w:rsidR="00EB3DB7" w:rsidRPr="007F5722" w:rsidRDefault="00EB3DB7" w:rsidP="00AE394E">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Відмічається вірогідна тенденція до зростання середніх значень КДР та КСР у обстежених хворих з приєднанням надмірної маси тіла та ожиріння з досягненням найвищих показників серед пацієнтів із ожирінням 1-3 ступеню (</w:t>
      </w:r>
      <w:r w:rsidRPr="007F5722">
        <w:rPr>
          <w:rFonts w:ascii="Times New Roman" w:hAnsi="Times New Roman" w:cs="Times New Roman"/>
          <w:sz w:val="28"/>
          <w:szCs w:val="28"/>
        </w:rPr>
        <w:t>4,9 (4,7; 5,1)</w:t>
      </w:r>
      <w:r w:rsidRPr="007F5722">
        <w:rPr>
          <w:rFonts w:ascii="Times New Roman" w:eastAsia="Times New Roman" w:hAnsi="Times New Roman" w:cs="Times New Roman"/>
          <w:bCs/>
          <w:color w:val="000000"/>
          <w:sz w:val="28"/>
          <w:szCs w:val="28"/>
        </w:rPr>
        <w:t xml:space="preserve"> см та </w:t>
      </w:r>
      <w:r w:rsidRPr="007F5722">
        <w:rPr>
          <w:rFonts w:ascii="Times New Roman" w:hAnsi="Times New Roman" w:cs="Times New Roman"/>
          <w:sz w:val="28"/>
          <w:szCs w:val="28"/>
        </w:rPr>
        <w:t>3,1 (2,9; 3,4) см</w:t>
      </w:r>
      <w:r w:rsidRPr="007F5722">
        <w:rPr>
          <w:rFonts w:ascii="Times New Roman" w:eastAsia="Times New Roman" w:hAnsi="Times New Roman" w:cs="Times New Roman"/>
          <w:bCs/>
          <w:color w:val="000000"/>
          <w:sz w:val="28"/>
          <w:szCs w:val="28"/>
        </w:rPr>
        <w:t>) відповідно, в порівнянні з пацієнтами з нормальною масою тіла (</w:t>
      </w:r>
      <w:r w:rsidRPr="007F5722">
        <w:rPr>
          <w:rFonts w:ascii="Times New Roman" w:hAnsi="Times New Roman" w:cs="Times New Roman"/>
          <w:sz w:val="28"/>
          <w:szCs w:val="28"/>
        </w:rPr>
        <w:t>4,4 (4,1; 4,9) см та 2,8 (2,4; 3,1) см</w:t>
      </w:r>
      <w:r w:rsidRPr="007F5722">
        <w:rPr>
          <w:rFonts w:ascii="Times New Roman" w:eastAsia="Times New Roman" w:hAnsi="Times New Roman" w:cs="Times New Roman"/>
          <w:bCs/>
          <w:color w:val="000000"/>
          <w:sz w:val="28"/>
          <w:szCs w:val="28"/>
        </w:rPr>
        <w:t>), та пацієнтами хворими на ГХ з надмірною масою тіла (</w:t>
      </w:r>
      <w:r w:rsidRPr="007F5722">
        <w:rPr>
          <w:rFonts w:ascii="Times New Roman" w:hAnsi="Times New Roman" w:cs="Times New Roman"/>
          <w:sz w:val="28"/>
          <w:szCs w:val="28"/>
        </w:rPr>
        <w:t>4,7 (4,4; 5,3) см та 2,82 (2,6; 3,39) см</w:t>
      </w:r>
      <w:r w:rsidRPr="007F5722">
        <w:rPr>
          <w:rFonts w:ascii="Times New Roman" w:eastAsia="Times New Roman" w:hAnsi="Times New Roman" w:cs="Times New Roman"/>
          <w:bCs/>
          <w:color w:val="000000"/>
          <w:sz w:val="28"/>
          <w:szCs w:val="28"/>
        </w:rPr>
        <w:t xml:space="preserve">). </w:t>
      </w:r>
    </w:p>
    <w:p w:rsidR="00AE394E" w:rsidRPr="007F5722" w:rsidRDefault="00EB3DB7" w:rsidP="00EB3DB7">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На особливу увагу заслуговує той факт, що традиційно використовувана індексація маси міокарда за площею поверхні тіла показала результати, що вірогідно не відрізнялися між різними клінічними групами. Враховуючи літературні дані про обмежену інформативність такого підходу у хворих із високими ступенями ожиріння</w:t>
      </w:r>
      <w:r w:rsidR="000A5F5B" w:rsidRPr="007F5722">
        <w:rPr>
          <w:rFonts w:ascii="Times New Roman" w:eastAsia="Times New Roman" w:hAnsi="Times New Roman" w:cs="Times New Roman"/>
          <w:bCs/>
          <w:color w:val="000000"/>
          <w:sz w:val="28"/>
          <w:szCs w:val="28"/>
        </w:rPr>
        <w:t xml:space="preserve"> [206-208]</w:t>
      </w:r>
      <w:r w:rsidRPr="007F5722">
        <w:rPr>
          <w:rFonts w:ascii="Times New Roman" w:eastAsia="Times New Roman" w:hAnsi="Times New Roman" w:cs="Times New Roman"/>
          <w:bCs/>
          <w:color w:val="000000"/>
          <w:sz w:val="28"/>
          <w:szCs w:val="28"/>
        </w:rPr>
        <w:t>, додатково був проведений розрахунок індексу маси міокарда ЛШ за зростом</w:t>
      </w:r>
      <w:r w:rsidRPr="007F5722">
        <w:rPr>
          <w:rFonts w:ascii="Times New Roman" w:eastAsia="Times New Roman" w:hAnsi="Times New Roman" w:cs="Times New Roman"/>
          <w:bCs/>
          <w:color w:val="000000"/>
          <w:sz w:val="28"/>
          <w:szCs w:val="28"/>
          <w:vertAlign w:val="superscript"/>
        </w:rPr>
        <w:t>2,7</w:t>
      </w:r>
      <w:r w:rsidRPr="007F5722">
        <w:rPr>
          <w:rFonts w:ascii="Times New Roman" w:eastAsia="Times New Roman" w:hAnsi="Times New Roman" w:cs="Times New Roman"/>
          <w:bCs/>
          <w:color w:val="000000"/>
          <w:sz w:val="28"/>
          <w:szCs w:val="28"/>
        </w:rPr>
        <w:t>, що вияв</w:t>
      </w:r>
      <w:r w:rsidR="00ED25F1" w:rsidRPr="007F5722">
        <w:rPr>
          <w:rFonts w:ascii="Times New Roman" w:eastAsia="Times New Roman" w:hAnsi="Times New Roman" w:cs="Times New Roman"/>
          <w:bCs/>
          <w:color w:val="000000"/>
          <w:sz w:val="28"/>
          <w:szCs w:val="28"/>
        </w:rPr>
        <w:t>ився вірогідно підвищеним в групі</w:t>
      </w:r>
      <w:r w:rsidRPr="007F5722">
        <w:rPr>
          <w:rFonts w:ascii="Times New Roman" w:eastAsia="Times New Roman" w:hAnsi="Times New Roman" w:cs="Times New Roman"/>
          <w:bCs/>
          <w:color w:val="000000"/>
          <w:sz w:val="28"/>
          <w:szCs w:val="28"/>
        </w:rPr>
        <w:t xml:space="preserve"> пацієнтів із ожирінням, відобр</w:t>
      </w:r>
      <w:r w:rsidR="00E54128" w:rsidRPr="007F5722">
        <w:rPr>
          <w:rFonts w:ascii="Times New Roman" w:eastAsia="Times New Roman" w:hAnsi="Times New Roman" w:cs="Times New Roman"/>
          <w:bCs/>
          <w:color w:val="000000"/>
          <w:sz w:val="28"/>
          <w:szCs w:val="28"/>
        </w:rPr>
        <w:t>ажаючи більш виражене ураження</w:t>
      </w:r>
      <w:r w:rsidRPr="007F5722">
        <w:rPr>
          <w:rFonts w:ascii="Times New Roman" w:eastAsia="Times New Roman" w:hAnsi="Times New Roman" w:cs="Times New Roman"/>
          <w:bCs/>
          <w:color w:val="000000"/>
          <w:sz w:val="28"/>
          <w:szCs w:val="28"/>
        </w:rPr>
        <w:t xml:space="preserve"> міок</w:t>
      </w:r>
      <w:r w:rsidR="00AE394E" w:rsidRPr="007F5722">
        <w:rPr>
          <w:rFonts w:ascii="Times New Roman" w:eastAsia="Times New Roman" w:hAnsi="Times New Roman" w:cs="Times New Roman"/>
          <w:bCs/>
          <w:color w:val="000000"/>
          <w:sz w:val="28"/>
          <w:szCs w:val="28"/>
        </w:rPr>
        <w:t>арда у хворих з ожирінням. (і</w:t>
      </w:r>
      <w:r w:rsidRPr="007F5722">
        <w:rPr>
          <w:rFonts w:ascii="Times New Roman" w:eastAsia="Times New Roman" w:hAnsi="Times New Roman" w:cs="Times New Roman"/>
          <w:bCs/>
          <w:color w:val="000000"/>
          <w:sz w:val="28"/>
          <w:szCs w:val="28"/>
        </w:rPr>
        <w:t>ММ</w:t>
      </w:r>
      <w:r w:rsidR="00AE394E" w:rsidRPr="007F5722">
        <w:rPr>
          <w:rFonts w:ascii="Times New Roman" w:eastAsia="Times New Roman" w:hAnsi="Times New Roman" w:cs="Times New Roman"/>
          <w:bCs/>
          <w:color w:val="000000"/>
          <w:sz w:val="28"/>
          <w:szCs w:val="28"/>
        </w:rPr>
        <w:t>з</w:t>
      </w:r>
      <w:r w:rsidRPr="007F5722">
        <w:rPr>
          <w:rFonts w:ascii="Times New Roman" w:eastAsia="Times New Roman" w:hAnsi="Times New Roman" w:cs="Times New Roman"/>
          <w:bCs/>
          <w:color w:val="000000"/>
          <w:sz w:val="28"/>
          <w:szCs w:val="28"/>
          <w:vertAlign w:val="superscript"/>
        </w:rPr>
        <w:t xml:space="preserve">2,7 </w:t>
      </w:r>
      <w:r w:rsidRPr="007F5722">
        <w:rPr>
          <w:rFonts w:ascii="Times New Roman" w:eastAsia="Times New Roman" w:hAnsi="Times New Roman" w:cs="Times New Roman"/>
          <w:bCs/>
          <w:color w:val="000000"/>
          <w:sz w:val="28"/>
          <w:szCs w:val="28"/>
        </w:rPr>
        <w:t>у цій групі</w:t>
      </w:r>
      <w:r w:rsidRPr="007F5722">
        <w:rPr>
          <w:rFonts w:ascii="Times New Roman" w:eastAsia="Times New Roman" w:hAnsi="Times New Roman" w:cs="Times New Roman"/>
          <w:bCs/>
          <w:color w:val="000000"/>
          <w:sz w:val="28"/>
          <w:szCs w:val="28"/>
          <w:vertAlign w:val="superscript"/>
        </w:rPr>
        <w:t xml:space="preserve"> </w:t>
      </w:r>
      <w:r w:rsidRPr="007F5722">
        <w:rPr>
          <w:rFonts w:ascii="Times New Roman" w:eastAsia="Times New Roman" w:hAnsi="Times New Roman" w:cs="Times New Roman"/>
          <w:bCs/>
          <w:color w:val="000000"/>
          <w:sz w:val="28"/>
          <w:szCs w:val="28"/>
        </w:rPr>
        <w:t>становив</w:t>
      </w:r>
      <w:r w:rsidRPr="007F5722">
        <w:rPr>
          <w:rFonts w:ascii="Times New Roman" w:eastAsia="Times New Roman" w:hAnsi="Times New Roman" w:cs="Times New Roman"/>
          <w:bCs/>
          <w:color w:val="000000"/>
          <w:sz w:val="28"/>
          <w:szCs w:val="28"/>
          <w:vertAlign w:val="superscript"/>
        </w:rPr>
        <w:t xml:space="preserve"> </w:t>
      </w:r>
      <w:r w:rsidR="00AE394E" w:rsidRPr="007F5722">
        <w:rPr>
          <w:rFonts w:ascii="Times New Roman" w:hAnsi="Times New Roman" w:cs="Times New Roman"/>
          <w:sz w:val="28"/>
          <w:szCs w:val="28"/>
        </w:rPr>
        <w:t xml:space="preserve">55,6 (45,9; 61,8) </w:t>
      </w:r>
      <w:r w:rsidRPr="007F5722">
        <w:rPr>
          <w:rFonts w:ascii="Times New Roman" w:eastAsia="Times New Roman" w:hAnsi="Times New Roman" w:cs="Times New Roman"/>
          <w:bCs/>
          <w:color w:val="000000"/>
          <w:sz w:val="28"/>
          <w:szCs w:val="28"/>
        </w:rPr>
        <w:t>г/м</w:t>
      </w:r>
      <w:r w:rsidRPr="007F5722">
        <w:rPr>
          <w:rFonts w:ascii="Times New Roman" w:eastAsia="Times New Roman" w:hAnsi="Times New Roman" w:cs="Times New Roman"/>
          <w:bCs/>
          <w:color w:val="000000"/>
          <w:sz w:val="28"/>
          <w:szCs w:val="28"/>
          <w:vertAlign w:val="superscript"/>
        </w:rPr>
        <w:t>2,7</w:t>
      </w:r>
      <w:r w:rsidRPr="007F5722">
        <w:rPr>
          <w:rFonts w:ascii="Times New Roman" w:eastAsia="Times New Roman" w:hAnsi="Times New Roman" w:cs="Times New Roman"/>
          <w:bCs/>
          <w:color w:val="000000"/>
          <w:sz w:val="28"/>
          <w:szCs w:val="28"/>
        </w:rPr>
        <w:t xml:space="preserve"> в порівнянні з хвори</w:t>
      </w:r>
      <w:r w:rsidR="00AE394E" w:rsidRPr="007F5722">
        <w:rPr>
          <w:rFonts w:ascii="Times New Roman" w:eastAsia="Times New Roman" w:hAnsi="Times New Roman" w:cs="Times New Roman"/>
          <w:bCs/>
          <w:color w:val="000000"/>
          <w:sz w:val="28"/>
          <w:szCs w:val="28"/>
        </w:rPr>
        <w:t>ми з нормальною масою тіла, де і</w:t>
      </w:r>
      <w:r w:rsidRPr="007F5722">
        <w:rPr>
          <w:rFonts w:ascii="Times New Roman" w:eastAsia="Times New Roman" w:hAnsi="Times New Roman" w:cs="Times New Roman"/>
          <w:bCs/>
          <w:color w:val="000000"/>
          <w:sz w:val="28"/>
          <w:szCs w:val="28"/>
        </w:rPr>
        <w:t>ММ</w:t>
      </w:r>
      <w:r w:rsidR="00AE394E" w:rsidRPr="007F5722">
        <w:rPr>
          <w:rFonts w:ascii="Times New Roman" w:eastAsia="Times New Roman" w:hAnsi="Times New Roman" w:cs="Times New Roman"/>
          <w:bCs/>
          <w:color w:val="000000"/>
          <w:sz w:val="28"/>
          <w:szCs w:val="28"/>
        </w:rPr>
        <w:t>з</w:t>
      </w:r>
      <w:r w:rsidRPr="007F5722">
        <w:rPr>
          <w:rFonts w:ascii="Times New Roman" w:eastAsia="Times New Roman" w:hAnsi="Times New Roman" w:cs="Times New Roman"/>
          <w:bCs/>
          <w:color w:val="000000"/>
          <w:sz w:val="28"/>
          <w:szCs w:val="28"/>
          <w:vertAlign w:val="superscript"/>
        </w:rPr>
        <w:t xml:space="preserve">2,7 </w:t>
      </w:r>
      <w:r w:rsidRPr="007F5722">
        <w:rPr>
          <w:rFonts w:ascii="Times New Roman" w:eastAsia="Times New Roman" w:hAnsi="Times New Roman" w:cs="Times New Roman"/>
          <w:bCs/>
          <w:color w:val="000000"/>
          <w:sz w:val="28"/>
          <w:szCs w:val="28"/>
        </w:rPr>
        <w:t xml:space="preserve">дорівнював </w:t>
      </w:r>
      <w:r w:rsidR="00E54128" w:rsidRPr="007F5722">
        <w:rPr>
          <w:rFonts w:ascii="Times New Roman" w:hAnsi="Times New Roman" w:cs="Times New Roman"/>
          <w:sz w:val="28"/>
          <w:szCs w:val="28"/>
        </w:rPr>
        <w:t xml:space="preserve">42,4 (36,4; 48,3) </w:t>
      </w:r>
      <w:r w:rsidRPr="007F5722">
        <w:rPr>
          <w:rFonts w:ascii="Times New Roman" w:eastAsia="Times New Roman" w:hAnsi="Times New Roman" w:cs="Times New Roman"/>
          <w:bCs/>
          <w:color w:val="000000"/>
          <w:sz w:val="28"/>
          <w:szCs w:val="28"/>
        </w:rPr>
        <w:t>г/м</w:t>
      </w:r>
      <w:r w:rsidRPr="007F5722">
        <w:rPr>
          <w:rFonts w:ascii="Times New Roman" w:eastAsia="Times New Roman" w:hAnsi="Times New Roman" w:cs="Times New Roman"/>
          <w:bCs/>
          <w:color w:val="000000"/>
          <w:sz w:val="28"/>
          <w:szCs w:val="28"/>
          <w:vertAlign w:val="superscript"/>
        </w:rPr>
        <w:t>2,7</w:t>
      </w:r>
      <w:r w:rsidRPr="007F5722">
        <w:rPr>
          <w:rFonts w:ascii="Times New Roman" w:eastAsia="Times New Roman" w:hAnsi="Times New Roman" w:cs="Times New Roman"/>
          <w:bCs/>
          <w:color w:val="000000"/>
          <w:sz w:val="28"/>
          <w:szCs w:val="28"/>
        </w:rPr>
        <w:t xml:space="preserve">). </w:t>
      </w:r>
    </w:p>
    <w:p w:rsidR="00A351E1" w:rsidRPr="007F5722" w:rsidRDefault="00F04C89" w:rsidP="00EB3DB7">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Нами було проведено а</w:t>
      </w:r>
      <w:r w:rsidR="00A351E1" w:rsidRPr="007F5722">
        <w:rPr>
          <w:rFonts w:ascii="Times New Roman" w:eastAsia="Times New Roman" w:hAnsi="Times New Roman" w:cs="Times New Roman"/>
          <w:bCs/>
          <w:color w:val="000000"/>
          <w:sz w:val="28"/>
          <w:szCs w:val="28"/>
        </w:rPr>
        <w:t xml:space="preserve">наліз кореляційних зв’язків ІЛ-22 з лінійними параметрами ЛШ серця </w:t>
      </w:r>
      <w:r w:rsidR="00473C6A" w:rsidRPr="007F5722">
        <w:rPr>
          <w:rFonts w:ascii="Times New Roman" w:eastAsia="Times New Roman" w:hAnsi="Times New Roman" w:cs="Times New Roman"/>
          <w:bCs/>
          <w:color w:val="000000"/>
          <w:sz w:val="28"/>
          <w:szCs w:val="28"/>
        </w:rPr>
        <w:t>у хворих на ГХ в залежності від наявності надмірної маси тіла та ожиріння</w:t>
      </w:r>
      <w:r w:rsidRPr="007F5722">
        <w:rPr>
          <w:rFonts w:ascii="Times New Roman" w:eastAsia="Times New Roman" w:hAnsi="Times New Roman" w:cs="Times New Roman"/>
          <w:bCs/>
          <w:color w:val="000000"/>
          <w:sz w:val="28"/>
          <w:szCs w:val="28"/>
        </w:rPr>
        <w:t>.</w:t>
      </w:r>
    </w:p>
    <w:p w:rsidR="00284257" w:rsidRPr="007F5722" w:rsidRDefault="00473C6A" w:rsidP="00DF077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color w:val="000000"/>
          <w:sz w:val="28"/>
          <w:szCs w:val="28"/>
        </w:rPr>
        <w:t>У хворих на ГХ з надмірною масою тіла нами встановлено, що рівень ІЛ-22 корелював достовірно лише з ММЛШ</w:t>
      </w:r>
      <w:r w:rsidR="00F04C89" w:rsidRPr="007F5722">
        <w:rPr>
          <w:rFonts w:ascii="Times New Roman" w:eastAsia="Times New Roman" w:hAnsi="Times New Roman" w:cs="Times New Roman"/>
          <w:color w:val="000000"/>
          <w:sz w:val="28"/>
          <w:szCs w:val="28"/>
        </w:rPr>
        <w:t xml:space="preserve"> (табл.3.3.2)</w:t>
      </w:r>
    </w:p>
    <w:p w:rsidR="00A351E1" w:rsidRPr="007F5722" w:rsidRDefault="00A351E1" w:rsidP="00A351E1">
      <w:pPr>
        <w:shd w:val="clear" w:color="auto" w:fill="FFFFFF"/>
        <w:spacing w:after="0" w:line="360" w:lineRule="auto"/>
        <w:ind w:firstLine="709"/>
        <w:jc w:val="right"/>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Таблиця 3.3.2</w:t>
      </w:r>
    </w:p>
    <w:p w:rsidR="00A351E1" w:rsidRPr="007F5722" w:rsidRDefault="00A351E1" w:rsidP="00A351E1">
      <w:pPr>
        <w:shd w:val="clear" w:color="auto" w:fill="FFFFFF"/>
        <w:spacing w:after="0" w:line="360" w:lineRule="auto"/>
        <w:ind w:firstLine="709"/>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 xml:space="preserve">Кореляційні зв’язки ІЛ-22 з лінійними параметрами ЛШ серця у хворих на ГХ </w:t>
      </w:r>
      <w:r w:rsidR="00473C6A" w:rsidRPr="007F5722">
        <w:rPr>
          <w:rFonts w:ascii="Times New Roman" w:eastAsia="Times New Roman" w:hAnsi="Times New Roman" w:cs="Times New Roman"/>
          <w:bCs/>
          <w:color w:val="000000"/>
          <w:sz w:val="28"/>
          <w:szCs w:val="28"/>
        </w:rPr>
        <w:t>з надмірною масою тіла</w:t>
      </w:r>
    </w:p>
    <w:tbl>
      <w:tblPr>
        <w:tblStyle w:val="a9"/>
        <w:tblW w:w="0" w:type="auto"/>
        <w:tblLook w:val="04A0" w:firstRow="1" w:lastRow="0" w:firstColumn="1" w:lastColumn="0" w:noHBand="0" w:noVBand="1"/>
      </w:tblPr>
      <w:tblGrid>
        <w:gridCol w:w="2369"/>
        <w:gridCol w:w="2314"/>
        <w:gridCol w:w="2334"/>
        <w:gridCol w:w="2328"/>
      </w:tblGrid>
      <w:tr w:rsidR="00A351E1" w:rsidRPr="007F5722" w:rsidTr="00DF077A">
        <w:tc>
          <w:tcPr>
            <w:tcW w:w="2369" w:type="dxa"/>
          </w:tcPr>
          <w:p w:rsidR="00A351E1" w:rsidRPr="007F5722" w:rsidRDefault="00A351E1" w:rsidP="00A351E1">
            <w:pPr>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Показник</w:t>
            </w:r>
          </w:p>
        </w:tc>
        <w:tc>
          <w:tcPr>
            <w:tcW w:w="2314" w:type="dxa"/>
          </w:tcPr>
          <w:p w:rsidR="00A351E1" w:rsidRPr="007F5722" w:rsidRDefault="00A351E1" w:rsidP="00A351E1">
            <w:pPr>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N</w:t>
            </w:r>
          </w:p>
        </w:tc>
        <w:tc>
          <w:tcPr>
            <w:tcW w:w="2334" w:type="dxa"/>
          </w:tcPr>
          <w:p w:rsidR="00A351E1" w:rsidRPr="007F5722" w:rsidRDefault="00A351E1" w:rsidP="00A351E1">
            <w:pPr>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R</w:t>
            </w:r>
          </w:p>
        </w:tc>
        <w:tc>
          <w:tcPr>
            <w:tcW w:w="2328" w:type="dxa"/>
          </w:tcPr>
          <w:p w:rsidR="00A351E1" w:rsidRPr="007F5722" w:rsidRDefault="00A351E1" w:rsidP="00A351E1">
            <w:pPr>
              <w:spacing w:after="0" w:line="360" w:lineRule="auto"/>
              <w:jc w:val="center"/>
              <w:rPr>
                <w:rFonts w:ascii="Times New Roman" w:eastAsia="Times New Roman" w:hAnsi="Times New Roman" w:cs="Times New Roman"/>
                <w:color w:val="000000"/>
                <w:sz w:val="28"/>
                <w:szCs w:val="28"/>
                <w:lang w:val="en-US"/>
              </w:rPr>
            </w:pPr>
            <w:r w:rsidRPr="007F5722">
              <w:rPr>
                <w:rFonts w:ascii="Times New Roman" w:eastAsia="Times New Roman" w:hAnsi="Times New Roman" w:cs="Times New Roman"/>
                <w:color w:val="000000"/>
                <w:sz w:val="28"/>
                <w:szCs w:val="28"/>
                <w:lang w:val="en-US"/>
              </w:rPr>
              <w:t>p-level</w:t>
            </w:r>
          </w:p>
        </w:tc>
      </w:tr>
      <w:tr w:rsidR="00A351E1" w:rsidRPr="007F5722" w:rsidTr="00DF077A">
        <w:tc>
          <w:tcPr>
            <w:tcW w:w="2369" w:type="dxa"/>
          </w:tcPr>
          <w:p w:rsidR="00A351E1" w:rsidRPr="007F5722" w:rsidRDefault="00A351E1" w:rsidP="00A351E1">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КДР</w:t>
            </w:r>
            <w:r w:rsidRPr="007F5722">
              <w:rPr>
                <w:rFonts w:ascii="Times New Roman" w:eastAsia="Times New Roman" w:hAnsi="Times New Roman" w:cs="Times New Roman"/>
                <w:bCs/>
                <w:color w:val="000000"/>
                <w:sz w:val="28"/>
                <w:szCs w:val="28"/>
                <w:lang w:val="en-US"/>
              </w:rPr>
              <w:t>&amp;</w:t>
            </w:r>
            <w:r w:rsidRPr="007F5722">
              <w:rPr>
                <w:rFonts w:ascii="Times New Roman" w:eastAsia="Times New Roman" w:hAnsi="Times New Roman" w:cs="Times New Roman"/>
                <w:bCs/>
                <w:color w:val="000000"/>
                <w:sz w:val="28"/>
                <w:szCs w:val="28"/>
              </w:rPr>
              <w:t>ІЛ-22</w:t>
            </w:r>
          </w:p>
        </w:tc>
        <w:tc>
          <w:tcPr>
            <w:tcW w:w="2314" w:type="dxa"/>
          </w:tcPr>
          <w:p w:rsidR="00A351E1" w:rsidRPr="007F5722" w:rsidRDefault="00473C6A" w:rsidP="00A351E1">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23</w:t>
            </w:r>
          </w:p>
        </w:tc>
        <w:tc>
          <w:tcPr>
            <w:tcW w:w="2334" w:type="dxa"/>
          </w:tcPr>
          <w:p w:rsidR="00A351E1" w:rsidRPr="007F5722" w:rsidRDefault="00473C6A" w:rsidP="00A351E1">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0,2799</w:t>
            </w:r>
          </w:p>
        </w:tc>
        <w:tc>
          <w:tcPr>
            <w:tcW w:w="2328" w:type="dxa"/>
          </w:tcPr>
          <w:p w:rsidR="00A351E1" w:rsidRPr="007F5722" w:rsidRDefault="00473C6A" w:rsidP="00A351E1">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0,196</w:t>
            </w:r>
          </w:p>
        </w:tc>
      </w:tr>
    </w:tbl>
    <w:p w:rsidR="00DF077A" w:rsidRPr="00DF077A" w:rsidRDefault="00DF077A">
      <w:pPr>
        <w:rPr>
          <w:rFonts w:ascii="Times New Roman" w:hAnsi="Times New Roman" w:cs="Times New Roman"/>
          <w:sz w:val="28"/>
          <w:szCs w:val="28"/>
        </w:rPr>
      </w:pPr>
      <w:r w:rsidRPr="00DF077A">
        <w:rPr>
          <w:rFonts w:ascii="Times New Roman" w:hAnsi="Times New Roman" w:cs="Times New Roman"/>
          <w:sz w:val="28"/>
          <w:szCs w:val="28"/>
        </w:rPr>
        <w:lastRenderedPageBreak/>
        <w:t>Продовження таблиці 3.3.2</w:t>
      </w:r>
    </w:p>
    <w:tbl>
      <w:tblPr>
        <w:tblStyle w:val="a9"/>
        <w:tblW w:w="0" w:type="auto"/>
        <w:tblLook w:val="04A0" w:firstRow="1" w:lastRow="0" w:firstColumn="1" w:lastColumn="0" w:noHBand="0" w:noVBand="1"/>
      </w:tblPr>
      <w:tblGrid>
        <w:gridCol w:w="2369"/>
        <w:gridCol w:w="2314"/>
        <w:gridCol w:w="2334"/>
        <w:gridCol w:w="2328"/>
      </w:tblGrid>
      <w:tr w:rsidR="00DF077A" w:rsidRPr="007F5722" w:rsidTr="00DF077A">
        <w:tc>
          <w:tcPr>
            <w:tcW w:w="2369" w:type="dxa"/>
          </w:tcPr>
          <w:p w:rsidR="00DF077A" w:rsidRPr="007F5722" w:rsidRDefault="00DF077A" w:rsidP="00DF077A">
            <w:pPr>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Показник</w:t>
            </w:r>
          </w:p>
        </w:tc>
        <w:tc>
          <w:tcPr>
            <w:tcW w:w="2314" w:type="dxa"/>
          </w:tcPr>
          <w:p w:rsidR="00DF077A" w:rsidRPr="007F5722" w:rsidRDefault="00DF077A" w:rsidP="00DF077A">
            <w:pPr>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N</w:t>
            </w:r>
          </w:p>
        </w:tc>
        <w:tc>
          <w:tcPr>
            <w:tcW w:w="2334" w:type="dxa"/>
          </w:tcPr>
          <w:p w:rsidR="00DF077A" w:rsidRPr="007F5722" w:rsidRDefault="00DF077A" w:rsidP="00DF077A">
            <w:pPr>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R</w:t>
            </w:r>
          </w:p>
        </w:tc>
        <w:tc>
          <w:tcPr>
            <w:tcW w:w="2328" w:type="dxa"/>
          </w:tcPr>
          <w:p w:rsidR="00DF077A" w:rsidRPr="007F5722" w:rsidRDefault="00DF077A" w:rsidP="00DF077A">
            <w:pPr>
              <w:spacing w:after="0" w:line="360" w:lineRule="auto"/>
              <w:jc w:val="center"/>
              <w:rPr>
                <w:rFonts w:ascii="Times New Roman" w:eastAsia="Times New Roman" w:hAnsi="Times New Roman" w:cs="Times New Roman"/>
                <w:color w:val="000000"/>
                <w:sz w:val="28"/>
                <w:szCs w:val="28"/>
                <w:lang w:val="en-US"/>
              </w:rPr>
            </w:pPr>
            <w:r w:rsidRPr="007F5722">
              <w:rPr>
                <w:rFonts w:ascii="Times New Roman" w:eastAsia="Times New Roman" w:hAnsi="Times New Roman" w:cs="Times New Roman"/>
                <w:color w:val="000000"/>
                <w:sz w:val="28"/>
                <w:szCs w:val="28"/>
                <w:lang w:val="en-US"/>
              </w:rPr>
              <w:t>p-level</w:t>
            </w:r>
          </w:p>
        </w:tc>
      </w:tr>
      <w:tr w:rsidR="00DF077A" w:rsidRPr="007F5722" w:rsidTr="00DF077A">
        <w:tc>
          <w:tcPr>
            <w:tcW w:w="2369" w:type="dxa"/>
          </w:tcPr>
          <w:p w:rsidR="00DF077A" w:rsidRPr="007F5722" w:rsidRDefault="00DF077A" w:rsidP="00DF077A">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КСР</w:t>
            </w:r>
            <w:r w:rsidRPr="007F5722">
              <w:rPr>
                <w:rFonts w:ascii="Times New Roman" w:eastAsia="Times New Roman" w:hAnsi="Times New Roman" w:cs="Times New Roman"/>
                <w:bCs/>
                <w:color w:val="000000"/>
                <w:sz w:val="28"/>
                <w:szCs w:val="28"/>
                <w:lang w:val="en-US"/>
              </w:rPr>
              <w:t>&amp;</w:t>
            </w:r>
            <w:r w:rsidRPr="007F5722">
              <w:rPr>
                <w:rFonts w:ascii="Times New Roman" w:eastAsia="Times New Roman" w:hAnsi="Times New Roman" w:cs="Times New Roman"/>
                <w:bCs/>
                <w:color w:val="000000"/>
                <w:sz w:val="28"/>
                <w:szCs w:val="28"/>
              </w:rPr>
              <w:t>ІЛ-22</w:t>
            </w:r>
          </w:p>
        </w:tc>
        <w:tc>
          <w:tcPr>
            <w:tcW w:w="2314" w:type="dxa"/>
          </w:tcPr>
          <w:p w:rsidR="00DF077A" w:rsidRPr="007F5722" w:rsidRDefault="00DF077A" w:rsidP="00DF077A">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23</w:t>
            </w:r>
          </w:p>
        </w:tc>
        <w:tc>
          <w:tcPr>
            <w:tcW w:w="2334" w:type="dxa"/>
          </w:tcPr>
          <w:p w:rsidR="00DF077A" w:rsidRPr="007F5722" w:rsidRDefault="00DF077A" w:rsidP="00DF077A">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0,3085</w:t>
            </w:r>
          </w:p>
        </w:tc>
        <w:tc>
          <w:tcPr>
            <w:tcW w:w="2328" w:type="dxa"/>
          </w:tcPr>
          <w:p w:rsidR="00DF077A" w:rsidRPr="007F5722" w:rsidRDefault="00DF077A" w:rsidP="00DF077A">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0,152</w:t>
            </w:r>
          </w:p>
        </w:tc>
      </w:tr>
      <w:tr w:rsidR="00DF077A" w:rsidRPr="007F5722" w:rsidTr="00DF077A">
        <w:tc>
          <w:tcPr>
            <w:tcW w:w="2369" w:type="dxa"/>
          </w:tcPr>
          <w:p w:rsidR="00DF077A" w:rsidRPr="007F5722" w:rsidRDefault="00DF077A" w:rsidP="00DF077A">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ТМШП</w:t>
            </w:r>
            <w:r w:rsidRPr="007F5722">
              <w:rPr>
                <w:rFonts w:ascii="Times New Roman" w:eastAsia="Times New Roman" w:hAnsi="Times New Roman" w:cs="Times New Roman"/>
                <w:bCs/>
                <w:color w:val="000000"/>
                <w:sz w:val="28"/>
                <w:szCs w:val="28"/>
                <w:lang w:val="en-US"/>
              </w:rPr>
              <w:t>&amp;</w:t>
            </w:r>
            <w:r w:rsidRPr="007F5722">
              <w:rPr>
                <w:rFonts w:ascii="Times New Roman" w:eastAsia="Times New Roman" w:hAnsi="Times New Roman" w:cs="Times New Roman"/>
                <w:bCs/>
                <w:color w:val="000000"/>
                <w:sz w:val="28"/>
                <w:szCs w:val="28"/>
              </w:rPr>
              <w:t>ІЛ-22</w:t>
            </w:r>
          </w:p>
        </w:tc>
        <w:tc>
          <w:tcPr>
            <w:tcW w:w="2314" w:type="dxa"/>
          </w:tcPr>
          <w:p w:rsidR="00DF077A" w:rsidRPr="007F5722" w:rsidRDefault="00DF077A" w:rsidP="00DF077A">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23</w:t>
            </w:r>
          </w:p>
        </w:tc>
        <w:tc>
          <w:tcPr>
            <w:tcW w:w="2334" w:type="dxa"/>
          </w:tcPr>
          <w:p w:rsidR="00DF077A" w:rsidRPr="007F5722" w:rsidRDefault="00DF077A" w:rsidP="00DF077A">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0,3493</w:t>
            </w:r>
          </w:p>
        </w:tc>
        <w:tc>
          <w:tcPr>
            <w:tcW w:w="2328" w:type="dxa"/>
          </w:tcPr>
          <w:p w:rsidR="00DF077A" w:rsidRPr="007F5722" w:rsidRDefault="00DF077A" w:rsidP="00DF077A">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0,102</w:t>
            </w:r>
          </w:p>
        </w:tc>
      </w:tr>
      <w:tr w:rsidR="00DF077A" w:rsidRPr="007F5722" w:rsidTr="00DF077A">
        <w:tc>
          <w:tcPr>
            <w:tcW w:w="2369" w:type="dxa"/>
          </w:tcPr>
          <w:p w:rsidR="00DF077A" w:rsidRPr="007F5722" w:rsidRDefault="00DF077A" w:rsidP="00DF077A">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ТЗСЛШ</w:t>
            </w:r>
            <w:r w:rsidRPr="007F5722">
              <w:rPr>
                <w:rFonts w:ascii="Times New Roman" w:eastAsia="Times New Roman" w:hAnsi="Times New Roman" w:cs="Times New Roman"/>
                <w:bCs/>
                <w:color w:val="000000"/>
                <w:sz w:val="28"/>
                <w:szCs w:val="28"/>
                <w:lang w:val="en-US"/>
              </w:rPr>
              <w:t>&amp;</w:t>
            </w:r>
            <w:r w:rsidRPr="007F5722">
              <w:rPr>
                <w:rFonts w:ascii="Times New Roman" w:eastAsia="Times New Roman" w:hAnsi="Times New Roman" w:cs="Times New Roman"/>
                <w:bCs/>
                <w:color w:val="000000"/>
                <w:sz w:val="28"/>
                <w:szCs w:val="28"/>
              </w:rPr>
              <w:t>ІЛ-22</w:t>
            </w:r>
          </w:p>
        </w:tc>
        <w:tc>
          <w:tcPr>
            <w:tcW w:w="2314" w:type="dxa"/>
          </w:tcPr>
          <w:p w:rsidR="00DF077A" w:rsidRPr="007F5722" w:rsidRDefault="00DF077A" w:rsidP="00DF077A">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23</w:t>
            </w:r>
          </w:p>
        </w:tc>
        <w:tc>
          <w:tcPr>
            <w:tcW w:w="2334" w:type="dxa"/>
          </w:tcPr>
          <w:p w:rsidR="00DF077A" w:rsidRPr="007F5722" w:rsidRDefault="00DF077A" w:rsidP="00DF077A">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0,1499</w:t>
            </w:r>
          </w:p>
        </w:tc>
        <w:tc>
          <w:tcPr>
            <w:tcW w:w="2328" w:type="dxa"/>
          </w:tcPr>
          <w:p w:rsidR="00DF077A" w:rsidRPr="007F5722" w:rsidRDefault="00DF077A" w:rsidP="00DF077A">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0,495</w:t>
            </w:r>
          </w:p>
        </w:tc>
      </w:tr>
      <w:tr w:rsidR="00DF077A" w:rsidRPr="007F5722" w:rsidTr="00DF077A">
        <w:tc>
          <w:tcPr>
            <w:tcW w:w="2369" w:type="dxa"/>
          </w:tcPr>
          <w:p w:rsidR="00DF077A" w:rsidRPr="007F5722" w:rsidRDefault="00DF077A" w:rsidP="00DF077A">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ВТСЛШ</w:t>
            </w:r>
            <w:r w:rsidRPr="007F5722">
              <w:rPr>
                <w:rFonts w:ascii="Times New Roman" w:eastAsia="Times New Roman" w:hAnsi="Times New Roman" w:cs="Times New Roman"/>
                <w:bCs/>
                <w:color w:val="000000"/>
                <w:sz w:val="28"/>
                <w:szCs w:val="28"/>
                <w:lang w:val="en-US"/>
              </w:rPr>
              <w:t>&amp;</w:t>
            </w:r>
            <w:r w:rsidRPr="007F5722">
              <w:rPr>
                <w:rFonts w:ascii="Times New Roman" w:eastAsia="Times New Roman" w:hAnsi="Times New Roman" w:cs="Times New Roman"/>
                <w:bCs/>
                <w:color w:val="000000"/>
                <w:sz w:val="28"/>
                <w:szCs w:val="28"/>
              </w:rPr>
              <w:t>ІЛ-22</w:t>
            </w:r>
          </w:p>
        </w:tc>
        <w:tc>
          <w:tcPr>
            <w:tcW w:w="2314" w:type="dxa"/>
          </w:tcPr>
          <w:p w:rsidR="00DF077A" w:rsidRPr="007F5722" w:rsidRDefault="00DF077A" w:rsidP="00DF077A">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23</w:t>
            </w:r>
          </w:p>
        </w:tc>
        <w:tc>
          <w:tcPr>
            <w:tcW w:w="2334" w:type="dxa"/>
          </w:tcPr>
          <w:p w:rsidR="00DF077A" w:rsidRPr="007F5722" w:rsidRDefault="00DF077A" w:rsidP="00DF077A">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-0,0302</w:t>
            </w:r>
          </w:p>
        </w:tc>
        <w:tc>
          <w:tcPr>
            <w:tcW w:w="2328" w:type="dxa"/>
          </w:tcPr>
          <w:p w:rsidR="00DF077A" w:rsidRPr="007F5722" w:rsidRDefault="00DF077A" w:rsidP="00DF077A">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0,891</w:t>
            </w:r>
          </w:p>
        </w:tc>
      </w:tr>
      <w:tr w:rsidR="00DF077A" w:rsidRPr="007F5722" w:rsidTr="00DF077A">
        <w:tc>
          <w:tcPr>
            <w:tcW w:w="2369" w:type="dxa"/>
          </w:tcPr>
          <w:p w:rsidR="00DF077A" w:rsidRPr="007F5722" w:rsidRDefault="00DF077A" w:rsidP="00DF077A">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ММЛШ</w:t>
            </w:r>
            <w:r w:rsidRPr="007F5722">
              <w:rPr>
                <w:rFonts w:ascii="Times New Roman" w:eastAsia="Times New Roman" w:hAnsi="Times New Roman" w:cs="Times New Roman"/>
                <w:bCs/>
                <w:color w:val="000000"/>
                <w:sz w:val="28"/>
                <w:szCs w:val="28"/>
                <w:lang w:val="en-US"/>
              </w:rPr>
              <w:t>&amp;</w:t>
            </w:r>
            <w:r w:rsidRPr="007F5722">
              <w:rPr>
                <w:rFonts w:ascii="Times New Roman" w:eastAsia="Times New Roman" w:hAnsi="Times New Roman" w:cs="Times New Roman"/>
                <w:bCs/>
                <w:color w:val="000000"/>
                <w:sz w:val="28"/>
                <w:szCs w:val="28"/>
              </w:rPr>
              <w:t>ІЛ-22</w:t>
            </w:r>
          </w:p>
        </w:tc>
        <w:tc>
          <w:tcPr>
            <w:tcW w:w="2314" w:type="dxa"/>
          </w:tcPr>
          <w:p w:rsidR="00DF077A" w:rsidRPr="007F5722" w:rsidRDefault="00DF077A" w:rsidP="00DF077A">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23</w:t>
            </w:r>
          </w:p>
        </w:tc>
        <w:tc>
          <w:tcPr>
            <w:tcW w:w="2334" w:type="dxa"/>
          </w:tcPr>
          <w:p w:rsidR="00DF077A" w:rsidRPr="007F5722" w:rsidRDefault="00DF077A" w:rsidP="00DF077A">
            <w:pPr>
              <w:spacing w:after="0" w:line="360" w:lineRule="auto"/>
              <w:jc w:val="center"/>
              <w:rPr>
                <w:rFonts w:ascii="Times New Roman" w:eastAsia="Times New Roman" w:hAnsi="Times New Roman" w:cs="Times New Roman"/>
                <w:b/>
                <w:bCs/>
                <w:color w:val="000000"/>
                <w:sz w:val="28"/>
                <w:szCs w:val="28"/>
              </w:rPr>
            </w:pPr>
            <w:r w:rsidRPr="007F5722">
              <w:rPr>
                <w:rFonts w:ascii="Times New Roman" w:eastAsia="Times New Roman" w:hAnsi="Times New Roman" w:cs="Times New Roman"/>
                <w:b/>
                <w:bCs/>
                <w:color w:val="000000"/>
                <w:sz w:val="28"/>
                <w:szCs w:val="28"/>
              </w:rPr>
              <w:t>0,4305</w:t>
            </w:r>
          </w:p>
        </w:tc>
        <w:tc>
          <w:tcPr>
            <w:tcW w:w="2328" w:type="dxa"/>
          </w:tcPr>
          <w:p w:rsidR="00DF077A" w:rsidRPr="007F5722" w:rsidRDefault="00DF077A" w:rsidP="00DF077A">
            <w:pPr>
              <w:spacing w:after="0" w:line="360" w:lineRule="auto"/>
              <w:jc w:val="center"/>
              <w:rPr>
                <w:rFonts w:ascii="Times New Roman" w:eastAsia="Times New Roman" w:hAnsi="Times New Roman" w:cs="Times New Roman"/>
                <w:b/>
                <w:bCs/>
                <w:color w:val="000000"/>
                <w:sz w:val="28"/>
                <w:szCs w:val="28"/>
              </w:rPr>
            </w:pPr>
            <w:r w:rsidRPr="007F5722">
              <w:rPr>
                <w:rFonts w:ascii="Times New Roman" w:eastAsia="Times New Roman" w:hAnsi="Times New Roman" w:cs="Times New Roman"/>
                <w:b/>
                <w:bCs/>
                <w:color w:val="000000"/>
                <w:sz w:val="28"/>
                <w:szCs w:val="28"/>
              </w:rPr>
              <w:t>0,040</w:t>
            </w:r>
          </w:p>
        </w:tc>
      </w:tr>
      <w:tr w:rsidR="00DF077A" w:rsidRPr="007F5722" w:rsidTr="00DF077A">
        <w:tc>
          <w:tcPr>
            <w:tcW w:w="2369" w:type="dxa"/>
          </w:tcPr>
          <w:p w:rsidR="00DF077A" w:rsidRPr="007F5722" w:rsidRDefault="00DF077A" w:rsidP="00DF077A">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іММ</w:t>
            </w:r>
            <w:r w:rsidRPr="007F5722">
              <w:rPr>
                <w:rFonts w:ascii="Times New Roman" w:eastAsia="Times New Roman" w:hAnsi="Times New Roman" w:cs="Times New Roman"/>
                <w:bCs/>
                <w:color w:val="000000"/>
                <w:sz w:val="28"/>
                <w:szCs w:val="28"/>
                <w:lang w:val="en-US"/>
              </w:rPr>
              <w:t>&amp;</w:t>
            </w:r>
            <w:r w:rsidRPr="007F5722">
              <w:rPr>
                <w:rFonts w:ascii="Times New Roman" w:eastAsia="Times New Roman" w:hAnsi="Times New Roman" w:cs="Times New Roman"/>
                <w:bCs/>
                <w:color w:val="000000"/>
                <w:sz w:val="28"/>
                <w:szCs w:val="28"/>
              </w:rPr>
              <w:t>ІЛ-22</w:t>
            </w:r>
          </w:p>
        </w:tc>
        <w:tc>
          <w:tcPr>
            <w:tcW w:w="2314" w:type="dxa"/>
          </w:tcPr>
          <w:p w:rsidR="00DF077A" w:rsidRPr="007F5722" w:rsidRDefault="00DF077A" w:rsidP="00DF077A">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23</w:t>
            </w:r>
          </w:p>
        </w:tc>
        <w:tc>
          <w:tcPr>
            <w:tcW w:w="2334" w:type="dxa"/>
          </w:tcPr>
          <w:p w:rsidR="00DF077A" w:rsidRPr="007F5722" w:rsidRDefault="00DF077A" w:rsidP="00DF077A">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0,3606</w:t>
            </w:r>
          </w:p>
        </w:tc>
        <w:tc>
          <w:tcPr>
            <w:tcW w:w="2328" w:type="dxa"/>
          </w:tcPr>
          <w:p w:rsidR="00DF077A" w:rsidRPr="007F5722" w:rsidRDefault="00DF077A" w:rsidP="00DF077A">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0,091</w:t>
            </w:r>
          </w:p>
        </w:tc>
      </w:tr>
      <w:tr w:rsidR="00DF077A" w:rsidRPr="007F5722" w:rsidTr="00DF077A">
        <w:tc>
          <w:tcPr>
            <w:tcW w:w="2369" w:type="dxa"/>
          </w:tcPr>
          <w:p w:rsidR="00DF077A" w:rsidRPr="007F5722" w:rsidRDefault="00DF077A" w:rsidP="00DF077A">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іММз</w:t>
            </w:r>
            <w:r w:rsidRPr="007F5722">
              <w:rPr>
                <w:rFonts w:ascii="Times New Roman" w:eastAsia="Times New Roman" w:hAnsi="Times New Roman" w:cs="Times New Roman"/>
                <w:bCs/>
                <w:color w:val="000000"/>
                <w:sz w:val="28"/>
                <w:szCs w:val="28"/>
                <w:vertAlign w:val="superscript"/>
              </w:rPr>
              <w:t>2,7</w:t>
            </w:r>
            <w:r w:rsidRPr="007F5722">
              <w:rPr>
                <w:rFonts w:ascii="Times New Roman" w:eastAsia="Times New Roman" w:hAnsi="Times New Roman" w:cs="Times New Roman"/>
                <w:bCs/>
                <w:color w:val="000000"/>
                <w:sz w:val="28"/>
                <w:szCs w:val="28"/>
                <w:lang w:val="en-US"/>
              </w:rPr>
              <w:t>&amp;</w:t>
            </w:r>
            <w:r w:rsidRPr="007F5722">
              <w:rPr>
                <w:rFonts w:ascii="Times New Roman" w:eastAsia="Times New Roman" w:hAnsi="Times New Roman" w:cs="Times New Roman"/>
                <w:bCs/>
                <w:color w:val="000000"/>
                <w:sz w:val="28"/>
                <w:szCs w:val="28"/>
              </w:rPr>
              <w:t>ІЛ-22</w:t>
            </w:r>
          </w:p>
        </w:tc>
        <w:tc>
          <w:tcPr>
            <w:tcW w:w="2314" w:type="dxa"/>
          </w:tcPr>
          <w:p w:rsidR="00DF077A" w:rsidRPr="007F5722" w:rsidRDefault="00DF077A" w:rsidP="00DF077A">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23</w:t>
            </w:r>
          </w:p>
        </w:tc>
        <w:tc>
          <w:tcPr>
            <w:tcW w:w="2334" w:type="dxa"/>
          </w:tcPr>
          <w:p w:rsidR="00DF077A" w:rsidRPr="007F5722" w:rsidRDefault="00DF077A" w:rsidP="00DF077A">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0,2732</w:t>
            </w:r>
          </w:p>
        </w:tc>
        <w:tc>
          <w:tcPr>
            <w:tcW w:w="2328" w:type="dxa"/>
          </w:tcPr>
          <w:p w:rsidR="00DF077A" w:rsidRPr="007F5722" w:rsidRDefault="00DF077A" w:rsidP="00DF077A">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0,207</w:t>
            </w:r>
          </w:p>
        </w:tc>
      </w:tr>
    </w:tbl>
    <w:p w:rsidR="00F04C89" w:rsidRPr="007F5722" w:rsidRDefault="00F04C89" w:rsidP="00A63E93">
      <w:pPr>
        <w:shd w:val="clear" w:color="auto" w:fill="FFFFFF"/>
        <w:spacing w:after="0" w:line="360" w:lineRule="auto"/>
        <w:ind w:firstLine="709"/>
        <w:rPr>
          <w:rFonts w:ascii="Times New Roman" w:eastAsia="Times New Roman" w:hAnsi="Times New Roman" w:cs="Times New Roman"/>
          <w:color w:val="000000"/>
          <w:sz w:val="28"/>
          <w:szCs w:val="28"/>
        </w:rPr>
      </w:pPr>
    </w:p>
    <w:p w:rsidR="00A351E1" w:rsidRPr="007F5722" w:rsidRDefault="00F04C89" w:rsidP="008F6863">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color w:val="000000"/>
          <w:sz w:val="28"/>
          <w:szCs w:val="28"/>
        </w:rPr>
        <w:t xml:space="preserve">За результатами проведеного нами кореляційного аналізу у групі хворих на ГХ з ожирінням виявлено значно більшу кількість достовірних взаємозв’язків між ІЛ-22 та </w:t>
      </w:r>
      <w:r w:rsidRPr="007F5722">
        <w:rPr>
          <w:rFonts w:ascii="Times New Roman" w:eastAsia="Times New Roman" w:hAnsi="Times New Roman" w:cs="Times New Roman"/>
          <w:bCs/>
          <w:color w:val="000000"/>
          <w:sz w:val="28"/>
          <w:szCs w:val="28"/>
        </w:rPr>
        <w:t>лінійними параметрами ЛШ серця</w:t>
      </w:r>
      <w:r w:rsidR="00C7732D" w:rsidRPr="007F5722">
        <w:rPr>
          <w:rFonts w:ascii="Times New Roman" w:eastAsia="Times New Roman" w:hAnsi="Times New Roman" w:cs="Times New Roman"/>
          <w:bCs/>
          <w:color w:val="000000"/>
          <w:sz w:val="28"/>
          <w:szCs w:val="28"/>
        </w:rPr>
        <w:t xml:space="preserve">. </w:t>
      </w:r>
      <w:r w:rsidR="00C7732D" w:rsidRPr="007F5722">
        <w:rPr>
          <w:rFonts w:ascii="Times New Roman" w:eastAsia="Times New Roman" w:hAnsi="Times New Roman" w:cs="Times New Roman"/>
          <w:color w:val="000000"/>
          <w:sz w:val="28"/>
          <w:szCs w:val="28"/>
        </w:rPr>
        <w:t>Так, бул</w:t>
      </w:r>
      <w:r w:rsidR="00DF077A">
        <w:rPr>
          <w:rFonts w:ascii="Times New Roman" w:eastAsia="Times New Roman" w:hAnsi="Times New Roman" w:cs="Times New Roman"/>
          <w:color w:val="000000"/>
          <w:sz w:val="28"/>
          <w:szCs w:val="28"/>
        </w:rPr>
        <w:t xml:space="preserve">о встановлено достовірні прямі </w:t>
      </w:r>
      <w:r w:rsidR="00C7732D" w:rsidRPr="007F5722">
        <w:rPr>
          <w:rFonts w:ascii="Times New Roman" w:eastAsia="Times New Roman" w:hAnsi="Times New Roman" w:cs="Times New Roman"/>
          <w:color w:val="000000"/>
          <w:sz w:val="28"/>
          <w:szCs w:val="28"/>
        </w:rPr>
        <w:t>зв’язки між ІЛ-22 та ТМШП, ММЛШ, іММз</w:t>
      </w:r>
      <w:r w:rsidR="00C7732D" w:rsidRPr="007F5722">
        <w:rPr>
          <w:rFonts w:ascii="Times New Roman" w:eastAsia="Times New Roman" w:hAnsi="Times New Roman" w:cs="Times New Roman"/>
          <w:color w:val="000000"/>
          <w:sz w:val="28"/>
          <w:szCs w:val="28"/>
          <w:vertAlign w:val="superscript"/>
        </w:rPr>
        <w:t>2,7</w:t>
      </w:r>
      <w:r w:rsidRPr="007F5722">
        <w:rPr>
          <w:rFonts w:ascii="Times New Roman" w:eastAsia="Times New Roman" w:hAnsi="Times New Roman" w:cs="Times New Roman"/>
          <w:bCs/>
          <w:color w:val="000000"/>
          <w:sz w:val="28"/>
          <w:szCs w:val="28"/>
        </w:rPr>
        <w:t xml:space="preserve"> (табл.3.3.3)</w:t>
      </w:r>
    </w:p>
    <w:p w:rsidR="00F04C89" w:rsidRPr="007F5722" w:rsidRDefault="00F04C89" w:rsidP="00F04C89">
      <w:pPr>
        <w:shd w:val="clear" w:color="auto" w:fill="FFFFFF"/>
        <w:spacing w:after="0" w:line="360" w:lineRule="auto"/>
        <w:ind w:firstLine="709"/>
        <w:jc w:val="right"/>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Таблиця 3.3.3</w:t>
      </w:r>
    </w:p>
    <w:p w:rsidR="00F04C89" w:rsidRPr="007F5722" w:rsidRDefault="00F04C89" w:rsidP="00F04C89">
      <w:pPr>
        <w:shd w:val="clear" w:color="auto" w:fill="FFFFFF"/>
        <w:spacing w:after="0" w:line="360" w:lineRule="auto"/>
        <w:ind w:firstLine="709"/>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Кореляційні зв’язки ІЛ-22 з лінійними параметрами ЛШ серця у хворих на ГХ з ожирінням</w:t>
      </w:r>
    </w:p>
    <w:tbl>
      <w:tblPr>
        <w:tblStyle w:val="a9"/>
        <w:tblW w:w="0" w:type="auto"/>
        <w:tblLook w:val="04A0" w:firstRow="1" w:lastRow="0" w:firstColumn="1" w:lastColumn="0" w:noHBand="0" w:noVBand="1"/>
      </w:tblPr>
      <w:tblGrid>
        <w:gridCol w:w="2369"/>
        <w:gridCol w:w="2314"/>
        <w:gridCol w:w="2334"/>
        <w:gridCol w:w="2328"/>
      </w:tblGrid>
      <w:tr w:rsidR="00F04C89" w:rsidRPr="007F5722" w:rsidTr="00284257">
        <w:tc>
          <w:tcPr>
            <w:tcW w:w="2392" w:type="dxa"/>
          </w:tcPr>
          <w:p w:rsidR="00F04C89" w:rsidRPr="007F5722" w:rsidRDefault="00F04C89" w:rsidP="00284257">
            <w:pPr>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Показник</w:t>
            </w:r>
          </w:p>
        </w:tc>
        <w:tc>
          <w:tcPr>
            <w:tcW w:w="2393" w:type="dxa"/>
          </w:tcPr>
          <w:p w:rsidR="00F04C89" w:rsidRPr="007F5722" w:rsidRDefault="00F04C89" w:rsidP="00284257">
            <w:pPr>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N</w:t>
            </w:r>
          </w:p>
        </w:tc>
        <w:tc>
          <w:tcPr>
            <w:tcW w:w="2393" w:type="dxa"/>
          </w:tcPr>
          <w:p w:rsidR="00F04C89" w:rsidRPr="007F5722" w:rsidRDefault="00F04C89" w:rsidP="00284257">
            <w:pPr>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R</w:t>
            </w:r>
          </w:p>
        </w:tc>
        <w:tc>
          <w:tcPr>
            <w:tcW w:w="2393" w:type="dxa"/>
          </w:tcPr>
          <w:p w:rsidR="00F04C89" w:rsidRPr="007F5722" w:rsidRDefault="00F04C89" w:rsidP="00284257">
            <w:pPr>
              <w:spacing w:after="0" w:line="360" w:lineRule="auto"/>
              <w:jc w:val="center"/>
              <w:rPr>
                <w:rFonts w:ascii="Times New Roman" w:eastAsia="Times New Roman" w:hAnsi="Times New Roman" w:cs="Times New Roman"/>
                <w:color w:val="000000"/>
                <w:sz w:val="28"/>
                <w:szCs w:val="28"/>
                <w:lang w:val="en-US"/>
              </w:rPr>
            </w:pPr>
            <w:r w:rsidRPr="007F5722">
              <w:rPr>
                <w:rFonts w:ascii="Times New Roman" w:eastAsia="Times New Roman" w:hAnsi="Times New Roman" w:cs="Times New Roman"/>
                <w:color w:val="000000"/>
                <w:sz w:val="28"/>
                <w:szCs w:val="28"/>
                <w:lang w:val="en-US"/>
              </w:rPr>
              <w:t>p-level</w:t>
            </w:r>
          </w:p>
        </w:tc>
      </w:tr>
      <w:tr w:rsidR="00F04C89" w:rsidRPr="007F5722" w:rsidTr="00284257">
        <w:tc>
          <w:tcPr>
            <w:tcW w:w="2392" w:type="dxa"/>
          </w:tcPr>
          <w:p w:rsidR="00F04C89" w:rsidRPr="007F5722" w:rsidRDefault="00F04C89" w:rsidP="00284257">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КДР</w:t>
            </w:r>
            <w:r w:rsidRPr="007F5722">
              <w:rPr>
                <w:rFonts w:ascii="Times New Roman" w:eastAsia="Times New Roman" w:hAnsi="Times New Roman" w:cs="Times New Roman"/>
                <w:bCs/>
                <w:color w:val="000000"/>
                <w:sz w:val="28"/>
                <w:szCs w:val="28"/>
                <w:lang w:val="en-US"/>
              </w:rPr>
              <w:t>&amp;</w:t>
            </w:r>
            <w:r w:rsidRPr="007F5722">
              <w:rPr>
                <w:rFonts w:ascii="Times New Roman" w:eastAsia="Times New Roman" w:hAnsi="Times New Roman" w:cs="Times New Roman"/>
                <w:bCs/>
                <w:color w:val="000000"/>
                <w:sz w:val="28"/>
                <w:szCs w:val="28"/>
              </w:rPr>
              <w:t>ІЛ-22</w:t>
            </w:r>
          </w:p>
        </w:tc>
        <w:tc>
          <w:tcPr>
            <w:tcW w:w="2393" w:type="dxa"/>
          </w:tcPr>
          <w:p w:rsidR="00F04C89" w:rsidRPr="007F5722" w:rsidRDefault="00F04C89" w:rsidP="00284257">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24</w:t>
            </w:r>
          </w:p>
        </w:tc>
        <w:tc>
          <w:tcPr>
            <w:tcW w:w="2393" w:type="dxa"/>
          </w:tcPr>
          <w:p w:rsidR="00F04C89" w:rsidRPr="007F5722" w:rsidRDefault="00F04C89" w:rsidP="00284257">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0,3752</w:t>
            </w:r>
          </w:p>
        </w:tc>
        <w:tc>
          <w:tcPr>
            <w:tcW w:w="2393" w:type="dxa"/>
          </w:tcPr>
          <w:p w:rsidR="00F04C89" w:rsidRPr="007F5722" w:rsidRDefault="00F04C89" w:rsidP="00284257">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0,071</w:t>
            </w:r>
          </w:p>
        </w:tc>
      </w:tr>
      <w:tr w:rsidR="00F04C89" w:rsidRPr="007F5722" w:rsidTr="00284257">
        <w:tc>
          <w:tcPr>
            <w:tcW w:w="2392" w:type="dxa"/>
          </w:tcPr>
          <w:p w:rsidR="00F04C89" w:rsidRPr="007F5722" w:rsidRDefault="00F04C89" w:rsidP="00284257">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КСР</w:t>
            </w:r>
            <w:r w:rsidRPr="007F5722">
              <w:rPr>
                <w:rFonts w:ascii="Times New Roman" w:eastAsia="Times New Roman" w:hAnsi="Times New Roman" w:cs="Times New Roman"/>
                <w:bCs/>
                <w:color w:val="000000"/>
                <w:sz w:val="28"/>
                <w:szCs w:val="28"/>
                <w:lang w:val="en-US"/>
              </w:rPr>
              <w:t>&amp;</w:t>
            </w:r>
            <w:r w:rsidRPr="007F5722">
              <w:rPr>
                <w:rFonts w:ascii="Times New Roman" w:eastAsia="Times New Roman" w:hAnsi="Times New Roman" w:cs="Times New Roman"/>
                <w:bCs/>
                <w:color w:val="000000"/>
                <w:sz w:val="28"/>
                <w:szCs w:val="28"/>
              </w:rPr>
              <w:t>ІЛ-22</w:t>
            </w:r>
          </w:p>
        </w:tc>
        <w:tc>
          <w:tcPr>
            <w:tcW w:w="2393" w:type="dxa"/>
          </w:tcPr>
          <w:p w:rsidR="00F04C89" w:rsidRPr="007F5722" w:rsidRDefault="00F04C89" w:rsidP="00284257">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24</w:t>
            </w:r>
          </w:p>
        </w:tc>
        <w:tc>
          <w:tcPr>
            <w:tcW w:w="2393" w:type="dxa"/>
          </w:tcPr>
          <w:p w:rsidR="00F04C89" w:rsidRPr="007F5722" w:rsidRDefault="00F04C89" w:rsidP="00284257">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0,2327</w:t>
            </w:r>
          </w:p>
        </w:tc>
        <w:tc>
          <w:tcPr>
            <w:tcW w:w="2393" w:type="dxa"/>
          </w:tcPr>
          <w:p w:rsidR="00F04C89" w:rsidRPr="007F5722" w:rsidRDefault="00F04C89" w:rsidP="00284257">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0,274</w:t>
            </w:r>
          </w:p>
        </w:tc>
      </w:tr>
      <w:tr w:rsidR="00F04C89" w:rsidRPr="007F5722" w:rsidTr="00284257">
        <w:tc>
          <w:tcPr>
            <w:tcW w:w="2392" w:type="dxa"/>
          </w:tcPr>
          <w:p w:rsidR="00F04C89" w:rsidRPr="007F5722" w:rsidRDefault="00F04C89" w:rsidP="00284257">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ТМШП</w:t>
            </w:r>
            <w:r w:rsidRPr="007F5722">
              <w:rPr>
                <w:rFonts w:ascii="Times New Roman" w:eastAsia="Times New Roman" w:hAnsi="Times New Roman" w:cs="Times New Roman"/>
                <w:bCs/>
                <w:color w:val="000000"/>
                <w:sz w:val="28"/>
                <w:szCs w:val="28"/>
                <w:lang w:val="en-US"/>
              </w:rPr>
              <w:t>&amp;</w:t>
            </w:r>
            <w:r w:rsidRPr="007F5722">
              <w:rPr>
                <w:rFonts w:ascii="Times New Roman" w:eastAsia="Times New Roman" w:hAnsi="Times New Roman" w:cs="Times New Roman"/>
                <w:bCs/>
                <w:color w:val="000000"/>
                <w:sz w:val="28"/>
                <w:szCs w:val="28"/>
              </w:rPr>
              <w:t>ІЛ-22</w:t>
            </w:r>
          </w:p>
        </w:tc>
        <w:tc>
          <w:tcPr>
            <w:tcW w:w="2393" w:type="dxa"/>
          </w:tcPr>
          <w:p w:rsidR="00F04C89" w:rsidRPr="007F5722" w:rsidRDefault="00F04C89" w:rsidP="00284257">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24</w:t>
            </w:r>
          </w:p>
        </w:tc>
        <w:tc>
          <w:tcPr>
            <w:tcW w:w="2393" w:type="dxa"/>
          </w:tcPr>
          <w:p w:rsidR="00F04C89" w:rsidRPr="007F5722" w:rsidRDefault="00F04C89" w:rsidP="00284257">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0,3362</w:t>
            </w:r>
          </w:p>
        </w:tc>
        <w:tc>
          <w:tcPr>
            <w:tcW w:w="2393" w:type="dxa"/>
          </w:tcPr>
          <w:p w:rsidR="00F04C89" w:rsidRPr="007F5722" w:rsidRDefault="00F04C89" w:rsidP="00284257">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0,108</w:t>
            </w:r>
          </w:p>
        </w:tc>
      </w:tr>
      <w:tr w:rsidR="00F04C89" w:rsidRPr="007F5722" w:rsidTr="00284257">
        <w:tc>
          <w:tcPr>
            <w:tcW w:w="2392" w:type="dxa"/>
          </w:tcPr>
          <w:p w:rsidR="00F04C89" w:rsidRPr="007F5722" w:rsidRDefault="00F04C89" w:rsidP="00284257">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ТЗСЛШ</w:t>
            </w:r>
            <w:r w:rsidRPr="007F5722">
              <w:rPr>
                <w:rFonts w:ascii="Times New Roman" w:eastAsia="Times New Roman" w:hAnsi="Times New Roman" w:cs="Times New Roman"/>
                <w:bCs/>
                <w:color w:val="000000"/>
                <w:sz w:val="28"/>
                <w:szCs w:val="28"/>
                <w:lang w:val="en-US"/>
              </w:rPr>
              <w:t>&amp;</w:t>
            </w:r>
            <w:r w:rsidRPr="007F5722">
              <w:rPr>
                <w:rFonts w:ascii="Times New Roman" w:eastAsia="Times New Roman" w:hAnsi="Times New Roman" w:cs="Times New Roman"/>
                <w:bCs/>
                <w:color w:val="000000"/>
                <w:sz w:val="28"/>
                <w:szCs w:val="28"/>
              </w:rPr>
              <w:t>ІЛ-22</w:t>
            </w:r>
          </w:p>
        </w:tc>
        <w:tc>
          <w:tcPr>
            <w:tcW w:w="2393" w:type="dxa"/>
          </w:tcPr>
          <w:p w:rsidR="00F04C89" w:rsidRPr="007F5722" w:rsidRDefault="00F04C89" w:rsidP="00284257">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24</w:t>
            </w:r>
          </w:p>
        </w:tc>
        <w:tc>
          <w:tcPr>
            <w:tcW w:w="2393" w:type="dxa"/>
          </w:tcPr>
          <w:p w:rsidR="00F04C89" w:rsidRPr="007F5722" w:rsidRDefault="00F04C89" w:rsidP="00284257">
            <w:pPr>
              <w:spacing w:after="0" w:line="360" w:lineRule="auto"/>
              <w:jc w:val="center"/>
              <w:rPr>
                <w:rFonts w:ascii="Times New Roman" w:eastAsia="Times New Roman" w:hAnsi="Times New Roman" w:cs="Times New Roman"/>
                <w:b/>
                <w:bCs/>
                <w:color w:val="000000"/>
                <w:sz w:val="28"/>
                <w:szCs w:val="28"/>
              </w:rPr>
            </w:pPr>
            <w:r w:rsidRPr="007F5722">
              <w:rPr>
                <w:rFonts w:ascii="Times New Roman" w:eastAsia="Times New Roman" w:hAnsi="Times New Roman" w:cs="Times New Roman"/>
                <w:b/>
                <w:bCs/>
                <w:color w:val="000000"/>
                <w:sz w:val="28"/>
                <w:szCs w:val="28"/>
              </w:rPr>
              <w:t>0,4496</w:t>
            </w:r>
          </w:p>
        </w:tc>
        <w:tc>
          <w:tcPr>
            <w:tcW w:w="2393" w:type="dxa"/>
          </w:tcPr>
          <w:p w:rsidR="00F04C89" w:rsidRPr="007F5722" w:rsidRDefault="00F04C89" w:rsidP="00284257">
            <w:pPr>
              <w:spacing w:after="0" w:line="360" w:lineRule="auto"/>
              <w:jc w:val="center"/>
              <w:rPr>
                <w:rFonts w:ascii="Times New Roman" w:eastAsia="Times New Roman" w:hAnsi="Times New Roman" w:cs="Times New Roman"/>
                <w:b/>
                <w:bCs/>
                <w:color w:val="000000"/>
                <w:sz w:val="28"/>
                <w:szCs w:val="28"/>
              </w:rPr>
            </w:pPr>
            <w:r w:rsidRPr="007F5722">
              <w:rPr>
                <w:rFonts w:ascii="Times New Roman" w:eastAsia="Times New Roman" w:hAnsi="Times New Roman" w:cs="Times New Roman"/>
                <w:b/>
                <w:bCs/>
                <w:color w:val="000000"/>
                <w:sz w:val="28"/>
                <w:szCs w:val="28"/>
              </w:rPr>
              <w:t>0,028</w:t>
            </w:r>
          </w:p>
        </w:tc>
      </w:tr>
      <w:tr w:rsidR="00F04C89" w:rsidRPr="007F5722" w:rsidTr="00284257">
        <w:tc>
          <w:tcPr>
            <w:tcW w:w="2392" w:type="dxa"/>
          </w:tcPr>
          <w:p w:rsidR="00F04C89" w:rsidRPr="007F5722" w:rsidRDefault="00F04C89" w:rsidP="00284257">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ВТСЛШ</w:t>
            </w:r>
            <w:r w:rsidRPr="007F5722">
              <w:rPr>
                <w:rFonts w:ascii="Times New Roman" w:eastAsia="Times New Roman" w:hAnsi="Times New Roman" w:cs="Times New Roman"/>
                <w:bCs/>
                <w:color w:val="000000"/>
                <w:sz w:val="28"/>
                <w:szCs w:val="28"/>
                <w:lang w:val="en-US"/>
              </w:rPr>
              <w:t>&amp;</w:t>
            </w:r>
            <w:r w:rsidRPr="007F5722">
              <w:rPr>
                <w:rFonts w:ascii="Times New Roman" w:eastAsia="Times New Roman" w:hAnsi="Times New Roman" w:cs="Times New Roman"/>
                <w:bCs/>
                <w:color w:val="000000"/>
                <w:sz w:val="28"/>
                <w:szCs w:val="28"/>
              </w:rPr>
              <w:t>ІЛ-22</w:t>
            </w:r>
          </w:p>
        </w:tc>
        <w:tc>
          <w:tcPr>
            <w:tcW w:w="2393" w:type="dxa"/>
          </w:tcPr>
          <w:p w:rsidR="00F04C89" w:rsidRPr="007F5722" w:rsidRDefault="00F04C89" w:rsidP="00284257">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24</w:t>
            </w:r>
          </w:p>
        </w:tc>
        <w:tc>
          <w:tcPr>
            <w:tcW w:w="2393" w:type="dxa"/>
          </w:tcPr>
          <w:p w:rsidR="00F04C89" w:rsidRPr="007F5722" w:rsidRDefault="00F04C89" w:rsidP="00284257">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-0,2174</w:t>
            </w:r>
          </w:p>
        </w:tc>
        <w:tc>
          <w:tcPr>
            <w:tcW w:w="2393" w:type="dxa"/>
          </w:tcPr>
          <w:p w:rsidR="00F04C89" w:rsidRPr="007F5722" w:rsidRDefault="00F04C89" w:rsidP="00284257">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0,308</w:t>
            </w:r>
          </w:p>
        </w:tc>
      </w:tr>
      <w:tr w:rsidR="00F04C89" w:rsidRPr="007F5722" w:rsidTr="00284257">
        <w:tc>
          <w:tcPr>
            <w:tcW w:w="2392" w:type="dxa"/>
          </w:tcPr>
          <w:p w:rsidR="00F04C89" w:rsidRPr="007F5722" w:rsidRDefault="00F04C89" w:rsidP="00284257">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ММЛШ</w:t>
            </w:r>
            <w:r w:rsidRPr="007F5722">
              <w:rPr>
                <w:rFonts w:ascii="Times New Roman" w:eastAsia="Times New Roman" w:hAnsi="Times New Roman" w:cs="Times New Roman"/>
                <w:bCs/>
                <w:color w:val="000000"/>
                <w:sz w:val="28"/>
                <w:szCs w:val="28"/>
                <w:lang w:val="en-US"/>
              </w:rPr>
              <w:t>&amp;</w:t>
            </w:r>
            <w:r w:rsidRPr="007F5722">
              <w:rPr>
                <w:rFonts w:ascii="Times New Roman" w:eastAsia="Times New Roman" w:hAnsi="Times New Roman" w:cs="Times New Roman"/>
                <w:bCs/>
                <w:color w:val="000000"/>
                <w:sz w:val="28"/>
                <w:szCs w:val="28"/>
              </w:rPr>
              <w:t>ІЛ-22</w:t>
            </w:r>
          </w:p>
        </w:tc>
        <w:tc>
          <w:tcPr>
            <w:tcW w:w="2393" w:type="dxa"/>
          </w:tcPr>
          <w:p w:rsidR="00F04C89" w:rsidRPr="007F5722" w:rsidRDefault="00F04C89" w:rsidP="00284257">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24</w:t>
            </w:r>
          </w:p>
        </w:tc>
        <w:tc>
          <w:tcPr>
            <w:tcW w:w="2393" w:type="dxa"/>
          </w:tcPr>
          <w:p w:rsidR="00F04C89" w:rsidRPr="007F5722" w:rsidRDefault="00F04C89" w:rsidP="00284257">
            <w:pPr>
              <w:spacing w:after="0" w:line="360" w:lineRule="auto"/>
              <w:jc w:val="center"/>
              <w:rPr>
                <w:rFonts w:ascii="Times New Roman" w:eastAsia="Times New Roman" w:hAnsi="Times New Roman" w:cs="Times New Roman"/>
                <w:b/>
                <w:bCs/>
                <w:color w:val="000000"/>
                <w:sz w:val="28"/>
                <w:szCs w:val="28"/>
              </w:rPr>
            </w:pPr>
            <w:r w:rsidRPr="007F5722">
              <w:rPr>
                <w:rFonts w:ascii="Times New Roman" w:eastAsia="Times New Roman" w:hAnsi="Times New Roman" w:cs="Times New Roman"/>
                <w:b/>
                <w:bCs/>
                <w:color w:val="000000"/>
                <w:sz w:val="28"/>
                <w:szCs w:val="28"/>
              </w:rPr>
              <w:t>0,5091</w:t>
            </w:r>
          </w:p>
        </w:tc>
        <w:tc>
          <w:tcPr>
            <w:tcW w:w="2393" w:type="dxa"/>
          </w:tcPr>
          <w:p w:rsidR="00F04C89" w:rsidRPr="007F5722" w:rsidRDefault="00F04C89" w:rsidP="00284257">
            <w:pPr>
              <w:spacing w:after="0" w:line="360" w:lineRule="auto"/>
              <w:jc w:val="center"/>
              <w:rPr>
                <w:rFonts w:ascii="Times New Roman" w:eastAsia="Times New Roman" w:hAnsi="Times New Roman" w:cs="Times New Roman"/>
                <w:b/>
                <w:bCs/>
                <w:color w:val="000000"/>
                <w:sz w:val="28"/>
                <w:szCs w:val="28"/>
              </w:rPr>
            </w:pPr>
            <w:r w:rsidRPr="007F5722">
              <w:rPr>
                <w:rFonts w:ascii="Times New Roman" w:eastAsia="Times New Roman" w:hAnsi="Times New Roman" w:cs="Times New Roman"/>
                <w:b/>
                <w:bCs/>
                <w:color w:val="000000"/>
                <w:sz w:val="28"/>
                <w:szCs w:val="28"/>
              </w:rPr>
              <w:t>0,011</w:t>
            </w:r>
          </w:p>
        </w:tc>
      </w:tr>
      <w:tr w:rsidR="00F04C89" w:rsidRPr="007F5722" w:rsidTr="00284257">
        <w:tc>
          <w:tcPr>
            <w:tcW w:w="2392" w:type="dxa"/>
          </w:tcPr>
          <w:p w:rsidR="00F04C89" w:rsidRPr="007F5722" w:rsidRDefault="00F04C89" w:rsidP="00284257">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іММ</w:t>
            </w:r>
            <w:r w:rsidRPr="007F5722">
              <w:rPr>
                <w:rFonts w:ascii="Times New Roman" w:eastAsia="Times New Roman" w:hAnsi="Times New Roman" w:cs="Times New Roman"/>
                <w:bCs/>
                <w:color w:val="000000"/>
                <w:sz w:val="28"/>
                <w:szCs w:val="28"/>
                <w:lang w:val="en-US"/>
              </w:rPr>
              <w:t>&amp;</w:t>
            </w:r>
            <w:r w:rsidRPr="007F5722">
              <w:rPr>
                <w:rFonts w:ascii="Times New Roman" w:eastAsia="Times New Roman" w:hAnsi="Times New Roman" w:cs="Times New Roman"/>
                <w:bCs/>
                <w:color w:val="000000"/>
                <w:sz w:val="28"/>
                <w:szCs w:val="28"/>
              </w:rPr>
              <w:t>ІЛ-22</w:t>
            </w:r>
          </w:p>
        </w:tc>
        <w:tc>
          <w:tcPr>
            <w:tcW w:w="2393" w:type="dxa"/>
          </w:tcPr>
          <w:p w:rsidR="00F04C89" w:rsidRPr="007F5722" w:rsidRDefault="00F04C89" w:rsidP="00284257">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24</w:t>
            </w:r>
          </w:p>
        </w:tc>
        <w:tc>
          <w:tcPr>
            <w:tcW w:w="2393" w:type="dxa"/>
          </w:tcPr>
          <w:p w:rsidR="00F04C89" w:rsidRPr="007F5722" w:rsidRDefault="00F04C89" w:rsidP="00284257">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0,3984</w:t>
            </w:r>
          </w:p>
        </w:tc>
        <w:tc>
          <w:tcPr>
            <w:tcW w:w="2393" w:type="dxa"/>
          </w:tcPr>
          <w:p w:rsidR="00F04C89" w:rsidRPr="007F5722" w:rsidRDefault="00F04C89" w:rsidP="00284257">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0,054</w:t>
            </w:r>
          </w:p>
        </w:tc>
      </w:tr>
      <w:tr w:rsidR="00F04C89" w:rsidRPr="007F5722" w:rsidTr="00284257">
        <w:tc>
          <w:tcPr>
            <w:tcW w:w="2392" w:type="dxa"/>
          </w:tcPr>
          <w:p w:rsidR="00F04C89" w:rsidRPr="007F5722" w:rsidRDefault="00F04C89" w:rsidP="00284257">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іММз</w:t>
            </w:r>
            <w:r w:rsidRPr="007F5722">
              <w:rPr>
                <w:rFonts w:ascii="Times New Roman" w:eastAsia="Times New Roman" w:hAnsi="Times New Roman" w:cs="Times New Roman"/>
                <w:bCs/>
                <w:color w:val="000000"/>
                <w:sz w:val="28"/>
                <w:szCs w:val="28"/>
                <w:vertAlign w:val="superscript"/>
              </w:rPr>
              <w:t>2,7</w:t>
            </w:r>
            <w:r w:rsidRPr="007F5722">
              <w:rPr>
                <w:rFonts w:ascii="Times New Roman" w:eastAsia="Times New Roman" w:hAnsi="Times New Roman" w:cs="Times New Roman"/>
                <w:bCs/>
                <w:color w:val="000000"/>
                <w:sz w:val="28"/>
                <w:szCs w:val="28"/>
                <w:lang w:val="en-US"/>
              </w:rPr>
              <w:t>&amp;</w:t>
            </w:r>
            <w:r w:rsidRPr="007F5722">
              <w:rPr>
                <w:rFonts w:ascii="Times New Roman" w:eastAsia="Times New Roman" w:hAnsi="Times New Roman" w:cs="Times New Roman"/>
                <w:bCs/>
                <w:color w:val="000000"/>
                <w:sz w:val="28"/>
                <w:szCs w:val="28"/>
              </w:rPr>
              <w:t>ІЛ-22</w:t>
            </w:r>
          </w:p>
        </w:tc>
        <w:tc>
          <w:tcPr>
            <w:tcW w:w="2393" w:type="dxa"/>
          </w:tcPr>
          <w:p w:rsidR="00F04C89" w:rsidRPr="007F5722" w:rsidRDefault="00F04C89" w:rsidP="00284257">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24</w:t>
            </w:r>
          </w:p>
        </w:tc>
        <w:tc>
          <w:tcPr>
            <w:tcW w:w="2393" w:type="dxa"/>
          </w:tcPr>
          <w:p w:rsidR="00F04C89" w:rsidRPr="007F5722" w:rsidRDefault="00F04C89" w:rsidP="00284257">
            <w:pPr>
              <w:spacing w:after="0" w:line="360" w:lineRule="auto"/>
              <w:jc w:val="center"/>
              <w:rPr>
                <w:rFonts w:ascii="Times New Roman" w:eastAsia="Times New Roman" w:hAnsi="Times New Roman" w:cs="Times New Roman"/>
                <w:b/>
                <w:bCs/>
                <w:color w:val="000000"/>
                <w:sz w:val="28"/>
                <w:szCs w:val="28"/>
              </w:rPr>
            </w:pPr>
            <w:r w:rsidRPr="007F5722">
              <w:rPr>
                <w:rFonts w:ascii="Times New Roman" w:eastAsia="Times New Roman" w:hAnsi="Times New Roman" w:cs="Times New Roman"/>
                <w:b/>
                <w:bCs/>
                <w:color w:val="000000"/>
                <w:sz w:val="28"/>
                <w:szCs w:val="28"/>
              </w:rPr>
              <w:t>0,4329</w:t>
            </w:r>
          </w:p>
        </w:tc>
        <w:tc>
          <w:tcPr>
            <w:tcW w:w="2393" w:type="dxa"/>
          </w:tcPr>
          <w:p w:rsidR="00F04C89" w:rsidRPr="007F5722" w:rsidRDefault="00F04C89" w:rsidP="00284257">
            <w:pPr>
              <w:spacing w:after="0" w:line="360" w:lineRule="auto"/>
              <w:jc w:val="center"/>
              <w:rPr>
                <w:rFonts w:ascii="Times New Roman" w:eastAsia="Times New Roman" w:hAnsi="Times New Roman" w:cs="Times New Roman"/>
                <w:b/>
                <w:bCs/>
                <w:color w:val="000000"/>
                <w:sz w:val="28"/>
                <w:szCs w:val="28"/>
              </w:rPr>
            </w:pPr>
            <w:r w:rsidRPr="007F5722">
              <w:rPr>
                <w:rFonts w:ascii="Times New Roman" w:eastAsia="Times New Roman" w:hAnsi="Times New Roman" w:cs="Times New Roman"/>
                <w:b/>
                <w:bCs/>
                <w:color w:val="000000"/>
                <w:sz w:val="28"/>
                <w:szCs w:val="28"/>
              </w:rPr>
              <w:t>0,</w:t>
            </w:r>
            <w:r w:rsidR="00C7732D" w:rsidRPr="007F5722">
              <w:rPr>
                <w:rFonts w:ascii="Times New Roman" w:eastAsia="Times New Roman" w:hAnsi="Times New Roman" w:cs="Times New Roman"/>
                <w:b/>
                <w:bCs/>
                <w:color w:val="000000"/>
                <w:sz w:val="28"/>
                <w:szCs w:val="28"/>
              </w:rPr>
              <w:t>035</w:t>
            </w:r>
          </w:p>
        </w:tc>
      </w:tr>
    </w:tbl>
    <w:p w:rsidR="00FD4111" w:rsidRPr="007F5722" w:rsidRDefault="00FD4111" w:rsidP="00FD4111">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F04C89" w:rsidRPr="007F5722" w:rsidRDefault="00FD4111" w:rsidP="00FD4111">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color w:val="000000"/>
          <w:sz w:val="28"/>
          <w:szCs w:val="28"/>
        </w:rPr>
        <w:t>У групі контролю достовірних кореляційних зв’язків не було виявлено.</w:t>
      </w:r>
    </w:p>
    <w:p w:rsidR="00C7732D" w:rsidRPr="007F5722" w:rsidRDefault="00C7732D" w:rsidP="00C7732D">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lastRenderedPageBreak/>
        <w:t>Характеристика об</w:t>
      </w:r>
      <w:r w:rsidRPr="007F5722">
        <w:rPr>
          <w:rFonts w:ascii="Times New Roman" w:eastAsia="Times New Roman" w:hAnsi="Times New Roman" w:cs="Times New Roman"/>
          <w:color w:val="000000"/>
          <w:sz w:val="28"/>
          <w:szCs w:val="28"/>
        </w:rPr>
        <w:t>’</w:t>
      </w:r>
      <w:r w:rsidRPr="007F5722">
        <w:rPr>
          <w:rFonts w:ascii="Times New Roman" w:eastAsia="Times New Roman" w:hAnsi="Times New Roman" w:cs="Times New Roman"/>
          <w:bCs/>
          <w:color w:val="000000"/>
          <w:sz w:val="28"/>
          <w:szCs w:val="28"/>
        </w:rPr>
        <w:t xml:space="preserve">ємних параметрів ЛШ у хворих на ГХ в залежності від наявності надмірної маси тіла та ожиріння </w:t>
      </w:r>
      <w:r w:rsidR="00FD4111" w:rsidRPr="007F5722">
        <w:rPr>
          <w:rFonts w:ascii="Times New Roman" w:eastAsia="Times New Roman" w:hAnsi="Times New Roman" w:cs="Times New Roman"/>
          <w:bCs/>
          <w:color w:val="000000"/>
          <w:sz w:val="28"/>
          <w:szCs w:val="28"/>
        </w:rPr>
        <w:t>наведені в таблиці 3.3.4</w:t>
      </w:r>
    </w:p>
    <w:p w:rsidR="00543F7E" w:rsidRPr="007F5722" w:rsidRDefault="00543F7E" w:rsidP="00FD4111">
      <w:pPr>
        <w:shd w:val="clear" w:color="auto" w:fill="FFFFFF"/>
        <w:spacing w:after="0" w:line="360" w:lineRule="auto"/>
        <w:ind w:firstLine="709"/>
        <w:jc w:val="right"/>
        <w:rPr>
          <w:rFonts w:ascii="Times New Roman" w:eastAsia="Times New Roman" w:hAnsi="Times New Roman" w:cs="Times New Roman"/>
          <w:bCs/>
          <w:color w:val="000000"/>
          <w:sz w:val="28"/>
          <w:szCs w:val="28"/>
        </w:rPr>
      </w:pPr>
    </w:p>
    <w:p w:rsidR="00FD4111" w:rsidRPr="007F5722" w:rsidRDefault="00FD4111" w:rsidP="00FD4111">
      <w:pPr>
        <w:shd w:val="clear" w:color="auto" w:fill="FFFFFF"/>
        <w:spacing w:after="0" w:line="360" w:lineRule="auto"/>
        <w:ind w:firstLine="709"/>
        <w:jc w:val="right"/>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Таблиця 3.3.4</w:t>
      </w:r>
    </w:p>
    <w:p w:rsidR="00FD4111" w:rsidRPr="007F5722" w:rsidRDefault="00FD4111" w:rsidP="00FD4111">
      <w:pPr>
        <w:shd w:val="clear" w:color="auto" w:fill="FFFFFF"/>
        <w:spacing w:after="0" w:line="360" w:lineRule="auto"/>
        <w:ind w:firstLine="709"/>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 xml:space="preserve">Ехокардіографічні показники центральної кардіогемодинаміки у хворих на ГХ в залежності від наявності надмірної маси тіла та ожиріння </w:t>
      </w:r>
    </w:p>
    <w:tbl>
      <w:tblPr>
        <w:tblStyle w:val="a9"/>
        <w:tblW w:w="0" w:type="auto"/>
        <w:tblLook w:val="04A0" w:firstRow="1" w:lastRow="0" w:firstColumn="1" w:lastColumn="0" w:noHBand="0" w:noVBand="1"/>
      </w:tblPr>
      <w:tblGrid>
        <w:gridCol w:w="1781"/>
        <w:gridCol w:w="2364"/>
        <w:gridCol w:w="2616"/>
        <w:gridCol w:w="2584"/>
      </w:tblGrid>
      <w:tr w:rsidR="00284257" w:rsidRPr="007F5722" w:rsidTr="00543F7E">
        <w:tc>
          <w:tcPr>
            <w:tcW w:w="1809" w:type="dxa"/>
          </w:tcPr>
          <w:p w:rsidR="00284257" w:rsidRPr="007F5722" w:rsidRDefault="00284257" w:rsidP="00284257">
            <w:pPr>
              <w:jc w:val="center"/>
              <w:rPr>
                <w:rFonts w:ascii="Times New Roman" w:hAnsi="Times New Roman" w:cs="Times New Roman"/>
                <w:sz w:val="28"/>
                <w:szCs w:val="28"/>
              </w:rPr>
            </w:pPr>
            <w:r w:rsidRPr="007F5722">
              <w:rPr>
                <w:rFonts w:ascii="Times New Roman" w:hAnsi="Times New Roman" w:cs="Times New Roman"/>
                <w:sz w:val="28"/>
                <w:szCs w:val="28"/>
              </w:rPr>
              <w:t>Показник</w:t>
            </w:r>
          </w:p>
        </w:tc>
        <w:tc>
          <w:tcPr>
            <w:tcW w:w="2410" w:type="dxa"/>
          </w:tcPr>
          <w:p w:rsidR="00284257" w:rsidRPr="007F5722" w:rsidRDefault="00543F7E" w:rsidP="00284257">
            <w:pPr>
              <w:jc w:val="center"/>
              <w:rPr>
                <w:rFonts w:ascii="Times New Roman" w:hAnsi="Times New Roman" w:cs="Times New Roman"/>
                <w:sz w:val="28"/>
                <w:szCs w:val="28"/>
              </w:rPr>
            </w:pPr>
            <w:r w:rsidRPr="007F5722">
              <w:rPr>
                <w:rFonts w:ascii="Times New Roman" w:hAnsi="Times New Roman" w:cs="Times New Roman"/>
                <w:sz w:val="28"/>
                <w:szCs w:val="28"/>
                <w:lang w:val="ru-RU"/>
              </w:rPr>
              <w:t>Хвор</w:t>
            </w:r>
            <w:r w:rsidRPr="007F5722">
              <w:rPr>
                <w:rFonts w:ascii="Times New Roman" w:hAnsi="Times New Roman" w:cs="Times New Roman"/>
                <w:sz w:val="28"/>
                <w:szCs w:val="28"/>
              </w:rPr>
              <w:t xml:space="preserve">і на ГХ </w:t>
            </w:r>
            <w:r w:rsidRPr="007F5722">
              <w:rPr>
                <w:rFonts w:ascii="Times New Roman" w:hAnsi="Times New Roman" w:cs="Times New Roman"/>
                <w:sz w:val="28"/>
                <w:szCs w:val="28"/>
                <w:lang w:val="ru-RU"/>
              </w:rPr>
              <w:t xml:space="preserve">нормальною </w:t>
            </w:r>
            <w:r w:rsidRPr="007F5722">
              <w:rPr>
                <w:rFonts w:ascii="Times New Roman" w:hAnsi="Times New Roman" w:cs="Times New Roman"/>
                <w:sz w:val="28"/>
                <w:szCs w:val="28"/>
              </w:rPr>
              <w:t>масою тіла</w:t>
            </w:r>
          </w:p>
        </w:tc>
        <w:tc>
          <w:tcPr>
            <w:tcW w:w="2693" w:type="dxa"/>
          </w:tcPr>
          <w:p w:rsidR="00284257" w:rsidRPr="007F5722" w:rsidRDefault="00543F7E" w:rsidP="00284257">
            <w:pPr>
              <w:jc w:val="center"/>
              <w:rPr>
                <w:rFonts w:ascii="Times New Roman" w:hAnsi="Times New Roman" w:cs="Times New Roman"/>
                <w:sz w:val="28"/>
                <w:szCs w:val="28"/>
              </w:rPr>
            </w:pPr>
            <w:r w:rsidRPr="007F5722">
              <w:rPr>
                <w:rFonts w:ascii="Times New Roman" w:hAnsi="Times New Roman" w:cs="Times New Roman"/>
                <w:sz w:val="28"/>
                <w:szCs w:val="28"/>
              </w:rPr>
              <w:t>Хворі на ГХ з надмірною масою тіла</w:t>
            </w:r>
          </w:p>
        </w:tc>
        <w:tc>
          <w:tcPr>
            <w:tcW w:w="2659" w:type="dxa"/>
          </w:tcPr>
          <w:p w:rsidR="00284257" w:rsidRPr="007F5722" w:rsidRDefault="00543F7E" w:rsidP="00284257">
            <w:pPr>
              <w:jc w:val="center"/>
              <w:rPr>
                <w:rFonts w:ascii="Times New Roman" w:hAnsi="Times New Roman" w:cs="Times New Roman"/>
                <w:sz w:val="28"/>
                <w:szCs w:val="28"/>
              </w:rPr>
            </w:pPr>
            <w:r w:rsidRPr="007F5722">
              <w:rPr>
                <w:rFonts w:ascii="Times New Roman" w:hAnsi="Times New Roman" w:cs="Times New Roman"/>
                <w:sz w:val="28"/>
                <w:szCs w:val="28"/>
              </w:rPr>
              <w:t>Хворі на ГХ з ожирінням</w:t>
            </w:r>
          </w:p>
        </w:tc>
      </w:tr>
      <w:tr w:rsidR="00FD4111" w:rsidRPr="007F5722" w:rsidTr="00543F7E">
        <w:tc>
          <w:tcPr>
            <w:tcW w:w="1809" w:type="dxa"/>
          </w:tcPr>
          <w:p w:rsidR="00FD4111" w:rsidRPr="007F5722" w:rsidRDefault="00FD4111" w:rsidP="00284257">
            <w:pPr>
              <w:jc w:val="both"/>
              <w:rPr>
                <w:rFonts w:ascii="Times New Roman" w:hAnsi="Times New Roman" w:cs="Times New Roman"/>
                <w:sz w:val="28"/>
                <w:szCs w:val="28"/>
                <w:vertAlign w:val="superscript"/>
              </w:rPr>
            </w:pPr>
            <w:r w:rsidRPr="007F5722">
              <w:rPr>
                <w:rFonts w:ascii="Times New Roman" w:hAnsi="Times New Roman" w:cs="Times New Roman"/>
                <w:sz w:val="28"/>
                <w:szCs w:val="28"/>
              </w:rPr>
              <w:t>КДО, мл</w:t>
            </w:r>
            <w:r w:rsidRPr="007F5722">
              <w:rPr>
                <w:rFonts w:ascii="Times New Roman" w:hAnsi="Times New Roman" w:cs="Times New Roman"/>
                <w:sz w:val="28"/>
                <w:szCs w:val="28"/>
                <w:vertAlign w:val="superscript"/>
              </w:rPr>
              <w:t>3</w:t>
            </w:r>
          </w:p>
        </w:tc>
        <w:tc>
          <w:tcPr>
            <w:tcW w:w="2410" w:type="dxa"/>
          </w:tcPr>
          <w:p w:rsidR="00FD4111" w:rsidRPr="007F5722" w:rsidRDefault="00D06435" w:rsidP="00284257">
            <w:pPr>
              <w:jc w:val="center"/>
              <w:rPr>
                <w:rFonts w:ascii="Times New Roman" w:hAnsi="Times New Roman" w:cs="Times New Roman"/>
                <w:sz w:val="28"/>
                <w:szCs w:val="28"/>
                <w:lang w:val="ru-RU"/>
              </w:rPr>
            </w:pPr>
            <w:r w:rsidRPr="007F5722">
              <w:rPr>
                <w:rFonts w:ascii="Times New Roman" w:hAnsi="Times New Roman" w:cs="Times New Roman"/>
                <w:sz w:val="28"/>
                <w:szCs w:val="28"/>
                <w:lang w:val="ru-RU"/>
              </w:rPr>
              <w:t>87,7 (74,2; 112,8)</w:t>
            </w:r>
          </w:p>
        </w:tc>
        <w:tc>
          <w:tcPr>
            <w:tcW w:w="2693" w:type="dxa"/>
          </w:tcPr>
          <w:p w:rsidR="00FD151A" w:rsidRPr="007F5722" w:rsidRDefault="00D06435" w:rsidP="00543F7E">
            <w:pPr>
              <w:jc w:val="center"/>
              <w:rPr>
                <w:rFonts w:ascii="Times New Roman" w:hAnsi="Times New Roman" w:cs="Times New Roman"/>
                <w:sz w:val="28"/>
                <w:szCs w:val="28"/>
              </w:rPr>
            </w:pPr>
            <w:r w:rsidRPr="007F5722">
              <w:rPr>
                <w:rFonts w:ascii="Times New Roman" w:hAnsi="Times New Roman" w:cs="Times New Roman"/>
                <w:sz w:val="28"/>
                <w:szCs w:val="28"/>
              </w:rPr>
              <w:t>104,4 (87,7; 132,4)</w:t>
            </w:r>
            <w:r w:rsidR="00543F7E" w:rsidRPr="007F5722">
              <w:rPr>
                <w:rFonts w:ascii="Times New Roman" w:hAnsi="Times New Roman" w:cs="Times New Roman"/>
                <w:sz w:val="28"/>
                <w:szCs w:val="28"/>
              </w:rPr>
              <w:t xml:space="preserve"> </w:t>
            </w:r>
            <w:r w:rsidR="00543F7E" w:rsidRPr="007F5722">
              <w:rPr>
                <w:rFonts w:ascii="Times New Roman" w:hAnsi="Times New Roman" w:cs="Times New Roman"/>
                <w:b/>
                <w:sz w:val="28"/>
                <w:szCs w:val="28"/>
              </w:rPr>
              <w:t>*</w:t>
            </w:r>
          </w:p>
        </w:tc>
        <w:tc>
          <w:tcPr>
            <w:tcW w:w="2659" w:type="dxa"/>
          </w:tcPr>
          <w:p w:rsidR="00FD151A" w:rsidRPr="007F5722" w:rsidRDefault="00FD4111" w:rsidP="00543F7E">
            <w:pPr>
              <w:jc w:val="center"/>
              <w:rPr>
                <w:rFonts w:ascii="Times New Roman" w:hAnsi="Times New Roman" w:cs="Times New Roman"/>
                <w:sz w:val="28"/>
                <w:szCs w:val="28"/>
              </w:rPr>
            </w:pPr>
            <w:r w:rsidRPr="007F5722">
              <w:rPr>
                <w:rFonts w:ascii="Times New Roman" w:hAnsi="Times New Roman" w:cs="Times New Roman"/>
                <w:sz w:val="28"/>
                <w:szCs w:val="28"/>
              </w:rPr>
              <w:t>112,8 (100,6; 126,7)</w:t>
            </w:r>
            <w:r w:rsidR="00543F7E" w:rsidRPr="007F5722">
              <w:rPr>
                <w:rFonts w:ascii="Times New Roman" w:hAnsi="Times New Roman" w:cs="Times New Roman"/>
                <w:b/>
                <w:sz w:val="28"/>
                <w:szCs w:val="28"/>
              </w:rPr>
              <w:t>*</w:t>
            </w:r>
          </w:p>
        </w:tc>
      </w:tr>
      <w:tr w:rsidR="00FD4111" w:rsidRPr="007F5722" w:rsidTr="00543F7E">
        <w:tc>
          <w:tcPr>
            <w:tcW w:w="1809" w:type="dxa"/>
          </w:tcPr>
          <w:p w:rsidR="00FD4111" w:rsidRPr="007F5722" w:rsidRDefault="00FD4111" w:rsidP="00284257">
            <w:pPr>
              <w:jc w:val="both"/>
              <w:rPr>
                <w:rFonts w:ascii="Times New Roman" w:hAnsi="Times New Roman" w:cs="Times New Roman"/>
                <w:sz w:val="28"/>
                <w:szCs w:val="28"/>
              </w:rPr>
            </w:pPr>
            <w:r w:rsidRPr="007F5722">
              <w:rPr>
                <w:rFonts w:ascii="Times New Roman" w:hAnsi="Times New Roman" w:cs="Times New Roman"/>
                <w:sz w:val="28"/>
                <w:szCs w:val="28"/>
              </w:rPr>
              <w:t>КСО, мл</w:t>
            </w:r>
            <w:r w:rsidRPr="007F5722">
              <w:rPr>
                <w:rFonts w:ascii="Times New Roman" w:hAnsi="Times New Roman" w:cs="Times New Roman"/>
                <w:sz w:val="28"/>
                <w:szCs w:val="28"/>
                <w:vertAlign w:val="superscript"/>
              </w:rPr>
              <w:t>3</w:t>
            </w:r>
          </w:p>
        </w:tc>
        <w:tc>
          <w:tcPr>
            <w:tcW w:w="2410" w:type="dxa"/>
          </w:tcPr>
          <w:p w:rsidR="00FD4111" w:rsidRPr="007F5722" w:rsidRDefault="00D06435" w:rsidP="00284257">
            <w:pPr>
              <w:jc w:val="center"/>
              <w:rPr>
                <w:rFonts w:ascii="Times New Roman" w:hAnsi="Times New Roman" w:cs="Times New Roman"/>
                <w:sz w:val="28"/>
                <w:szCs w:val="28"/>
                <w:lang w:val="ru-RU"/>
              </w:rPr>
            </w:pPr>
            <w:r w:rsidRPr="007F5722">
              <w:rPr>
                <w:rFonts w:ascii="Times New Roman" w:hAnsi="Times New Roman" w:cs="Times New Roman"/>
                <w:sz w:val="28"/>
                <w:szCs w:val="28"/>
                <w:lang w:val="ru-RU"/>
              </w:rPr>
              <w:t>28,5 (19,3; 37,9)</w:t>
            </w:r>
          </w:p>
        </w:tc>
        <w:tc>
          <w:tcPr>
            <w:tcW w:w="2693" w:type="dxa"/>
          </w:tcPr>
          <w:p w:rsidR="00FD4111" w:rsidRPr="007F5722" w:rsidRDefault="00D06435" w:rsidP="00284257">
            <w:pPr>
              <w:jc w:val="center"/>
              <w:rPr>
                <w:rFonts w:ascii="Times New Roman" w:hAnsi="Times New Roman" w:cs="Times New Roman"/>
                <w:sz w:val="28"/>
                <w:szCs w:val="28"/>
              </w:rPr>
            </w:pPr>
            <w:r w:rsidRPr="007F5722">
              <w:rPr>
                <w:rFonts w:ascii="Times New Roman" w:hAnsi="Times New Roman" w:cs="Times New Roman"/>
                <w:sz w:val="28"/>
                <w:szCs w:val="28"/>
              </w:rPr>
              <w:t>30,1 (24,6; 47,1)</w:t>
            </w:r>
          </w:p>
        </w:tc>
        <w:tc>
          <w:tcPr>
            <w:tcW w:w="2659" w:type="dxa"/>
          </w:tcPr>
          <w:p w:rsidR="00FD151A" w:rsidRPr="007F5722" w:rsidRDefault="00FD4111" w:rsidP="00543F7E">
            <w:pPr>
              <w:jc w:val="center"/>
              <w:rPr>
                <w:rFonts w:ascii="Times New Roman" w:hAnsi="Times New Roman" w:cs="Times New Roman"/>
                <w:sz w:val="28"/>
                <w:szCs w:val="28"/>
              </w:rPr>
            </w:pPr>
            <w:r w:rsidRPr="007F5722">
              <w:rPr>
                <w:rFonts w:ascii="Times New Roman" w:hAnsi="Times New Roman" w:cs="Times New Roman"/>
                <w:sz w:val="28"/>
                <w:szCs w:val="28"/>
              </w:rPr>
              <w:t>38,1 (31,9; 45,8)</w:t>
            </w:r>
            <w:r w:rsidR="00543F7E" w:rsidRPr="007F5722">
              <w:rPr>
                <w:rFonts w:ascii="Times New Roman" w:hAnsi="Times New Roman" w:cs="Times New Roman"/>
                <w:sz w:val="28"/>
                <w:szCs w:val="28"/>
              </w:rPr>
              <w:t xml:space="preserve"> </w:t>
            </w:r>
            <w:r w:rsidR="00543F7E" w:rsidRPr="007F5722">
              <w:rPr>
                <w:rFonts w:ascii="Times New Roman" w:hAnsi="Times New Roman" w:cs="Times New Roman"/>
                <w:b/>
                <w:sz w:val="28"/>
                <w:szCs w:val="28"/>
              </w:rPr>
              <w:t>*</w:t>
            </w:r>
          </w:p>
        </w:tc>
      </w:tr>
      <w:tr w:rsidR="00FD4111" w:rsidRPr="007F5722" w:rsidTr="00543F7E">
        <w:tc>
          <w:tcPr>
            <w:tcW w:w="1809" w:type="dxa"/>
          </w:tcPr>
          <w:p w:rsidR="00FD4111" w:rsidRPr="007F5722" w:rsidRDefault="00FD4111" w:rsidP="00284257">
            <w:pPr>
              <w:jc w:val="both"/>
              <w:rPr>
                <w:rFonts w:ascii="Times New Roman" w:hAnsi="Times New Roman" w:cs="Times New Roman"/>
                <w:sz w:val="28"/>
                <w:szCs w:val="28"/>
              </w:rPr>
            </w:pPr>
            <w:r w:rsidRPr="007F5722">
              <w:rPr>
                <w:rFonts w:ascii="Times New Roman" w:hAnsi="Times New Roman" w:cs="Times New Roman"/>
                <w:sz w:val="28"/>
                <w:szCs w:val="28"/>
              </w:rPr>
              <w:t>УО, мл</w:t>
            </w:r>
            <w:r w:rsidRPr="007F5722">
              <w:rPr>
                <w:rFonts w:ascii="Times New Roman" w:hAnsi="Times New Roman" w:cs="Times New Roman"/>
                <w:sz w:val="28"/>
                <w:szCs w:val="28"/>
                <w:vertAlign w:val="superscript"/>
              </w:rPr>
              <w:t>3</w:t>
            </w:r>
          </w:p>
        </w:tc>
        <w:tc>
          <w:tcPr>
            <w:tcW w:w="2410" w:type="dxa"/>
          </w:tcPr>
          <w:p w:rsidR="00FD4111" w:rsidRPr="007F5722" w:rsidRDefault="00D06435" w:rsidP="00284257">
            <w:pPr>
              <w:jc w:val="center"/>
              <w:rPr>
                <w:rFonts w:ascii="Times New Roman" w:hAnsi="Times New Roman" w:cs="Times New Roman"/>
                <w:sz w:val="28"/>
                <w:szCs w:val="28"/>
                <w:lang w:val="ru-RU"/>
              </w:rPr>
            </w:pPr>
            <w:r w:rsidRPr="007F5722">
              <w:rPr>
                <w:rFonts w:ascii="Times New Roman" w:hAnsi="Times New Roman" w:cs="Times New Roman"/>
                <w:sz w:val="28"/>
                <w:szCs w:val="28"/>
                <w:lang w:val="ru-RU"/>
              </w:rPr>
              <w:t>65,1 (45,6; 72,9)</w:t>
            </w:r>
          </w:p>
        </w:tc>
        <w:tc>
          <w:tcPr>
            <w:tcW w:w="2693" w:type="dxa"/>
          </w:tcPr>
          <w:p w:rsidR="00FD4111" w:rsidRPr="007F5722" w:rsidRDefault="00D06435" w:rsidP="00284257">
            <w:pPr>
              <w:jc w:val="center"/>
              <w:rPr>
                <w:rFonts w:ascii="Times New Roman" w:hAnsi="Times New Roman" w:cs="Times New Roman"/>
                <w:sz w:val="28"/>
                <w:szCs w:val="28"/>
              </w:rPr>
            </w:pPr>
            <w:r w:rsidRPr="007F5722">
              <w:rPr>
                <w:rFonts w:ascii="Times New Roman" w:hAnsi="Times New Roman" w:cs="Times New Roman"/>
                <w:sz w:val="28"/>
                <w:szCs w:val="28"/>
              </w:rPr>
              <w:t>70,6 (59,5; 83,3)</w:t>
            </w:r>
          </w:p>
        </w:tc>
        <w:tc>
          <w:tcPr>
            <w:tcW w:w="2659" w:type="dxa"/>
          </w:tcPr>
          <w:p w:rsidR="00FD151A" w:rsidRPr="007F5722" w:rsidRDefault="00FD4111" w:rsidP="00543F7E">
            <w:pPr>
              <w:jc w:val="center"/>
              <w:rPr>
                <w:rFonts w:ascii="Times New Roman" w:hAnsi="Times New Roman" w:cs="Times New Roman"/>
                <w:sz w:val="28"/>
                <w:szCs w:val="28"/>
              </w:rPr>
            </w:pPr>
            <w:r w:rsidRPr="007F5722">
              <w:rPr>
                <w:rFonts w:ascii="Times New Roman" w:hAnsi="Times New Roman" w:cs="Times New Roman"/>
                <w:sz w:val="28"/>
                <w:szCs w:val="28"/>
              </w:rPr>
              <w:t xml:space="preserve">81,8 (61,4; </w:t>
            </w:r>
            <w:r w:rsidR="00D06435" w:rsidRPr="007F5722">
              <w:rPr>
                <w:rFonts w:ascii="Times New Roman" w:hAnsi="Times New Roman" w:cs="Times New Roman"/>
                <w:sz w:val="28"/>
                <w:szCs w:val="28"/>
              </w:rPr>
              <w:t>82,3</w:t>
            </w:r>
            <w:r w:rsidRPr="007F5722">
              <w:rPr>
                <w:rFonts w:ascii="Times New Roman" w:hAnsi="Times New Roman" w:cs="Times New Roman"/>
                <w:sz w:val="28"/>
                <w:szCs w:val="28"/>
              </w:rPr>
              <w:t>)</w:t>
            </w:r>
            <w:r w:rsidR="00543F7E" w:rsidRPr="007F5722">
              <w:rPr>
                <w:rFonts w:ascii="Times New Roman" w:hAnsi="Times New Roman" w:cs="Times New Roman"/>
                <w:sz w:val="28"/>
                <w:szCs w:val="28"/>
              </w:rPr>
              <w:t xml:space="preserve"> </w:t>
            </w:r>
            <w:r w:rsidR="00543F7E" w:rsidRPr="007F5722">
              <w:rPr>
                <w:rFonts w:ascii="Times New Roman" w:hAnsi="Times New Roman" w:cs="Times New Roman"/>
                <w:b/>
                <w:sz w:val="28"/>
                <w:szCs w:val="28"/>
              </w:rPr>
              <w:t>*</w:t>
            </w:r>
          </w:p>
        </w:tc>
      </w:tr>
      <w:tr w:rsidR="00FD4111" w:rsidRPr="007F5722" w:rsidTr="00543F7E">
        <w:tc>
          <w:tcPr>
            <w:tcW w:w="1809" w:type="dxa"/>
          </w:tcPr>
          <w:p w:rsidR="00FD4111" w:rsidRPr="007F5722" w:rsidRDefault="00FD4111" w:rsidP="00284257">
            <w:pPr>
              <w:jc w:val="both"/>
              <w:rPr>
                <w:rFonts w:ascii="Times New Roman" w:hAnsi="Times New Roman" w:cs="Times New Roman"/>
                <w:sz w:val="28"/>
                <w:szCs w:val="28"/>
              </w:rPr>
            </w:pPr>
            <w:r w:rsidRPr="007F5722">
              <w:rPr>
                <w:rFonts w:ascii="Times New Roman" w:hAnsi="Times New Roman" w:cs="Times New Roman"/>
                <w:sz w:val="28"/>
                <w:szCs w:val="28"/>
              </w:rPr>
              <w:t>ХО, л/хв</w:t>
            </w:r>
          </w:p>
        </w:tc>
        <w:tc>
          <w:tcPr>
            <w:tcW w:w="2410" w:type="dxa"/>
          </w:tcPr>
          <w:p w:rsidR="00FD4111" w:rsidRPr="007F5722" w:rsidRDefault="00D06435" w:rsidP="00284257">
            <w:pPr>
              <w:jc w:val="center"/>
              <w:rPr>
                <w:rFonts w:ascii="Times New Roman" w:hAnsi="Times New Roman" w:cs="Times New Roman"/>
                <w:sz w:val="28"/>
                <w:szCs w:val="28"/>
                <w:lang w:val="ru-RU"/>
              </w:rPr>
            </w:pPr>
            <w:r w:rsidRPr="007F5722">
              <w:rPr>
                <w:rFonts w:ascii="Times New Roman" w:hAnsi="Times New Roman" w:cs="Times New Roman"/>
                <w:sz w:val="28"/>
                <w:szCs w:val="28"/>
                <w:lang w:val="ru-RU"/>
              </w:rPr>
              <w:t>4,5 (3,4; 5,6)</w:t>
            </w:r>
          </w:p>
        </w:tc>
        <w:tc>
          <w:tcPr>
            <w:tcW w:w="2693" w:type="dxa"/>
          </w:tcPr>
          <w:p w:rsidR="00FD4111" w:rsidRPr="007F5722" w:rsidRDefault="00D06435" w:rsidP="00284257">
            <w:pPr>
              <w:jc w:val="center"/>
              <w:rPr>
                <w:rFonts w:ascii="Times New Roman" w:hAnsi="Times New Roman" w:cs="Times New Roman"/>
                <w:sz w:val="28"/>
                <w:szCs w:val="28"/>
              </w:rPr>
            </w:pPr>
            <w:r w:rsidRPr="007F5722">
              <w:rPr>
                <w:rFonts w:ascii="Times New Roman" w:hAnsi="Times New Roman" w:cs="Times New Roman"/>
                <w:sz w:val="28"/>
                <w:szCs w:val="28"/>
              </w:rPr>
              <w:t>5,4 (4,3; 6,0)</w:t>
            </w:r>
          </w:p>
        </w:tc>
        <w:tc>
          <w:tcPr>
            <w:tcW w:w="2659" w:type="dxa"/>
          </w:tcPr>
          <w:p w:rsidR="00FD151A" w:rsidRPr="007F5722" w:rsidRDefault="00D06435" w:rsidP="00543F7E">
            <w:pPr>
              <w:jc w:val="center"/>
              <w:rPr>
                <w:rFonts w:ascii="Times New Roman" w:hAnsi="Times New Roman" w:cs="Times New Roman"/>
                <w:sz w:val="28"/>
                <w:szCs w:val="28"/>
              </w:rPr>
            </w:pPr>
            <w:r w:rsidRPr="007F5722">
              <w:rPr>
                <w:rFonts w:ascii="Times New Roman" w:hAnsi="Times New Roman" w:cs="Times New Roman"/>
                <w:sz w:val="28"/>
                <w:szCs w:val="28"/>
              </w:rPr>
              <w:t>5,9 (4,6; 6,9)</w:t>
            </w:r>
            <w:r w:rsidR="00543F7E" w:rsidRPr="007F5722">
              <w:rPr>
                <w:rFonts w:ascii="Times New Roman" w:hAnsi="Times New Roman" w:cs="Times New Roman"/>
                <w:sz w:val="28"/>
                <w:szCs w:val="28"/>
              </w:rPr>
              <w:t xml:space="preserve"> </w:t>
            </w:r>
            <w:r w:rsidR="00543F7E" w:rsidRPr="007F5722">
              <w:rPr>
                <w:rFonts w:ascii="Times New Roman" w:hAnsi="Times New Roman" w:cs="Times New Roman"/>
                <w:b/>
                <w:sz w:val="28"/>
                <w:szCs w:val="28"/>
              </w:rPr>
              <w:t>*</w:t>
            </w:r>
          </w:p>
        </w:tc>
      </w:tr>
      <w:tr w:rsidR="00FD4111" w:rsidRPr="007F5722" w:rsidTr="00543F7E">
        <w:tc>
          <w:tcPr>
            <w:tcW w:w="1809" w:type="dxa"/>
          </w:tcPr>
          <w:p w:rsidR="00FD4111" w:rsidRPr="007F5722" w:rsidRDefault="00FD4111" w:rsidP="00284257">
            <w:pPr>
              <w:jc w:val="both"/>
              <w:rPr>
                <w:rFonts w:ascii="Times New Roman" w:hAnsi="Times New Roman" w:cs="Times New Roman"/>
                <w:sz w:val="28"/>
                <w:szCs w:val="28"/>
              </w:rPr>
            </w:pPr>
            <w:r w:rsidRPr="007F5722">
              <w:rPr>
                <w:rFonts w:ascii="Times New Roman" w:hAnsi="Times New Roman" w:cs="Times New Roman"/>
                <w:sz w:val="28"/>
                <w:szCs w:val="28"/>
              </w:rPr>
              <w:t>ФВ, %</w:t>
            </w:r>
          </w:p>
        </w:tc>
        <w:tc>
          <w:tcPr>
            <w:tcW w:w="2410" w:type="dxa"/>
          </w:tcPr>
          <w:p w:rsidR="00FD4111" w:rsidRPr="007F5722" w:rsidRDefault="00D06435" w:rsidP="00284257">
            <w:pPr>
              <w:jc w:val="center"/>
              <w:rPr>
                <w:rFonts w:ascii="Times New Roman" w:hAnsi="Times New Roman" w:cs="Times New Roman"/>
                <w:sz w:val="28"/>
                <w:szCs w:val="28"/>
                <w:lang w:val="ru-RU"/>
              </w:rPr>
            </w:pPr>
            <w:r w:rsidRPr="007F5722">
              <w:rPr>
                <w:rFonts w:ascii="Times New Roman" w:hAnsi="Times New Roman" w:cs="Times New Roman"/>
                <w:sz w:val="28"/>
                <w:szCs w:val="28"/>
                <w:lang w:val="ru-RU"/>
              </w:rPr>
              <w:t>66,9 (58,9; 74,1)</w:t>
            </w:r>
          </w:p>
        </w:tc>
        <w:tc>
          <w:tcPr>
            <w:tcW w:w="2693" w:type="dxa"/>
          </w:tcPr>
          <w:p w:rsidR="00FD4111" w:rsidRPr="007F5722" w:rsidRDefault="00D06435" w:rsidP="00284257">
            <w:pPr>
              <w:jc w:val="center"/>
              <w:rPr>
                <w:rFonts w:ascii="Times New Roman" w:hAnsi="Times New Roman" w:cs="Times New Roman"/>
                <w:sz w:val="28"/>
                <w:szCs w:val="28"/>
              </w:rPr>
            </w:pPr>
            <w:r w:rsidRPr="007F5722">
              <w:rPr>
                <w:rFonts w:ascii="Times New Roman" w:hAnsi="Times New Roman" w:cs="Times New Roman"/>
                <w:sz w:val="28"/>
                <w:szCs w:val="28"/>
              </w:rPr>
              <w:t>69,1 (60,0; 73,6)</w:t>
            </w:r>
          </w:p>
        </w:tc>
        <w:tc>
          <w:tcPr>
            <w:tcW w:w="2659" w:type="dxa"/>
          </w:tcPr>
          <w:p w:rsidR="00FD4111" w:rsidRPr="007F5722" w:rsidRDefault="00D06435" w:rsidP="00284257">
            <w:pPr>
              <w:jc w:val="center"/>
              <w:rPr>
                <w:rFonts w:ascii="Times New Roman" w:hAnsi="Times New Roman" w:cs="Times New Roman"/>
                <w:sz w:val="28"/>
                <w:szCs w:val="28"/>
              </w:rPr>
            </w:pPr>
            <w:r w:rsidRPr="007F5722">
              <w:rPr>
                <w:rFonts w:ascii="Times New Roman" w:hAnsi="Times New Roman" w:cs="Times New Roman"/>
                <w:sz w:val="28"/>
                <w:szCs w:val="28"/>
              </w:rPr>
              <w:t>65,2 (59,5; 70,9)</w:t>
            </w:r>
          </w:p>
        </w:tc>
      </w:tr>
      <w:tr w:rsidR="00FD4111" w:rsidRPr="007F5722" w:rsidTr="00543F7E">
        <w:tc>
          <w:tcPr>
            <w:tcW w:w="1809" w:type="dxa"/>
          </w:tcPr>
          <w:p w:rsidR="00FD4111" w:rsidRPr="007F5722" w:rsidRDefault="00FD4111" w:rsidP="00284257">
            <w:pPr>
              <w:jc w:val="both"/>
              <w:rPr>
                <w:rFonts w:ascii="Times New Roman" w:hAnsi="Times New Roman" w:cs="Times New Roman"/>
                <w:sz w:val="28"/>
                <w:szCs w:val="28"/>
              </w:rPr>
            </w:pPr>
            <w:r w:rsidRPr="007F5722">
              <w:rPr>
                <w:rFonts w:ascii="Times New Roman" w:hAnsi="Times New Roman" w:cs="Times New Roman"/>
                <w:sz w:val="28"/>
                <w:szCs w:val="28"/>
              </w:rPr>
              <w:t>ІЛ-22</w:t>
            </w:r>
            <w:r w:rsidR="00840484" w:rsidRPr="007F5722">
              <w:rPr>
                <w:rFonts w:ascii="Times New Roman" w:hAnsi="Times New Roman" w:cs="Times New Roman"/>
                <w:sz w:val="28"/>
                <w:szCs w:val="28"/>
              </w:rPr>
              <w:t>, пг/мл</w:t>
            </w:r>
          </w:p>
        </w:tc>
        <w:tc>
          <w:tcPr>
            <w:tcW w:w="2410" w:type="dxa"/>
          </w:tcPr>
          <w:p w:rsidR="00FD4111" w:rsidRPr="007F5722" w:rsidRDefault="00D06435" w:rsidP="00284257">
            <w:pPr>
              <w:jc w:val="center"/>
              <w:rPr>
                <w:rFonts w:ascii="Times New Roman" w:hAnsi="Times New Roman" w:cs="Times New Roman"/>
                <w:sz w:val="28"/>
                <w:szCs w:val="28"/>
                <w:lang w:val="ru-RU"/>
              </w:rPr>
            </w:pPr>
            <w:r w:rsidRPr="007F5722">
              <w:rPr>
                <w:rFonts w:ascii="Times New Roman" w:hAnsi="Times New Roman" w:cs="Times New Roman"/>
                <w:sz w:val="28"/>
                <w:szCs w:val="28"/>
              </w:rPr>
              <w:t>23,14 (22,47; 23,76)</w:t>
            </w:r>
          </w:p>
        </w:tc>
        <w:tc>
          <w:tcPr>
            <w:tcW w:w="2693" w:type="dxa"/>
          </w:tcPr>
          <w:p w:rsidR="00FD4111" w:rsidRPr="007F5722" w:rsidRDefault="00D06435" w:rsidP="00284257">
            <w:pPr>
              <w:jc w:val="center"/>
              <w:rPr>
                <w:rFonts w:ascii="Times New Roman" w:hAnsi="Times New Roman" w:cs="Times New Roman"/>
                <w:sz w:val="28"/>
                <w:szCs w:val="28"/>
              </w:rPr>
            </w:pPr>
            <w:r w:rsidRPr="007F5722">
              <w:rPr>
                <w:rFonts w:ascii="Times New Roman" w:hAnsi="Times New Roman" w:cs="Times New Roman"/>
                <w:sz w:val="28"/>
                <w:szCs w:val="28"/>
              </w:rPr>
              <w:t>28,64 (27,49; 28,94)</w:t>
            </w:r>
          </w:p>
        </w:tc>
        <w:tc>
          <w:tcPr>
            <w:tcW w:w="2659" w:type="dxa"/>
          </w:tcPr>
          <w:p w:rsidR="00FD4111" w:rsidRPr="007F5722" w:rsidRDefault="00D06435" w:rsidP="00284257">
            <w:pPr>
              <w:jc w:val="center"/>
              <w:rPr>
                <w:rFonts w:ascii="Times New Roman" w:hAnsi="Times New Roman" w:cs="Times New Roman"/>
                <w:sz w:val="28"/>
                <w:szCs w:val="28"/>
              </w:rPr>
            </w:pPr>
            <w:r w:rsidRPr="007F5722">
              <w:rPr>
                <w:rFonts w:ascii="Times New Roman" w:hAnsi="Times New Roman" w:cs="Times New Roman"/>
                <w:sz w:val="28"/>
                <w:szCs w:val="28"/>
              </w:rPr>
              <w:t>40,05 (35,23; 53,02)</w:t>
            </w:r>
          </w:p>
        </w:tc>
      </w:tr>
    </w:tbl>
    <w:p w:rsidR="00FD4111" w:rsidRPr="007F5722" w:rsidRDefault="00543F7E" w:rsidP="00FD151A">
      <w:pPr>
        <w:shd w:val="clear" w:color="auto" w:fill="FFFFFF"/>
        <w:spacing w:after="0" w:line="360" w:lineRule="auto"/>
        <w:ind w:firstLine="709"/>
        <w:jc w:val="both"/>
        <w:rPr>
          <w:rFonts w:ascii="Times New Roman" w:eastAsia="Times New Roman" w:hAnsi="Times New Roman" w:cs="Times New Roman"/>
          <w:bCs/>
          <w:color w:val="000000"/>
          <w:sz w:val="24"/>
          <w:szCs w:val="24"/>
        </w:rPr>
      </w:pPr>
      <w:r w:rsidRPr="007F5722">
        <w:rPr>
          <w:rFonts w:ascii="Times New Roman" w:eastAsia="Times New Roman" w:hAnsi="Times New Roman" w:cs="Times New Roman"/>
          <w:bCs/>
          <w:color w:val="000000"/>
          <w:sz w:val="24"/>
          <w:szCs w:val="24"/>
        </w:rPr>
        <w:t xml:space="preserve">Примітки: </w:t>
      </w:r>
      <w:r w:rsidR="00FD151A" w:rsidRPr="007F5722">
        <w:rPr>
          <w:rFonts w:ascii="Times New Roman" w:eastAsia="Times New Roman" w:hAnsi="Times New Roman" w:cs="Times New Roman"/>
          <w:bCs/>
          <w:color w:val="000000"/>
          <w:sz w:val="24"/>
          <w:szCs w:val="24"/>
        </w:rPr>
        <w:t xml:space="preserve">* – </w:t>
      </w:r>
      <w:r w:rsidRPr="007F5722">
        <w:rPr>
          <w:rFonts w:ascii="Times New Roman" w:eastAsia="Times New Roman" w:hAnsi="Times New Roman" w:cs="Times New Roman"/>
          <w:bCs/>
          <w:color w:val="000000"/>
          <w:sz w:val="24"/>
          <w:szCs w:val="24"/>
        </w:rPr>
        <w:t>відмінність статистично достовірна в</w:t>
      </w:r>
      <w:r w:rsidR="00FD151A" w:rsidRPr="007F5722">
        <w:rPr>
          <w:rFonts w:ascii="Times New Roman" w:eastAsia="Times New Roman" w:hAnsi="Times New Roman" w:cs="Times New Roman"/>
          <w:bCs/>
          <w:color w:val="000000"/>
          <w:sz w:val="24"/>
          <w:szCs w:val="24"/>
        </w:rPr>
        <w:t xml:space="preserve"> порівнянні з хворими на ГХ з нормальною масою тіла;  КДО – кінцевий діаст</w:t>
      </w:r>
      <w:r w:rsidR="00354AA6" w:rsidRPr="007F5722">
        <w:rPr>
          <w:rFonts w:ascii="Times New Roman" w:eastAsia="Times New Roman" w:hAnsi="Times New Roman" w:cs="Times New Roman"/>
          <w:bCs/>
          <w:color w:val="000000"/>
          <w:sz w:val="24"/>
          <w:szCs w:val="24"/>
        </w:rPr>
        <w:t>олічний об’єм; КСО - кінцевий си</w:t>
      </w:r>
      <w:r w:rsidR="00FD151A" w:rsidRPr="007F5722">
        <w:rPr>
          <w:rFonts w:ascii="Times New Roman" w:eastAsia="Times New Roman" w:hAnsi="Times New Roman" w:cs="Times New Roman"/>
          <w:bCs/>
          <w:color w:val="000000"/>
          <w:sz w:val="24"/>
          <w:szCs w:val="24"/>
        </w:rPr>
        <w:t>столічний об’єм; УО – ударний об’єм; ХО – хвилинний об’єм, ФВ – фракція викиду.</w:t>
      </w:r>
    </w:p>
    <w:p w:rsidR="00543F7E" w:rsidRPr="007F5722" w:rsidRDefault="00543F7E" w:rsidP="00FD151A">
      <w:pPr>
        <w:shd w:val="clear" w:color="auto" w:fill="FFFFFF"/>
        <w:spacing w:after="0" w:line="360" w:lineRule="auto"/>
        <w:ind w:firstLine="709"/>
        <w:jc w:val="both"/>
        <w:rPr>
          <w:rFonts w:ascii="Times New Roman" w:eastAsia="Times New Roman" w:hAnsi="Times New Roman" w:cs="Times New Roman"/>
          <w:bCs/>
          <w:color w:val="000000"/>
          <w:sz w:val="28"/>
          <w:szCs w:val="28"/>
        </w:rPr>
      </w:pPr>
    </w:p>
    <w:p w:rsidR="00AE394E" w:rsidRPr="007F5722" w:rsidRDefault="00EB3DB7" w:rsidP="00EB590F">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Таким чином, виявлено, що збільшення ІМТ негативно впливає на перебіг ГХ, що проявляється несприятливими змінами параметрів геометрії міокарда ЛШ.</w:t>
      </w:r>
    </w:p>
    <w:p w:rsidR="00073803" w:rsidRPr="007F5722" w:rsidRDefault="00FD151A" w:rsidP="00840484">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 xml:space="preserve">Аналіз кореляційних зв’язків між ІЛ-22 та </w:t>
      </w:r>
      <w:r w:rsidR="00840484" w:rsidRPr="007F5722">
        <w:rPr>
          <w:rFonts w:ascii="Times New Roman" w:eastAsia="Times New Roman" w:hAnsi="Times New Roman" w:cs="Times New Roman"/>
          <w:bCs/>
          <w:color w:val="000000"/>
          <w:sz w:val="28"/>
          <w:szCs w:val="28"/>
        </w:rPr>
        <w:t>показниками об’єму ЛШ у хворих на ГХ в залежності від наявності надмірної маси тіла та ожиріння не виявив достовірних залежностей.</w:t>
      </w:r>
    </w:p>
    <w:p w:rsidR="00DF48E5" w:rsidRPr="007F5722" w:rsidRDefault="00DF48E5" w:rsidP="00DF48E5">
      <w:pPr>
        <w:pStyle w:val="af2"/>
        <w:spacing w:after="0" w:line="360" w:lineRule="auto"/>
        <w:ind w:firstLine="709"/>
        <w:jc w:val="both"/>
        <w:rPr>
          <w:rFonts w:ascii="Times New Roman" w:eastAsia="Times New Roman" w:hAnsi="Times New Roman" w:cs="Times New Roman"/>
          <w:b w:val="0"/>
          <w:bCs w:val="0"/>
          <w:color w:val="000000"/>
          <w:sz w:val="28"/>
          <w:szCs w:val="28"/>
        </w:rPr>
      </w:pPr>
      <w:r w:rsidRPr="007F5722">
        <w:rPr>
          <w:rFonts w:ascii="Times New Roman" w:eastAsia="Times New Roman" w:hAnsi="Times New Roman" w:cs="Times New Roman"/>
          <w:b w:val="0"/>
          <w:bCs w:val="0"/>
          <w:color w:val="000000"/>
          <w:sz w:val="28"/>
          <w:szCs w:val="28"/>
        </w:rPr>
        <w:t>Наявність гіпертрофії міокарду ЛШ (ГМЛШ) встановлено у 27,9 % пацієнтів.</w:t>
      </w:r>
    </w:p>
    <w:p w:rsidR="00543F7E" w:rsidRPr="007F5722" w:rsidRDefault="00543F7E" w:rsidP="008F6863">
      <w:pPr>
        <w:spacing w:after="0" w:line="360" w:lineRule="auto"/>
        <w:ind w:firstLine="709"/>
        <w:jc w:val="both"/>
        <w:rPr>
          <w:rFonts w:ascii="Times New Roman" w:eastAsia="Times New Roman" w:hAnsi="Times New Roman" w:cs="Times New Roman"/>
          <w:bCs/>
          <w:color w:val="000000"/>
          <w:sz w:val="28"/>
          <w:szCs w:val="28"/>
        </w:rPr>
      </w:pPr>
      <w:r w:rsidRPr="007F5722">
        <w:rPr>
          <w:rFonts w:ascii="Times New Roman" w:hAnsi="Times New Roman" w:cs="Times New Roman"/>
          <w:sz w:val="28"/>
          <w:szCs w:val="28"/>
        </w:rPr>
        <w:lastRenderedPageBreak/>
        <w:t>Нами було проаналізовано лінійні параметри лівого шлуночка серця у хворих</w:t>
      </w:r>
      <w:r w:rsidRPr="007F5722">
        <w:rPr>
          <w:rFonts w:ascii="Times New Roman" w:eastAsia="Times New Roman" w:hAnsi="Times New Roman" w:cs="Times New Roman"/>
          <w:bCs/>
          <w:color w:val="000000"/>
          <w:sz w:val="28"/>
          <w:szCs w:val="28"/>
        </w:rPr>
        <w:t xml:space="preserve"> на ГХ в залежності від наявності в них гіпертрофії міокарда лівого шлуночка (табл.3.3.5)</w:t>
      </w:r>
    </w:p>
    <w:tbl>
      <w:tblPr>
        <w:tblStyle w:val="a9"/>
        <w:tblW w:w="9351" w:type="dxa"/>
        <w:tblLook w:val="04A0" w:firstRow="1" w:lastRow="0" w:firstColumn="1" w:lastColumn="0" w:noHBand="0" w:noVBand="1"/>
      </w:tblPr>
      <w:tblGrid>
        <w:gridCol w:w="3114"/>
        <w:gridCol w:w="3118"/>
        <w:gridCol w:w="3119"/>
      </w:tblGrid>
      <w:tr w:rsidR="00A0387F" w:rsidRPr="007F5722" w:rsidTr="00A0387F">
        <w:tc>
          <w:tcPr>
            <w:tcW w:w="3114" w:type="dxa"/>
          </w:tcPr>
          <w:p w:rsidR="00A0387F" w:rsidRPr="007F5722" w:rsidRDefault="00A0387F" w:rsidP="00543F7E">
            <w:pPr>
              <w:spacing w:after="0" w:line="360" w:lineRule="auto"/>
              <w:jc w:val="center"/>
              <w:rPr>
                <w:rFonts w:ascii="Times New Roman" w:hAnsi="Times New Roman" w:cs="Times New Roman"/>
                <w:sz w:val="28"/>
                <w:szCs w:val="28"/>
              </w:rPr>
            </w:pPr>
            <w:r w:rsidRPr="007F5722">
              <w:rPr>
                <w:rFonts w:ascii="Times New Roman" w:hAnsi="Times New Roman" w:cs="Times New Roman"/>
                <w:sz w:val="28"/>
                <w:szCs w:val="28"/>
              </w:rPr>
              <w:t>Показник</w:t>
            </w:r>
          </w:p>
        </w:tc>
        <w:tc>
          <w:tcPr>
            <w:tcW w:w="3118" w:type="dxa"/>
          </w:tcPr>
          <w:p w:rsidR="00A0387F" w:rsidRPr="007F5722" w:rsidRDefault="00A0387F" w:rsidP="008E792E">
            <w:pPr>
              <w:spacing w:after="0" w:line="360" w:lineRule="auto"/>
              <w:jc w:val="center"/>
              <w:rPr>
                <w:rFonts w:ascii="Times New Roman" w:hAnsi="Times New Roman" w:cs="Times New Roman"/>
                <w:sz w:val="28"/>
                <w:szCs w:val="28"/>
              </w:rPr>
            </w:pPr>
            <w:r w:rsidRPr="007F5722">
              <w:rPr>
                <w:rFonts w:ascii="Times New Roman" w:eastAsia="Times New Roman" w:hAnsi="Times New Roman" w:cs="Times New Roman"/>
                <w:bCs/>
                <w:color w:val="000000"/>
                <w:sz w:val="28"/>
                <w:szCs w:val="28"/>
              </w:rPr>
              <w:t>Хворі з ГМЛШ</w:t>
            </w:r>
          </w:p>
        </w:tc>
        <w:tc>
          <w:tcPr>
            <w:tcW w:w="3119" w:type="dxa"/>
          </w:tcPr>
          <w:p w:rsidR="00A0387F" w:rsidRPr="007F5722" w:rsidRDefault="00A0387F" w:rsidP="008E792E">
            <w:pPr>
              <w:spacing w:after="0" w:line="360" w:lineRule="auto"/>
              <w:jc w:val="center"/>
              <w:rPr>
                <w:rFonts w:ascii="Times New Roman" w:hAnsi="Times New Roman" w:cs="Times New Roman"/>
                <w:sz w:val="28"/>
                <w:szCs w:val="28"/>
              </w:rPr>
            </w:pPr>
            <w:r w:rsidRPr="007F5722">
              <w:rPr>
                <w:rFonts w:ascii="Times New Roman" w:eastAsia="Times New Roman" w:hAnsi="Times New Roman" w:cs="Times New Roman"/>
                <w:bCs/>
                <w:color w:val="000000"/>
                <w:sz w:val="28"/>
                <w:szCs w:val="28"/>
              </w:rPr>
              <w:t>Хворі без ГМЛШ</w:t>
            </w:r>
          </w:p>
        </w:tc>
      </w:tr>
      <w:tr w:rsidR="00A0387F" w:rsidRPr="007F5722" w:rsidTr="00A0387F">
        <w:tc>
          <w:tcPr>
            <w:tcW w:w="3114" w:type="dxa"/>
          </w:tcPr>
          <w:p w:rsidR="00A0387F" w:rsidRPr="007F5722" w:rsidRDefault="00A0387F" w:rsidP="00543F7E">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КДР, см</w:t>
            </w:r>
          </w:p>
        </w:tc>
        <w:tc>
          <w:tcPr>
            <w:tcW w:w="3118" w:type="dxa"/>
          </w:tcPr>
          <w:p w:rsidR="00A0387F" w:rsidRPr="00A0387F" w:rsidRDefault="00A0387F" w:rsidP="008E792E">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5,2 (4,8; 5,4)</w:t>
            </w:r>
          </w:p>
        </w:tc>
        <w:tc>
          <w:tcPr>
            <w:tcW w:w="3119" w:type="dxa"/>
          </w:tcPr>
          <w:p w:rsidR="00A0387F" w:rsidRPr="00A0387F" w:rsidRDefault="00A0387F" w:rsidP="008E792E">
            <w:pPr>
              <w:spacing w:after="0" w:line="360" w:lineRule="auto"/>
              <w:jc w:val="center"/>
              <w:rPr>
                <w:rFonts w:ascii="Times New Roman" w:hAnsi="Times New Roman" w:cs="Times New Roman"/>
                <w:sz w:val="28"/>
                <w:szCs w:val="28"/>
              </w:rPr>
            </w:pPr>
            <w:r>
              <w:rPr>
                <w:rFonts w:ascii="Times New Roman" w:hAnsi="Times New Roman" w:cs="Times New Roman"/>
                <w:sz w:val="28"/>
                <w:szCs w:val="28"/>
                <w:lang w:val="en-US"/>
              </w:rPr>
              <w:t>4</w:t>
            </w:r>
            <w:r>
              <w:rPr>
                <w:rFonts w:ascii="Times New Roman" w:hAnsi="Times New Roman" w:cs="Times New Roman"/>
                <w:sz w:val="28"/>
                <w:szCs w:val="28"/>
              </w:rPr>
              <w:t>,67 (4,4; 4,98)</w:t>
            </w:r>
          </w:p>
        </w:tc>
      </w:tr>
      <w:tr w:rsidR="00A0387F" w:rsidRPr="007F5722" w:rsidTr="00A0387F">
        <w:tc>
          <w:tcPr>
            <w:tcW w:w="3114" w:type="dxa"/>
          </w:tcPr>
          <w:p w:rsidR="00A0387F" w:rsidRPr="007F5722" w:rsidRDefault="00A0387F" w:rsidP="00543F7E">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КСР, см</w:t>
            </w:r>
          </w:p>
        </w:tc>
        <w:tc>
          <w:tcPr>
            <w:tcW w:w="3118" w:type="dxa"/>
          </w:tcPr>
          <w:p w:rsidR="00A0387F" w:rsidRPr="00A0387F" w:rsidRDefault="00A0387F" w:rsidP="008E792E">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3,17 (2,75; 3,55)</w:t>
            </w:r>
          </w:p>
        </w:tc>
        <w:tc>
          <w:tcPr>
            <w:tcW w:w="3119" w:type="dxa"/>
          </w:tcPr>
          <w:p w:rsidR="00A0387F" w:rsidRPr="007F5722" w:rsidRDefault="00A0387F" w:rsidP="008E792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2,93 (2,6; 3,23)</w:t>
            </w:r>
          </w:p>
        </w:tc>
      </w:tr>
      <w:tr w:rsidR="00A0387F" w:rsidRPr="007F5722" w:rsidTr="00A0387F">
        <w:tc>
          <w:tcPr>
            <w:tcW w:w="3114" w:type="dxa"/>
          </w:tcPr>
          <w:p w:rsidR="00A0387F" w:rsidRPr="007F5722" w:rsidRDefault="00A0387F" w:rsidP="00543F7E">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ТМШП, см</w:t>
            </w:r>
          </w:p>
        </w:tc>
        <w:tc>
          <w:tcPr>
            <w:tcW w:w="3118" w:type="dxa"/>
          </w:tcPr>
          <w:p w:rsidR="00A0387F" w:rsidRPr="00A0387F" w:rsidRDefault="00A0387F" w:rsidP="008E792E">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 (1,11; 1,37)</w:t>
            </w:r>
          </w:p>
        </w:tc>
        <w:tc>
          <w:tcPr>
            <w:tcW w:w="3119" w:type="dxa"/>
          </w:tcPr>
          <w:p w:rsidR="00A0387F" w:rsidRPr="007F5722" w:rsidRDefault="008E792E" w:rsidP="008E792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1,13 (1,05; 1,2)</w:t>
            </w:r>
          </w:p>
        </w:tc>
      </w:tr>
      <w:tr w:rsidR="00A0387F" w:rsidRPr="007F5722" w:rsidTr="00A0387F">
        <w:tc>
          <w:tcPr>
            <w:tcW w:w="3114" w:type="dxa"/>
          </w:tcPr>
          <w:p w:rsidR="00A0387F" w:rsidRPr="007F5722" w:rsidRDefault="00A0387F" w:rsidP="00543F7E">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ТЗСЛШ, см</w:t>
            </w:r>
          </w:p>
        </w:tc>
        <w:tc>
          <w:tcPr>
            <w:tcW w:w="3118" w:type="dxa"/>
          </w:tcPr>
          <w:p w:rsidR="00A0387F" w:rsidRPr="00A0387F" w:rsidRDefault="00A0387F" w:rsidP="008E792E">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1,26 (1,1; 1,36)</w:t>
            </w:r>
          </w:p>
        </w:tc>
        <w:tc>
          <w:tcPr>
            <w:tcW w:w="3119" w:type="dxa"/>
          </w:tcPr>
          <w:p w:rsidR="00A0387F" w:rsidRPr="007F5722" w:rsidRDefault="008E792E" w:rsidP="008E792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1,1 (1,0; 1,2)</w:t>
            </w:r>
          </w:p>
        </w:tc>
      </w:tr>
      <w:tr w:rsidR="00A0387F" w:rsidRPr="007F5722" w:rsidTr="00A0387F">
        <w:tc>
          <w:tcPr>
            <w:tcW w:w="3114" w:type="dxa"/>
          </w:tcPr>
          <w:p w:rsidR="00A0387F" w:rsidRPr="007F5722" w:rsidRDefault="00A0387F" w:rsidP="00543F7E">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ВТСЛШ</w:t>
            </w:r>
          </w:p>
        </w:tc>
        <w:tc>
          <w:tcPr>
            <w:tcW w:w="3118" w:type="dxa"/>
          </w:tcPr>
          <w:p w:rsidR="00A0387F" w:rsidRPr="00A0387F" w:rsidRDefault="00A0387F" w:rsidP="008E792E">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0,48 (0,43; 0,54)</w:t>
            </w:r>
          </w:p>
        </w:tc>
        <w:tc>
          <w:tcPr>
            <w:tcW w:w="3119" w:type="dxa"/>
          </w:tcPr>
          <w:p w:rsidR="00A0387F" w:rsidRPr="007F5722" w:rsidRDefault="008E792E" w:rsidP="008E792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0,47 (0,43; 0,54)</w:t>
            </w:r>
          </w:p>
        </w:tc>
      </w:tr>
      <w:tr w:rsidR="00A0387F" w:rsidRPr="007F5722" w:rsidTr="00A0387F">
        <w:tc>
          <w:tcPr>
            <w:tcW w:w="3114" w:type="dxa"/>
          </w:tcPr>
          <w:p w:rsidR="00A0387F" w:rsidRPr="007F5722" w:rsidRDefault="00A0387F" w:rsidP="00507974">
            <w:pPr>
              <w:spacing w:after="0" w:line="360" w:lineRule="auto"/>
              <w:rPr>
                <w:rFonts w:ascii="Times New Roman" w:hAnsi="Times New Roman" w:cs="Times New Roman"/>
                <w:sz w:val="28"/>
                <w:szCs w:val="28"/>
                <w:vertAlign w:val="superscript"/>
              </w:rPr>
            </w:pPr>
            <w:r w:rsidRPr="007F5722">
              <w:rPr>
                <w:rFonts w:ascii="Times New Roman" w:hAnsi="Times New Roman" w:cs="Times New Roman"/>
                <w:sz w:val="28"/>
                <w:szCs w:val="28"/>
              </w:rPr>
              <w:t>ММЛШ, г</w:t>
            </w:r>
          </w:p>
        </w:tc>
        <w:tc>
          <w:tcPr>
            <w:tcW w:w="3118" w:type="dxa"/>
          </w:tcPr>
          <w:p w:rsidR="00A0387F" w:rsidRPr="00A0387F" w:rsidRDefault="00A0387F" w:rsidP="008E792E">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256,04</w:t>
            </w:r>
            <w:r w:rsidR="00B66AA2">
              <w:rPr>
                <w:rFonts w:ascii="Times New Roman" w:hAnsi="Times New Roman" w:cs="Times New Roman"/>
                <w:sz w:val="28"/>
                <w:szCs w:val="28"/>
              </w:rPr>
              <w:t>*</w:t>
            </w:r>
            <w:r>
              <w:rPr>
                <w:rFonts w:ascii="Times New Roman" w:hAnsi="Times New Roman" w:cs="Times New Roman"/>
                <w:sz w:val="28"/>
                <w:szCs w:val="28"/>
                <w:lang w:val="en-US"/>
              </w:rPr>
              <w:t xml:space="preserve"> (228,85; 293,08)</w:t>
            </w:r>
          </w:p>
        </w:tc>
        <w:tc>
          <w:tcPr>
            <w:tcW w:w="3119" w:type="dxa"/>
          </w:tcPr>
          <w:p w:rsidR="00A0387F" w:rsidRPr="007F5722" w:rsidRDefault="008E792E" w:rsidP="008E792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186,72 (152,63; 211,87)</w:t>
            </w:r>
          </w:p>
        </w:tc>
      </w:tr>
      <w:tr w:rsidR="00A0387F" w:rsidRPr="007F5722" w:rsidTr="00A0387F">
        <w:tc>
          <w:tcPr>
            <w:tcW w:w="3114" w:type="dxa"/>
          </w:tcPr>
          <w:p w:rsidR="00A0387F" w:rsidRPr="007F5722" w:rsidRDefault="00A0387F" w:rsidP="00543F7E">
            <w:pPr>
              <w:spacing w:after="0" w:line="360" w:lineRule="auto"/>
              <w:rPr>
                <w:rFonts w:ascii="Times New Roman" w:hAnsi="Times New Roman" w:cs="Times New Roman"/>
                <w:sz w:val="28"/>
                <w:szCs w:val="28"/>
                <w:vertAlign w:val="superscript"/>
              </w:rPr>
            </w:pPr>
            <w:r w:rsidRPr="007F5722">
              <w:rPr>
                <w:rFonts w:ascii="Times New Roman" w:hAnsi="Times New Roman" w:cs="Times New Roman"/>
                <w:sz w:val="28"/>
                <w:szCs w:val="28"/>
              </w:rPr>
              <w:t>іММ, г/м</w:t>
            </w:r>
            <w:r w:rsidRPr="007F5722">
              <w:rPr>
                <w:rFonts w:ascii="Times New Roman" w:hAnsi="Times New Roman" w:cs="Times New Roman"/>
                <w:sz w:val="28"/>
                <w:szCs w:val="28"/>
                <w:vertAlign w:val="superscript"/>
              </w:rPr>
              <w:t>2</w:t>
            </w:r>
          </w:p>
          <w:p w:rsidR="00A0387F" w:rsidRPr="007F5722" w:rsidRDefault="00A0387F" w:rsidP="00543F7E">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чоловіки</w:t>
            </w:r>
          </w:p>
          <w:p w:rsidR="00A0387F" w:rsidRPr="007F5722" w:rsidRDefault="00A0387F" w:rsidP="00543F7E">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жінки</w:t>
            </w:r>
          </w:p>
        </w:tc>
        <w:tc>
          <w:tcPr>
            <w:tcW w:w="3118" w:type="dxa"/>
          </w:tcPr>
          <w:p w:rsidR="00A0387F" w:rsidRPr="00A0387F" w:rsidRDefault="00A0387F" w:rsidP="008E792E">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135,62</w:t>
            </w:r>
            <w:r w:rsidR="00B66AA2">
              <w:rPr>
                <w:rFonts w:ascii="Times New Roman" w:hAnsi="Times New Roman" w:cs="Times New Roman"/>
                <w:sz w:val="28"/>
                <w:szCs w:val="28"/>
              </w:rPr>
              <w:t>*</w:t>
            </w:r>
            <w:r>
              <w:rPr>
                <w:rFonts w:ascii="Times New Roman" w:hAnsi="Times New Roman" w:cs="Times New Roman"/>
                <w:sz w:val="28"/>
                <w:szCs w:val="28"/>
                <w:lang w:val="en-US"/>
              </w:rPr>
              <w:t xml:space="preserve"> (127,98; 139,59)</w:t>
            </w:r>
          </w:p>
        </w:tc>
        <w:tc>
          <w:tcPr>
            <w:tcW w:w="3119" w:type="dxa"/>
          </w:tcPr>
          <w:p w:rsidR="00A0387F" w:rsidRPr="007F5722" w:rsidRDefault="008E792E" w:rsidP="008E792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95,71 (82,98; 106,02)</w:t>
            </w:r>
          </w:p>
        </w:tc>
      </w:tr>
      <w:tr w:rsidR="00A0387F" w:rsidRPr="007F5722" w:rsidTr="00A0387F">
        <w:tc>
          <w:tcPr>
            <w:tcW w:w="3114" w:type="dxa"/>
          </w:tcPr>
          <w:p w:rsidR="00A0387F" w:rsidRPr="007F5722" w:rsidRDefault="00A0387F" w:rsidP="00543F7E">
            <w:pPr>
              <w:spacing w:after="0" w:line="360" w:lineRule="auto"/>
              <w:rPr>
                <w:rFonts w:ascii="Times New Roman" w:hAnsi="Times New Roman" w:cs="Times New Roman"/>
                <w:sz w:val="28"/>
                <w:szCs w:val="28"/>
                <w:vertAlign w:val="superscript"/>
              </w:rPr>
            </w:pPr>
            <w:r w:rsidRPr="007F5722">
              <w:rPr>
                <w:rFonts w:ascii="Times New Roman" w:hAnsi="Times New Roman" w:cs="Times New Roman"/>
                <w:sz w:val="28"/>
                <w:szCs w:val="28"/>
              </w:rPr>
              <w:t>іММз</w:t>
            </w:r>
            <w:r w:rsidRPr="007F5722">
              <w:rPr>
                <w:rFonts w:ascii="Times New Roman" w:hAnsi="Times New Roman" w:cs="Times New Roman"/>
                <w:sz w:val="28"/>
                <w:szCs w:val="28"/>
                <w:vertAlign w:val="superscript"/>
              </w:rPr>
              <w:t>2,7</w:t>
            </w:r>
            <w:r w:rsidRPr="007F5722">
              <w:rPr>
                <w:rFonts w:ascii="Times New Roman" w:hAnsi="Times New Roman" w:cs="Times New Roman"/>
                <w:sz w:val="28"/>
                <w:szCs w:val="28"/>
              </w:rPr>
              <w:t>, г/м</w:t>
            </w:r>
            <w:r w:rsidRPr="007F5722">
              <w:rPr>
                <w:rFonts w:ascii="Times New Roman" w:hAnsi="Times New Roman" w:cs="Times New Roman"/>
                <w:sz w:val="28"/>
                <w:szCs w:val="28"/>
                <w:vertAlign w:val="superscript"/>
              </w:rPr>
              <w:t>2,7</w:t>
            </w:r>
          </w:p>
        </w:tc>
        <w:tc>
          <w:tcPr>
            <w:tcW w:w="3118" w:type="dxa"/>
          </w:tcPr>
          <w:p w:rsidR="00A0387F" w:rsidRPr="00A0387F" w:rsidRDefault="00A0387F" w:rsidP="008E792E">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65,58</w:t>
            </w:r>
            <w:r w:rsidR="00B66AA2">
              <w:rPr>
                <w:rFonts w:ascii="Times New Roman" w:hAnsi="Times New Roman" w:cs="Times New Roman"/>
                <w:sz w:val="28"/>
                <w:szCs w:val="28"/>
              </w:rPr>
              <w:t>*</w:t>
            </w:r>
            <w:r>
              <w:rPr>
                <w:rFonts w:ascii="Times New Roman" w:hAnsi="Times New Roman" w:cs="Times New Roman"/>
                <w:sz w:val="28"/>
                <w:szCs w:val="28"/>
                <w:lang w:val="en-US"/>
              </w:rPr>
              <w:t xml:space="preserve"> (58,52; 71,09)</w:t>
            </w:r>
          </w:p>
        </w:tc>
        <w:tc>
          <w:tcPr>
            <w:tcW w:w="3119" w:type="dxa"/>
          </w:tcPr>
          <w:p w:rsidR="00A0387F" w:rsidRPr="007F5722" w:rsidRDefault="008E792E" w:rsidP="008E792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45,12 (38,92; 51,85)</w:t>
            </w:r>
          </w:p>
        </w:tc>
      </w:tr>
      <w:tr w:rsidR="00A0387F" w:rsidRPr="007F5722" w:rsidTr="00A0387F">
        <w:tc>
          <w:tcPr>
            <w:tcW w:w="3114" w:type="dxa"/>
          </w:tcPr>
          <w:p w:rsidR="00A0387F" w:rsidRPr="007F5722" w:rsidRDefault="00A0387F" w:rsidP="00543F7E">
            <w:pPr>
              <w:spacing w:after="0" w:line="360" w:lineRule="auto"/>
              <w:rPr>
                <w:rFonts w:ascii="Times New Roman" w:hAnsi="Times New Roman" w:cs="Times New Roman"/>
                <w:sz w:val="28"/>
                <w:szCs w:val="28"/>
              </w:rPr>
            </w:pPr>
            <w:r w:rsidRPr="007F5722">
              <w:rPr>
                <w:rFonts w:ascii="Times New Roman" w:hAnsi="Times New Roman" w:cs="Times New Roman"/>
                <w:sz w:val="28"/>
                <w:szCs w:val="28"/>
              </w:rPr>
              <w:t>ІЛ-22, пг/мл</w:t>
            </w:r>
          </w:p>
        </w:tc>
        <w:tc>
          <w:tcPr>
            <w:tcW w:w="3118" w:type="dxa"/>
          </w:tcPr>
          <w:p w:rsidR="00A0387F" w:rsidRPr="00A0387F" w:rsidRDefault="00A0387F" w:rsidP="008E792E">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29,19</w:t>
            </w:r>
            <w:r w:rsidR="00B66AA2">
              <w:rPr>
                <w:rFonts w:ascii="Times New Roman" w:hAnsi="Times New Roman" w:cs="Times New Roman"/>
                <w:sz w:val="28"/>
                <w:szCs w:val="28"/>
              </w:rPr>
              <w:t>*</w:t>
            </w:r>
            <w:r>
              <w:rPr>
                <w:rFonts w:ascii="Times New Roman" w:hAnsi="Times New Roman" w:cs="Times New Roman"/>
                <w:sz w:val="28"/>
                <w:szCs w:val="28"/>
                <w:lang w:val="en-US"/>
              </w:rPr>
              <w:t xml:space="preserve"> (28,49; 39,95)</w:t>
            </w:r>
          </w:p>
        </w:tc>
        <w:tc>
          <w:tcPr>
            <w:tcW w:w="3119" w:type="dxa"/>
          </w:tcPr>
          <w:p w:rsidR="00A0387F" w:rsidRPr="007F5722" w:rsidRDefault="008E792E" w:rsidP="008E792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27,81 (23,49; 32,05)</w:t>
            </w:r>
          </w:p>
        </w:tc>
      </w:tr>
    </w:tbl>
    <w:p w:rsidR="00B66AA2" w:rsidRDefault="00B66AA2" w:rsidP="00543F7E">
      <w:pPr>
        <w:spacing w:after="0" w:line="360" w:lineRule="auto"/>
        <w:ind w:firstLine="709"/>
        <w:rPr>
          <w:rFonts w:ascii="Times New Roman" w:hAnsi="Times New Roman" w:cs="Times New Roman"/>
          <w:sz w:val="28"/>
          <w:szCs w:val="28"/>
        </w:rPr>
      </w:pPr>
      <w:r w:rsidRPr="007F5722">
        <w:rPr>
          <w:rFonts w:ascii="Times New Roman" w:eastAsia="Times New Roman" w:hAnsi="Times New Roman" w:cs="Times New Roman"/>
          <w:bCs/>
          <w:color w:val="000000"/>
          <w:sz w:val="24"/>
          <w:szCs w:val="24"/>
        </w:rPr>
        <w:t xml:space="preserve">Примітки: * – відмінність статистично достовірна в порівнянні з хворими </w:t>
      </w:r>
      <w:r>
        <w:rPr>
          <w:rFonts w:ascii="Times New Roman" w:eastAsia="Times New Roman" w:hAnsi="Times New Roman" w:cs="Times New Roman"/>
          <w:bCs/>
          <w:color w:val="000000"/>
          <w:sz w:val="24"/>
          <w:szCs w:val="24"/>
        </w:rPr>
        <w:t>без ГМЛШ</w:t>
      </w:r>
      <w:r w:rsidRPr="007F5722">
        <w:rPr>
          <w:rFonts w:ascii="Times New Roman" w:eastAsia="Times New Roman" w:hAnsi="Times New Roman" w:cs="Times New Roman"/>
          <w:bCs/>
          <w:color w:val="000000"/>
          <w:sz w:val="24"/>
          <w:szCs w:val="24"/>
        </w:rPr>
        <w:t>;</w:t>
      </w:r>
    </w:p>
    <w:p w:rsidR="002B612F" w:rsidRPr="00660AEF" w:rsidRDefault="003F223C" w:rsidP="002B61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хворих на ГХ з ГМЛШ визначаються достовірно вищі значення ММЛШ </w:t>
      </w:r>
      <w:r w:rsidRPr="003F223C">
        <w:rPr>
          <w:rFonts w:ascii="Times New Roman" w:hAnsi="Times New Roman" w:cs="Times New Roman"/>
          <w:sz w:val="28"/>
          <w:szCs w:val="28"/>
          <w:lang w:val="ru-RU"/>
        </w:rPr>
        <w:t>256,04 (228,85; 293,08)</w:t>
      </w:r>
      <w:r>
        <w:rPr>
          <w:rFonts w:ascii="Times New Roman" w:hAnsi="Times New Roman" w:cs="Times New Roman"/>
          <w:sz w:val="28"/>
          <w:szCs w:val="28"/>
        </w:rPr>
        <w:t xml:space="preserve"> г в порівнянні з показниками хворих на ГХ без ГМЛШ 186,72 (152,63; 211,87) г, іММ у хворих з ГМЛШ дорівнював </w:t>
      </w:r>
      <w:r w:rsidRPr="003F223C">
        <w:rPr>
          <w:rFonts w:ascii="Times New Roman" w:hAnsi="Times New Roman" w:cs="Times New Roman"/>
          <w:sz w:val="28"/>
          <w:szCs w:val="28"/>
          <w:lang w:val="ru-RU"/>
        </w:rPr>
        <w:t>135,62 (127,98; 139,59)</w:t>
      </w:r>
      <w:r>
        <w:rPr>
          <w:rFonts w:ascii="Times New Roman" w:hAnsi="Times New Roman" w:cs="Times New Roman"/>
          <w:sz w:val="28"/>
          <w:szCs w:val="28"/>
          <w:lang w:val="ru-RU"/>
        </w:rPr>
        <w:t xml:space="preserve"> </w:t>
      </w:r>
      <w:r w:rsidRPr="007F5722">
        <w:rPr>
          <w:rFonts w:ascii="Times New Roman" w:hAnsi="Times New Roman" w:cs="Times New Roman"/>
          <w:sz w:val="28"/>
          <w:szCs w:val="28"/>
        </w:rPr>
        <w:t>г/м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що достовірно перевищує цей показник у хворих без ГМЛШ 95,71 (82,98; 106,02) </w:t>
      </w:r>
      <w:r w:rsidRPr="007F5722">
        <w:rPr>
          <w:rFonts w:ascii="Times New Roman" w:hAnsi="Times New Roman" w:cs="Times New Roman"/>
          <w:sz w:val="28"/>
          <w:szCs w:val="28"/>
        </w:rPr>
        <w:t>г/м</w:t>
      </w:r>
      <w:r>
        <w:rPr>
          <w:rFonts w:ascii="Times New Roman" w:hAnsi="Times New Roman" w:cs="Times New Roman"/>
          <w:sz w:val="28"/>
          <w:szCs w:val="28"/>
          <w:vertAlign w:val="superscript"/>
        </w:rPr>
        <w:t>2</w:t>
      </w:r>
      <w:r w:rsidR="00660AEF">
        <w:rPr>
          <w:rFonts w:ascii="Times New Roman" w:hAnsi="Times New Roman" w:cs="Times New Roman"/>
          <w:sz w:val="28"/>
          <w:szCs w:val="28"/>
          <w:vertAlign w:val="superscript"/>
        </w:rPr>
        <w:t xml:space="preserve"> </w:t>
      </w:r>
      <w:r w:rsidR="00660AEF">
        <w:rPr>
          <w:rFonts w:ascii="Times New Roman" w:eastAsia="Times New Roman" w:hAnsi="Times New Roman" w:cs="Times New Roman"/>
          <w:bCs/>
          <w:color w:val="000000"/>
          <w:sz w:val="28"/>
          <w:szCs w:val="28"/>
        </w:rPr>
        <w:t>(р</w:t>
      </w:r>
      <w:r w:rsidR="00660AEF" w:rsidRPr="007F5722">
        <w:rPr>
          <w:rFonts w:ascii="Times New Roman" w:hAnsi="Times New Roman"/>
          <w:sz w:val="28"/>
          <w:szCs w:val="28"/>
        </w:rPr>
        <w:t>&lt;0,05</w:t>
      </w:r>
      <w:r w:rsidR="00660AEF">
        <w:rPr>
          <w:rFonts w:ascii="Times New Roman" w:eastAsia="Times New Roman" w:hAnsi="Times New Roman" w:cs="Times New Roman"/>
          <w:bCs/>
          <w:color w:val="000000"/>
          <w:sz w:val="28"/>
          <w:szCs w:val="28"/>
        </w:rPr>
        <w:t>)</w:t>
      </w:r>
      <w:r>
        <w:rPr>
          <w:rFonts w:ascii="Times New Roman" w:hAnsi="Times New Roman" w:cs="Times New Roman"/>
          <w:sz w:val="28"/>
          <w:szCs w:val="28"/>
        </w:rPr>
        <w:t xml:space="preserve">. Також було встановлено достовірно вищій </w:t>
      </w:r>
      <w:r w:rsidRPr="007F5722">
        <w:rPr>
          <w:rFonts w:ascii="Times New Roman" w:hAnsi="Times New Roman" w:cs="Times New Roman"/>
          <w:sz w:val="28"/>
          <w:szCs w:val="28"/>
        </w:rPr>
        <w:t>іММз</w:t>
      </w:r>
      <w:r w:rsidRPr="007F5722">
        <w:rPr>
          <w:rFonts w:ascii="Times New Roman" w:hAnsi="Times New Roman" w:cs="Times New Roman"/>
          <w:sz w:val="28"/>
          <w:szCs w:val="28"/>
          <w:vertAlign w:val="superscript"/>
        </w:rPr>
        <w:t>2,7</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у хворих з ГМЛШ </w:t>
      </w:r>
      <w:r w:rsidRPr="003F223C">
        <w:rPr>
          <w:rFonts w:ascii="Times New Roman" w:hAnsi="Times New Roman" w:cs="Times New Roman"/>
          <w:sz w:val="28"/>
          <w:szCs w:val="28"/>
          <w:lang w:val="ru-RU"/>
        </w:rPr>
        <w:t>65,58 (58,52; 71,09)</w:t>
      </w:r>
      <w:r>
        <w:rPr>
          <w:rFonts w:ascii="Times New Roman" w:hAnsi="Times New Roman" w:cs="Times New Roman"/>
          <w:sz w:val="28"/>
          <w:szCs w:val="28"/>
          <w:lang w:val="ru-RU"/>
        </w:rPr>
        <w:t xml:space="preserve"> </w:t>
      </w:r>
      <w:r w:rsidRPr="007F5722">
        <w:rPr>
          <w:rFonts w:ascii="Times New Roman" w:hAnsi="Times New Roman" w:cs="Times New Roman"/>
          <w:sz w:val="28"/>
          <w:szCs w:val="28"/>
        </w:rPr>
        <w:t>г/м</w:t>
      </w:r>
      <w:r w:rsidRPr="007F5722">
        <w:rPr>
          <w:rFonts w:ascii="Times New Roman" w:hAnsi="Times New Roman" w:cs="Times New Roman"/>
          <w:sz w:val="28"/>
          <w:szCs w:val="28"/>
          <w:vertAlign w:val="superscript"/>
        </w:rPr>
        <w:t>2,7</w:t>
      </w:r>
      <w:r w:rsidR="002B612F">
        <w:rPr>
          <w:rFonts w:ascii="Times New Roman" w:hAnsi="Times New Roman" w:cs="Times New Roman"/>
          <w:sz w:val="28"/>
          <w:szCs w:val="28"/>
        </w:rPr>
        <w:t xml:space="preserve"> в порівнянні з хворими без ГМЛШ 45,12 (38,92; 51,85) </w:t>
      </w:r>
      <w:r w:rsidR="002B612F" w:rsidRPr="007F5722">
        <w:rPr>
          <w:rFonts w:ascii="Times New Roman" w:hAnsi="Times New Roman" w:cs="Times New Roman"/>
          <w:sz w:val="28"/>
          <w:szCs w:val="28"/>
        </w:rPr>
        <w:t>г/м</w:t>
      </w:r>
      <w:r w:rsidR="002B612F" w:rsidRPr="007F5722">
        <w:rPr>
          <w:rFonts w:ascii="Times New Roman" w:hAnsi="Times New Roman" w:cs="Times New Roman"/>
          <w:sz w:val="28"/>
          <w:szCs w:val="28"/>
          <w:vertAlign w:val="superscript"/>
        </w:rPr>
        <w:t>2,7</w:t>
      </w:r>
      <w:r w:rsidR="00660AEF">
        <w:rPr>
          <w:rFonts w:ascii="Times New Roman" w:hAnsi="Times New Roman" w:cs="Times New Roman"/>
          <w:sz w:val="28"/>
          <w:szCs w:val="28"/>
          <w:vertAlign w:val="superscript"/>
        </w:rPr>
        <w:t xml:space="preserve"> </w:t>
      </w:r>
      <w:r w:rsidR="00660AEF">
        <w:rPr>
          <w:rFonts w:ascii="Times New Roman" w:eastAsia="Times New Roman" w:hAnsi="Times New Roman" w:cs="Times New Roman"/>
          <w:bCs/>
          <w:color w:val="000000"/>
          <w:sz w:val="28"/>
          <w:szCs w:val="28"/>
        </w:rPr>
        <w:t>(р</w:t>
      </w:r>
      <w:r w:rsidR="00660AEF" w:rsidRPr="007F5722">
        <w:rPr>
          <w:rFonts w:ascii="Times New Roman" w:hAnsi="Times New Roman"/>
          <w:sz w:val="28"/>
          <w:szCs w:val="28"/>
        </w:rPr>
        <w:t>&lt;0,05</w:t>
      </w:r>
      <w:r w:rsidR="00660AEF">
        <w:rPr>
          <w:rFonts w:ascii="Times New Roman" w:eastAsia="Times New Roman" w:hAnsi="Times New Roman" w:cs="Times New Roman"/>
          <w:bCs/>
          <w:color w:val="000000"/>
          <w:sz w:val="28"/>
          <w:szCs w:val="28"/>
        </w:rPr>
        <w:t>)</w:t>
      </w:r>
      <w:r w:rsidR="002B612F">
        <w:rPr>
          <w:rFonts w:ascii="Times New Roman" w:hAnsi="Times New Roman" w:cs="Times New Roman"/>
          <w:sz w:val="28"/>
          <w:szCs w:val="28"/>
        </w:rPr>
        <w:t xml:space="preserve">. Плазматичний вміст ІЛ-22 також достовірно вищім був у хворих на ГХ з ГМЛШ </w:t>
      </w:r>
      <w:r w:rsidR="002B612F" w:rsidRPr="00660AEF">
        <w:rPr>
          <w:rFonts w:ascii="Times New Roman" w:hAnsi="Times New Roman" w:cs="Times New Roman"/>
          <w:sz w:val="28"/>
          <w:szCs w:val="28"/>
        </w:rPr>
        <w:t xml:space="preserve">29,19 (28,49; 39,95) </w:t>
      </w:r>
      <w:r w:rsidR="002B612F" w:rsidRPr="007F5722">
        <w:rPr>
          <w:rFonts w:ascii="Times New Roman" w:hAnsi="Times New Roman" w:cs="Times New Roman"/>
          <w:sz w:val="28"/>
          <w:szCs w:val="28"/>
        </w:rPr>
        <w:t>пг/мл</w:t>
      </w:r>
      <w:r w:rsidR="000F7745">
        <w:rPr>
          <w:rFonts w:ascii="Times New Roman" w:hAnsi="Times New Roman" w:cs="Times New Roman"/>
          <w:sz w:val="28"/>
          <w:szCs w:val="28"/>
        </w:rPr>
        <w:t xml:space="preserve"> порівняно з х</w:t>
      </w:r>
      <w:r w:rsidR="002B612F">
        <w:rPr>
          <w:rFonts w:ascii="Times New Roman" w:hAnsi="Times New Roman" w:cs="Times New Roman"/>
          <w:sz w:val="28"/>
          <w:szCs w:val="28"/>
        </w:rPr>
        <w:t xml:space="preserve">ворими на ГХ без ГМЛШ 27,81 (23,49; 32,05) </w:t>
      </w:r>
      <w:r w:rsidR="002B612F" w:rsidRPr="007F5722">
        <w:rPr>
          <w:rFonts w:ascii="Times New Roman" w:hAnsi="Times New Roman" w:cs="Times New Roman"/>
          <w:sz w:val="28"/>
          <w:szCs w:val="28"/>
        </w:rPr>
        <w:t>пг/мл</w:t>
      </w:r>
      <w:r w:rsidR="00660AEF">
        <w:rPr>
          <w:rFonts w:ascii="Times New Roman" w:hAnsi="Times New Roman" w:cs="Times New Roman"/>
          <w:sz w:val="28"/>
          <w:szCs w:val="28"/>
        </w:rPr>
        <w:t xml:space="preserve"> </w:t>
      </w:r>
      <w:r w:rsidR="00660AEF">
        <w:rPr>
          <w:rFonts w:ascii="Times New Roman" w:eastAsia="Times New Roman" w:hAnsi="Times New Roman" w:cs="Times New Roman"/>
          <w:bCs/>
          <w:color w:val="000000"/>
          <w:sz w:val="28"/>
          <w:szCs w:val="28"/>
        </w:rPr>
        <w:t>(р</w:t>
      </w:r>
      <w:r w:rsidR="00660AEF" w:rsidRPr="007F5722">
        <w:rPr>
          <w:rFonts w:ascii="Times New Roman" w:hAnsi="Times New Roman"/>
          <w:sz w:val="28"/>
          <w:szCs w:val="28"/>
        </w:rPr>
        <w:t>&lt;0,05</w:t>
      </w:r>
      <w:r w:rsidR="00660AEF">
        <w:rPr>
          <w:rFonts w:ascii="Times New Roman" w:eastAsia="Times New Roman" w:hAnsi="Times New Roman" w:cs="Times New Roman"/>
          <w:bCs/>
          <w:color w:val="000000"/>
          <w:sz w:val="28"/>
          <w:szCs w:val="28"/>
        </w:rPr>
        <w:t>)</w:t>
      </w:r>
      <w:r w:rsidR="002B612F">
        <w:rPr>
          <w:rFonts w:ascii="Times New Roman" w:hAnsi="Times New Roman" w:cs="Times New Roman"/>
          <w:sz w:val="28"/>
          <w:szCs w:val="28"/>
        </w:rPr>
        <w:t>.</w:t>
      </w:r>
    </w:p>
    <w:p w:rsidR="00840484" w:rsidRDefault="0025291D" w:rsidP="00DF48E5">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 xml:space="preserve">Також </w:t>
      </w:r>
      <w:r w:rsidR="00365E10" w:rsidRPr="007F5722">
        <w:rPr>
          <w:rFonts w:ascii="Times New Roman" w:eastAsia="Times New Roman" w:hAnsi="Times New Roman" w:cs="Times New Roman"/>
          <w:bCs/>
          <w:color w:val="000000"/>
          <w:sz w:val="28"/>
          <w:szCs w:val="28"/>
        </w:rPr>
        <w:t xml:space="preserve">нами </w:t>
      </w:r>
      <w:r w:rsidRPr="007F5722">
        <w:rPr>
          <w:rFonts w:ascii="Times New Roman" w:eastAsia="Times New Roman" w:hAnsi="Times New Roman" w:cs="Times New Roman"/>
          <w:bCs/>
          <w:color w:val="000000"/>
          <w:sz w:val="28"/>
          <w:szCs w:val="28"/>
        </w:rPr>
        <w:t>було проаналізовано показники об’єму ЛШ у хворих на ГХ в залежності від наявності в них гіперт</w:t>
      </w:r>
      <w:r w:rsidR="00DC5C8D" w:rsidRPr="007F5722">
        <w:rPr>
          <w:rFonts w:ascii="Times New Roman" w:eastAsia="Times New Roman" w:hAnsi="Times New Roman" w:cs="Times New Roman"/>
          <w:bCs/>
          <w:color w:val="000000"/>
          <w:sz w:val="28"/>
          <w:szCs w:val="28"/>
        </w:rPr>
        <w:t xml:space="preserve">рофії міокарда ЛШ </w:t>
      </w:r>
      <w:r w:rsidR="00543F7E" w:rsidRPr="007F5722">
        <w:rPr>
          <w:rFonts w:ascii="Times New Roman" w:eastAsia="Times New Roman" w:hAnsi="Times New Roman" w:cs="Times New Roman"/>
          <w:bCs/>
          <w:color w:val="000000"/>
          <w:sz w:val="28"/>
          <w:szCs w:val="28"/>
        </w:rPr>
        <w:t>(табл. 3.3.6</w:t>
      </w:r>
      <w:r w:rsidR="00F251A8" w:rsidRPr="007F5722">
        <w:rPr>
          <w:rFonts w:ascii="Times New Roman" w:eastAsia="Times New Roman" w:hAnsi="Times New Roman" w:cs="Times New Roman"/>
          <w:bCs/>
          <w:color w:val="000000"/>
          <w:sz w:val="28"/>
          <w:szCs w:val="28"/>
        </w:rPr>
        <w:t>)</w:t>
      </w:r>
    </w:p>
    <w:p w:rsidR="002B612F" w:rsidRPr="007F5722" w:rsidRDefault="002B612F" w:rsidP="002B612F">
      <w:pPr>
        <w:shd w:val="clear" w:color="auto" w:fill="FFFFFF"/>
        <w:spacing w:after="0" w:line="360" w:lineRule="auto"/>
        <w:jc w:val="both"/>
        <w:rPr>
          <w:rFonts w:ascii="Times New Roman" w:eastAsia="Times New Roman" w:hAnsi="Times New Roman" w:cs="Times New Roman"/>
          <w:bCs/>
          <w:color w:val="000000"/>
          <w:sz w:val="28"/>
          <w:szCs w:val="28"/>
        </w:rPr>
      </w:pPr>
    </w:p>
    <w:p w:rsidR="00465015" w:rsidRPr="007F5722" w:rsidRDefault="00543F7E" w:rsidP="00465015">
      <w:pPr>
        <w:shd w:val="clear" w:color="auto" w:fill="FFFFFF"/>
        <w:spacing w:after="0" w:line="360" w:lineRule="auto"/>
        <w:ind w:firstLine="709"/>
        <w:jc w:val="right"/>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lastRenderedPageBreak/>
        <w:t>Таблиця 3.3.6</w:t>
      </w:r>
    </w:p>
    <w:p w:rsidR="00AE394E" w:rsidRPr="007F5722" w:rsidRDefault="00AE394E" w:rsidP="00AE394E">
      <w:pPr>
        <w:shd w:val="clear" w:color="auto" w:fill="FFFFFF"/>
        <w:spacing w:after="0" w:line="360" w:lineRule="auto"/>
        <w:ind w:firstLine="709"/>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Ехокардіографічні показники центральної кардіогемодинаміки у пацієнтів хворих на ГХ в залежності від наявності в них гіпертрофії міокарда лівого шлуночка</w:t>
      </w:r>
    </w:p>
    <w:tbl>
      <w:tblPr>
        <w:tblStyle w:val="a9"/>
        <w:tblW w:w="0" w:type="auto"/>
        <w:tblLook w:val="04A0" w:firstRow="1" w:lastRow="0" w:firstColumn="1" w:lastColumn="0" w:noHBand="0" w:noVBand="1"/>
      </w:tblPr>
      <w:tblGrid>
        <w:gridCol w:w="3115"/>
        <w:gridCol w:w="3124"/>
        <w:gridCol w:w="3106"/>
      </w:tblGrid>
      <w:tr w:rsidR="00465015" w:rsidRPr="007F5722" w:rsidTr="00EB590F">
        <w:tc>
          <w:tcPr>
            <w:tcW w:w="3190" w:type="dxa"/>
          </w:tcPr>
          <w:p w:rsidR="00465015" w:rsidRPr="007F5722" w:rsidRDefault="00465015" w:rsidP="00EB590F">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Показник</w:t>
            </w:r>
          </w:p>
        </w:tc>
        <w:tc>
          <w:tcPr>
            <w:tcW w:w="3190" w:type="dxa"/>
          </w:tcPr>
          <w:p w:rsidR="00465015" w:rsidRPr="007F5722" w:rsidRDefault="00465015" w:rsidP="00EB590F">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Хворі з ГМЛШ</w:t>
            </w:r>
          </w:p>
        </w:tc>
        <w:tc>
          <w:tcPr>
            <w:tcW w:w="3191" w:type="dxa"/>
          </w:tcPr>
          <w:p w:rsidR="00465015" w:rsidRPr="007F5722" w:rsidRDefault="00465015" w:rsidP="00EB590F">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Хворі без ГМЛШ</w:t>
            </w:r>
          </w:p>
        </w:tc>
      </w:tr>
      <w:tr w:rsidR="00465015" w:rsidRPr="007F5722" w:rsidTr="00EB590F">
        <w:tc>
          <w:tcPr>
            <w:tcW w:w="3190" w:type="dxa"/>
          </w:tcPr>
          <w:p w:rsidR="00465015" w:rsidRPr="007F5722" w:rsidRDefault="00465015" w:rsidP="00EB590F">
            <w:pPr>
              <w:spacing w:after="0" w:line="360" w:lineRule="auto"/>
              <w:jc w:val="both"/>
              <w:rPr>
                <w:rFonts w:ascii="Times New Roman" w:eastAsia="Times New Roman" w:hAnsi="Times New Roman" w:cs="Times New Roman"/>
                <w:bCs/>
                <w:color w:val="000000"/>
                <w:sz w:val="28"/>
                <w:szCs w:val="28"/>
                <w:vertAlign w:val="superscript"/>
              </w:rPr>
            </w:pPr>
            <w:r w:rsidRPr="007F5722">
              <w:rPr>
                <w:rFonts w:ascii="Times New Roman" w:eastAsia="Times New Roman" w:hAnsi="Times New Roman" w:cs="Times New Roman"/>
                <w:bCs/>
                <w:color w:val="000000"/>
                <w:sz w:val="28"/>
                <w:szCs w:val="28"/>
              </w:rPr>
              <w:t xml:space="preserve">КДО, </w:t>
            </w:r>
            <w:r w:rsidR="00415084" w:rsidRPr="007F5722">
              <w:rPr>
                <w:rFonts w:ascii="Times New Roman" w:eastAsia="Times New Roman" w:hAnsi="Times New Roman" w:cs="Times New Roman"/>
                <w:bCs/>
                <w:color w:val="000000"/>
                <w:sz w:val="28"/>
                <w:szCs w:val="28"/>
              </w:rPr>
              <w:t>мл</w:t>
            </w:r>
            <w:r w:rsidR="00164ABD" w:rsidRPr="007F5722">
              <w:rPr>
                <w:rFonts w:ascii="Times New Roman" w:eastAsia="Times New Roman" w:hAnsi="Times New Roman" w:cs="Times New Roman"/>
                <w:bCs/>
                <w:color w:val="000000"/>
                <w:sz w:val="28"/>
                <w:szCs w:val="28"/>
                <w:vertAlign w:val="superscript"/>
              </w:rPr>
              <w:t>3</w:t>
            </w:r>
          </w:p>
        </w:tc>
        <w:tc>
          <w:tcPr>
            <w:tcW w:w="3190" w:type="dxa"/>
          </w:tcPr>
          <w:p w:rsidR="00465015" w:rsidRPr="007F5722" w:rsidRDefault="00164ABD" w:rsidP="00820979">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129,5 (107,6; 141,3)</w:t>
            </w:r>
          </w:p>
          <w:p w:rsidR="000C1BFE" w:rsidRPr="007F5722" w:rsidRDefault="000C1BFE" w:rsidP="00820979">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р*=0,00001</w:t>
            </w:r>
          </w:p>
        </w:tc>
        <w:tc>
          <w:tcPr>
            <w:tcW w:w="3191" w:type="dxa"/>
          </w:tcPr>
          <w:p w:rsidR="00465015" w:rsidRPr="007F5722" w:rsidRDefault="00164ABD" w:rsidP="00820979">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100,6 (87,7; 117,1)</w:t>
            </w:r>
          </w:p>
        </w:tc>
      </w:tr>
      <w:tr w:rsidR="00465015" w:rsidRPr="007F5722" w:rsidTr="00EB590F">
        <w:tc>
          <w:tcPr>
            <w:tcW w:w="3190" w:type="dxa"/>
          </w:tcPr>
          <w:p w:rsidR="00465015" w:rsidRPr="007F5722" w:rsidRDefault="00415084" w:rsidP="00EB590F">
            <w:pPr>
              <w:spacing w:after="0" w:line="360" w:lineRule="auto"/>
              <w:jc w:val="both"/>
              <w:rPr>
                <w:rFonts w:ascii="Times New Roman" w:eastAsia="Times New Roman" w:hAnsi="Times New Roman" w:cs="Times New Roman"/>
                <w:bCs/>
                <w:color w:val="000000"/>
                <w:sz w:val="28"/>
                <w:szCs w:val="28"/>
                <w:vertAlign w:val="superscript"/>
              </w:rPr>
            </w:pPr>
            <w:r w:rsidRPr="007F5722">
              <w:rPr>
                <w:rFonts w:ascii="Times New Roman" w:eastAsia="Times New Roman" w:hAnsi="Times New Roman" w:cs="Times New Roman"/>
                <w:bCs/>
                <w:color w:val="000000"/>
                <w:sz w:val="28"/>
                <w:szCs w:val="28"/>
              </w:rPr>
              <w:t>КСО, мл</w:t>
            </w:r>
            <w:r w:rsidR="00164ABD" w:rsidRPr="007F5722">
              <w:rPr>
                <w:rFonts w:ascii="Times New Roman" w:eastAsia="Times New Roman" w:hAnsi="Times New Roman" w:cs="Times New Roman"/>
                <w:bCs/>
                <w:color w:val="000000"/>
                <w:sz w:val="28"/>
                <w:szCs w:val="28"/>
                <w:vertAlign w:val="superscript"/>
              </w:rPr>
              <w:t>3</w:t>
            </w:r>
          </w:p>
        </w:tc>
        <w:tc>
          <w:tcPr>
            <w:tcW w:w="3190" w:type="dxa"/>
          </w:tcPr>
          <w:p w:rsidR="00465015" w:rsidRPr="007F5722" w:rsidRDefault="00164ABD" w:rsidP="00820979">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39,9 (28,3; 52,7)</w:t>
            </w:r>
          </w:p>
        </w:tc>
        <w:tc>
          <w:tcPr>
            <w:tcW w:w="3191" w:type="dxa"/>
          </w:tcPr>
          <w:p w:rsidR="00465015" w:rsidRPr="007F5722" w:rsidRDefault="00820979" w:rsidP="00820979">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32,9 (24,6; 41,9)</w:t>
            </w:r>
          </w:p>
        </w:tc>
      </w:tr>
      <w:tr w:rsidR="00465015" w:rsidRPr="007F5722" w:rsidTr="00EB590F">
        <w:tc>
          <w:tcPr>
            <w:tcW w:w="3190" w:type="dxa"/>
          </w:tcPr>
          <w:p w:rsidR="00465015" w:rsidRPr="007F5722" w:rsidRDefault="00415084" w:rsidP="00EB590F">
            <w:pPr>
              <w:spacing w:after="0" w:line="360" w:lineRule="auto"/>
              <w:jc w:val="both"/>
              <w:rPr>
                <w:rFonts w:ascii="Times New Roman" w:eastAsia="Times New Roman" w:hAnsi="Times New Roman" w:cs="Times New Roman"/>
                <w:bCs/>
                <w:color w:val="000000"/>
                <w:sz w:val="28"/>
                <w:szCs w:val="28"/>
                <w:vertAlign w:val="superscript"/>
              </w:rPr>
            </w:pPr>
            <w:r w:rsidRPr="007F5722">
              <w:rPr>
                <w:rFonts w:ascii="Times New Roman" w:eastAsia="Times New Roman" w:hAnsi="Times New Roman" w:cs="Times New Roman"/>
                <w:bCs/>
                <w:color w:val="000000"/>
                <w:sz w:val="28"/>
                <w:szCs w:val="28"/>
              </w:rPr>
              <w:t>УО, мл</w:t>
            </w:r>
            <w:r w:rsidR="00164ABD" w:rsidRPr="007F5722">
              <w:rPr>
                <w:rFonts w:ascii="Times New Roman" w:eastAsia="Times New Roman" w:hAnsi="Times New Roman" w:cs="Times New Roman"/>
                <w:bCs/>
                <w:color w:val="000000"/>
                <w:sz w:val="28"/>
                <w:szCs w:val="28"/>
                <w:vertAlign w:val="superscript"/>
              </w:rPr>
              <w:t>3</w:t>
            </w:r>
          </w:p>
        </w:tc>
        <w:tc>
          <w:tcPr>
            <w:tcW w:w="3190" w:type="dxa"/>
          </w:tcPr>
          <w:p w:rsidR="00465015" w:rsidRPr="007F5722" w:rsidRDefault="00164ABD" w:rsidP="00820979">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82,4 (73,3; 91,7)</w:t>
            </w:r>
          </w:p>
          <w:p w:rsidR="000C1BFE" w:rsidRPr="007F5722" w:rsidRDefault="000C1BFE" w:rsidP="00820979">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р*=0,0001</w:t>
            </w:r>
          </w:p>
        </w:tc>
        <w:tc>
          <w:tcPr>
            <w:tcW w:w="3191" w:type="dxa"/>
          </w:tcPr>
          <w:p w:rsidR="00465015" w:rsidRPr="007F5722" w:rsidRDefault="00820979" w:rsidP="00820979">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65,4 (54,0; 72,9)</w:t>
            </w:r>
          </w:p>
        </w:tc>
      </w:tr>
      <w:tr w:rsidR="00465015" w:rsidRPr="007F5722" w:rsidTr="00EB590F">
        <w:tc>
          <w:tcPr>
            <w:tcW w:w="3190" w:type="dxa"/>
          </w:tcPr>
          <w:p w:rsidR="00465015" w:rsidRPr="007F5722" w:rsidRDefault="00415084" w:rsidP="00EB590F">
            <w:pPr>
              <w:spacing w:after="0"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ХО, л/хв</w:t>
            </w:r>
          </w:p>
        </w:tc>
        <w:tc>
          <w:tcPr>
            <w:tcW w:w="3190" w:type="dxa"/>
          </w:tcPr>
          <w:p w:rsidR="00465015" w:rsidRPr="007F5722" w:rsidRDefault="00164ABD" w:rsidP="00820979">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6,4 (5,3; 7,5)</w:t>
            </w:r>
          </w:p>
          <w:p w:rsidR="000C1BFE" w:rsidRPr="007F5722" w:rsidRDefault="000C1BFE" w:rsidP="00820979">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р*=0,004</w:t>
            </w:r>
          </w:p>
        </w:tc>
        <w:tc>
          <w:tcPr>
            <w:tcW w:w="3191" w:type="dxa"/>
          </w:tcPr>
          <w:p w:rsidR="00465015" w:rsidRPr="007F5722" w:rsidRDefault="00820979" w:rsidP="00820979">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4,7 (4,1; 6,0)</w:t>
            </w:r>
          </w:p>
        </w:tc>
      </w:tr>
      <w:tr w:rsidR="00465015" w:rsidRPr="007F5722" w:rsidTr="00EB590F">
        <w:tc>
          <w:tcPr>
            <w:tcW w:w="3190" w:type="dxa"/>
          </w:tcPr>
          <w:p w:rsidR="00465015" w:rsidRPr="007F5722" w:rsidRDefault="00415084" w:rsidP="00EB590F">
            <w:pPr>
              <w:spacing w:after="0"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ФВ, %</w:t>
            </w:r>
          </w:p>
        </w:tc>
        <w:tc>
          <w:tcPr>
            <w:tcW w:w="3190" w:type="dxa"/>
          </w:tcPr>
          <w:p w:rsidR="000C1BFE" w:rsidRPr="007F5722" w:rsidRDefault="00164ABD" w:rsidP="000C1BFE">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68,1 (60,6; 75,3)</w:t>
            </w:r>
          </w:p>
        </w:tc>
        <w:tc>
          <w:tcPr>
            <w:tcW w:w="3191" w:type="dxa"/>
          </w:tcPr>
          <w:p w:rsidR="00465015" w:rsidRPr="007F5722" w:rsidRDefault="00820979" w:rsidP="00820979">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66,4 (58,9; 70,8)</w:t>
            </w:r>
          </w:p>
        </w:tc>
      </w:tr>
      <w:tr w:rsidR="00840484" w:rsidRPr="007F5722" w:rsidTr="00EB590F">
        <w:tc>
          <w:tcPr>
            <w:tcW w:w="3190" w:type="dxa"/>
          </w:tcPr>
          <w:p w:rsidR="00840484" w:rsidRPr="007F5722" w:rsidRDefault="00840484" w:rsidP="00EB590F">
            <w:pPr>
              <w:spacing w:after="0"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ІЛ-22, пг/мл</w:t>
            </w:r>
          </w:p>
        </w:tc>
        <w:tc>
          <w:tcPr>
            <w:tcW w:w="3190" w:type="dxa"/>
          </w:tcPr>
          <w:p w:rsidR="00840484" w:rsidRPr="007F5722" w:rsidRDefault="00DC5C8D" w:rsidP="00DC5C8D">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29,19</w:t>
            </w:r>
            <w:r w:rsidR="00840484" w:rsidRPr="007F5722">
              <w:rPr>
                <w:rFonts w:ascii="Times New Roman" w:eastAsia="Times New Roman" w:hAnsi="Times New Roman" w:cs="Times New Roman"/>
                <w:bCs/>
                <w:color w:val="000000"/>
                <w:sz w:val="28"/>
                <w:szCs w:val="28"/>
              </w:rPr>
              <w:t xml:space="preserve"> (2</w:t>
            </w:r>
            <w:r w:rsidRPr="007F5722">
              <w:rPr>
                <w:rFonts w:ascii="Times New Roman" w:eastAsia="Times New Roman" w:hAnsi="Times New Roman" w:cs="Times New Roman"/>
                <w:bCs/>
                <w:color w:val="000000"/>
                <w:sz w:val="28"/>
                <w:szCs w:val="28"/>
              </w:rPr>
              <w:t>8,49; 39,95</w:t>
            </w:r>
            <w:r w:rsidR="00840484" w:rsidRPr="007F5722">
              <w:rPr>
                <w:rFonts w:ascii="Times New Roman" w:eastAsia="Times New Roman" w:hAnsi="Times New Roman" w:cs="Times New Roman"/>
                <w:bCs/>
                <w:color w:val="000000"/>
                <w:sz w:val="28"/>
                <w:szCs w:val="28"/>
              </w:rPr>
              <w:t>)</w:t>
            </w:r>
          </w:p>
          <w:p w:rsidR="00DC5C8D" w:rsidRPr="007F5722" w:rsidRDefault="00DC5C8D" w:rsidP="00DC5C8D">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р*=0,01</w:t>
            </w:r>
          </w:p>
        </w:tc>
        <w:tc>
          <w:tcPr>
            <w:tcW w:w="3191" w:type="dxa"/>
          </w:tcPr>
          <w:p w:rsidR="00840484" w:rsidRPr="007F5722" w:rsidRDefault="00DC5C8D" w:rsidP="00820979">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27,81</w:t>
            </w:r>
            <w:r w:rsidR="00840484" w:rsidRPr="007F5722">
              <w:rPr>
                <w:rFonts w:ascii="Times New Roman" w:eastAsia="Times New Roman" w:hAnsi="Times New Roman" w:cs="Times New Roman"/>
                <w:bCs/>
                <w:color w:val="000000"/>
                <w:sz w:val="28"/>
                <w:szCs w:val="28"/>
              </w:rPr>
              <w:t xml:space="preserve"> (</w:t>
            </w:r>
            <w:r w:rsidRPr="007F5722">
              <w:rPr>
                <w:rFonts w:ascii="Times New Roman" w:eastAsia="Times New Roman" w:hAnsi="Times New Roman" w:cs="Times New Roman"/>
                <w:bCs/>
                <w:color w:val="000000"/>
                <w:sz w:val="28"/>
                <w:szCs w:val="28"/>
              </w:rPr>
              <w:t>23,49; 32,05</w:t>
            </w:r>
            <w:r w:rsidR="00840484" w:rsidRPr="007F5722">
              <w:rPr>
                <w:rFonts w:ascii="Times New Roman" w:eastAsia="Times New Roman" w:hAnsi="Times New Roman" w:cs="Times New Roman"/>
                <w:bCs/>
                <w:color w:val="000000"/>
                <w:sz w:val="28"/>
                <w:szCs w:val="28"/>
              </w:rPr>
              <w:t>)</w:t>
            </w:r>
          </w:p>
        </w:tc>
      </w:tr>
    </w:tbl>
    <w:p w:rsidR="00DC5C8D" w:rsidRDefault="00820979" w:rsidP="002B612F">
      <w:pPr>
        <w:shd w:val="clear" w:color="auto" w:fill="FFFFFF"/>
        <w:spacing w:after="0" w:line="360" w:lineRule="auto"/>
        <w:ind w:firstLine="709"/>
        <w:jc w:val="both"/>
        <w:rPr>
          <w:rFonts w:ascii="Times New Roman" w:eastAsia="Times New Roman" w:hAnsi="Times New Roman" w:cs="Times New Roman"/>
          <w:bCs/>
          <w:color w:val="000000"/>
          <w:sz w:val="24"/>
          <w:szCs w:val="24"/>
        </w:rPr>
      </w:pPr>
      <w:r w:rsidRPr="007F5722">
        <w:rPr>
          <w:rFonts w:ascii="Times New Roman" w:eastAsia="Times New Roman" w:hAnsi="Times New Roman" w:cs="Times New Roman"/>
          <w:bCs/>
          <w:color w:val="000000"/>
          <w:sz w:val="24"/>
          <w:szCs w:val="24"/>
        </w:rPr>
        <w:t xml:space="preserve">Примітки:  </w:t>
      </w:r>
      <w:r w:rsidRPr="007F5722">
        <w:rPr>
          <w:rFonts w:ascii="Times New Roman" w:eastAsia="Times New Roman" w:hAnsi="Times New Roman" w:cs="Times New Roman"/>
          <w:bCs/>
          <w:color w:val="000000"/>
          <w:sz w:val="24"/>
          <w:szCs w:val="24"/>
          <w:lang w:val="ru-RU"/>
        </w:rPr>
        <w:t>p</w:t>
      </w:r>
      <w:r w:rsidRPr="007F5722">
        <w:rPr>
          <w:rFonts w:ascii="Times New Roman" w:eastAsia="Times New Roman" w:hAnsi="Times New Roman" w:cs="Times New Roman"/>
          <w:bCs/>
          <w:color w:val="000000"/>
          <w:sz w:val="24"/>
          <w:szCs w:val="24"/>
        </w:rPr>
        <w:t>* – у порів</w:t>
      </w:r>
      <w:r w:rsidR="00FD151A" w:rsidRPr="007F5722">
        <w:rPr>
          <w:rFonts w:ascii="Times New Roman" w:eastAsia="Times New Roman" w:hAnsi="Times New Roman" w:cs="Times New Roman"/>
          <w:bCs/>
          <w:color w:val="000000"/>
          <w:sz w:val="24"/>
          <w:szCs w:val="24"/>
        </w:rPr>
        <w:t>нянні з хворими на ГХ без ГМЛШ.</w:t>
      </w:r>
    </w:p>
    <w:p w:rsidR="002B612F" w:rsidRPr="002B612F" w:rsidRDefault="002B612F" w:rsidP="00660AEF">
      <w:pPr>
        <w:shd w:val="clear" w:color="auto" w:fill="FFFFFF"/>
        <w:spacing w:after="0" w:line="36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У хворих з ГМЛШ визначаються достовірно вищі показники </w:t>
      </w:r>
      <w:r w:rsidRPr="007F5722">
        <w:rPr>
          <w:rFonts w:ascii="Times New Roman" w:eastAsia="Times New Roman" w:hAnsi="Times New Roman" w:cs="Times New Roman"/>
          <w:bCs/>
          <w:color w:val="000000"/>
          <w:sz w:val="28"/>
          <w:szCs w:val="28"/>
        </w:rPr>
        <w:t>центральної кардіогемодинаміки</w:t>
      </w:r>
      <w:r>
        <w:rPr>
          <w:rFonts w:ascii="Times New Roman" w:eastAsia="Times New Roman" w:hAnsi="Times New Roman" w:cs="Times New Roman"/>
          <w:bCs/>
          <w:color w:val="000000"/>
          <w:sz w:val="28"/>
          <w:szCs w:val="28"/>
        </w:rPr>
        <w:t xml:space="preserve"> в порівнянні з хворими без ГМЛШ. Так, КДО у хворих з ГМЛШ становить </w:t>
      </w:r>
      <w:r w:rsidRPr="007F5722">
        <w:rPr>
          <w:rFonts w:ascii="Times New Roman" w:eastAsia="Times New Roman" w:hAnsi="Times New Roman" w:cs="Times New Roman"/>
          <w:bCs/>
          <w:color w:val="000000"/>
          <w:sz w:val="28"/>
          <w:szCs w:val="28"/>
        </w:rPr>
        <w:t>129,5 (107,6; 141,3)</w:t>
      </w:r>
      <w:r>
        <w:rPr>
          <w:rFonts w:ascii="Times New Roman" w:eastAsia="Times New Roman" w:hAnsi="Times New Roman" w:cs="Times New Roman"/>
          <w:bCs/>
          <w:color w:val="000000"/>
          <w:sz w:val="28"/>
          <w:szCs w:val="28"/>
        </w:rPr>
        <w:t xml:space="preserve"> </w:t>
      </w:r>
      <w:r w:rsidRPr="007F5722">
        <w:rPr>
          <w:rFonts w:ascii="Times New Roman" w:eastAsia="Times New Roman" w:hAnsi="Times New Roman" w:cs="Times New Roman"/>
          <w:bCs/>
          <w:color w:val="000000"/>
          <w:sz w:val="28"/>
          <w:szCs w:val="28"/>
        </w:rPr>
        <w:t>мл</w:t>
      </w:r>
      <w:r w:rsidRPr="007F5722">
        <w:rPr>
          <w:rFonts w:ascii="Times New Roman" w:eastAsia="Times New Roman" w:hAnsi="Times New Roman" w:cs="Times New Roman"/>
          <w:bCs/>
          <w:color w:val="000000"/>
          <w:sz w:val="28"/>
          <w:szCs w:val="28"/>
          <w:vertAlign w:val="superscript"/>
        </w:rPr>
        <w:t>3</w:t>
      </w:r>
      <w:r>
        <w:rPr>
          <w:rFonts w:ascii="Times New Roman" w:eastAsia="Times New Roman" w:hAnsi="Times New Roman" w:cs="Times New Roman"/>
          <w:bCs/>
          <w:color w:val="000000"/>
          <w:sz w:val="28"/>
          <w:szCs w:val="28"/>
        </w:rPr>
        <w:t xml:space="preserve">, що статистично достовірно вище за показники хворих без ГМЛШ </w:t>
      </w:r>
      <w:r w:rsidRPr="007F5722">
        <w:rPr>
          <w:rFonts w:ascii="Times New Roman" w:eastAsia="Times New Roman" w:hAnsi="Times New Roman" w:cs="Times New Roman"/>
          <w:bCs/>
          <w:color w:val="000000"/>
          <w:sz w:val="28"/>
          <w:szCs w:val="28"/>
        </w:rPr>
        <w:t>100,6 (87,7; 117,1)</w:t>
      </w:r>
      <w:r>
        <w:rPr>
          <w:rFonts w:ascii="Times New Roman" w:eastAsia="Times New Roman" w:hAnsi="Times New Roman" w:cs="Times New Roman"/>
          <w:bCs/>
          <w:color w:val="000000"/>
          <w:sz w:val="28"/>
          <w:szCs w:val="28"/>
        </w:rPr>
        <w:t xml:space="preserve"> </w:t>
      </w:r>
      <w:r w:rsidRPr="007F5722">
        <w:rPr>
          <w:rFonts w:ascii="Times New Roman" w:eastAsia="Times New Roman" w:hAnsi="Times New Roman" w:cs="Times New Roman"/>
          <w:bCs/>
          <w:color w:val="000000"/>
          <w:sz w:val="28"/>
          <w:szCs w:val="28"/>
        </w:rPr>
        <w:t>мл</w:t>
      </w:r>
      <w:r w:rsidRPr="007F5722">
        <w:rPr>
          <w:rFonts w:ascii="Times New Roman" w:eastAsia="Times New Roman" w:hAnsi="Times New Roman" w:cs="Times New Roman"/>
          <w:bCs/>
          <w:color w:val="000000"/>
          <w:sz w:val="28"/>
          <w:szCs w:val="28"/>
          <w:vertAlign w:val="superscript"/>
        </w:rPr>
        <w:t>3</w:t>
      </w:r>
      <w:r w:rsidR="00660AEF">
        <w:rPr>
          <w:rFonts w:ascii="Times New Roman" w:eastAsia="Times New Roman" w:hAnsi="Times New Roman" w:cs="Times New Roman"/>
          <w:bCs/>
          <w:color w:val="000000"/>
          <w:sz w:val="28"/>
          <w:szCs w:val="28"/>
          <w:vertAlign w:val="superscript"/>
        </w:rPr>
        <w:t xml:space="preserve"> </w:t>
      </w:r>
      <w:r w:rsidR="00660AEF">
        <w:rPr>
          <w:rFonts w:ascii="Times New Roman" w:eastAsia="Times New Roman" w:hAnsi="Times New Roman" w:cs="Times New Roman"/>
          <w:bCs/>
          <w:color w:val="000000"/>
          <w:sz w:val="28"/>
          <w:szCs w:val="28"/>
        </w:rPr>
        <w:t>(р</w:t>
      </w:r>
      <w:r w:rsidR="00660AEF" w:rsidRPr="007F5722">
        <w:rPr>
          <w:rFonts w:ascii="Times New Roman" w:hAnsi="Times New Roman"/>
          <w:sz w:val="28"/>
          <w:szCs w:val="28"/>
        </w:rPr>
        <w:t>&lt;0,05</w:t>
      </w:r>
      <w:r w:rsidR="00660AEF">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w:t>
      </w:r>
      <w:r w:rsidR="00660AEF">
        <w:rPr>
          <w:rFonts w:ascii="Times New Roman" w:eastAsia="Times New Roman" w:hAnsi="Times New Roman" w:cs="Times New Roman"/>
          <w:bCs/>
          <w:color w:val="000000"/>
          <w:sz w:val="28"/>
          <w:szCs w:val="28"/>
        </w:rPr>
        <w:t xml:space="preserve"> УО </w:t>
      </w:r>
      <w:r w:rsidR="00660AEF" w:rsidRPr="007F5722">
        <w:rPr>
          <w:rFonts w:ascii="Times New Roman" w:eastAsia="Times New Roman" w:hAnsi="Times New Roman" w:cs="Times New Roman"/>
          <w:bCs/>
          <w:color w:val="000000"/>
          <w:sz w:val="28"/>
          <w:szCs w:val="28"/>
        </w:rPr>
        <w:t>82,4 (73,3; 91,7)</w:t>
      </w:r>
      <w:r w:rsidR="00660AEF">
        <w:rPr>
          <w:rFonts w:ascii="Times New Roman" w:eastAsia="Times New Roman" w:hAnsi="Times New Roman" w:cs="Times New Roman"/>
          <w:bCs/>
          <w:color w:val="000000"/>
          <w:sz w:val="28"/>
          <w:szCs w:val="28"/>
        </w:rPr>
        <w:t xml:space="preserve"> </w:t>
      </w:r>
      <w:r w:rsidR="00660AEF" w:rsidRPr="007F5722">
        <w:rPr>
          <w:rFonts w:ascii="Times New Roman" w:eastAsia="Times New Roman" w:hAnsi="Times New Roman" w:cs="Times New Roman"/>
          <w:bCs/>
          <w:color w:val="000000"/>
          <w:sz w:val="28"/>
          <w:szCs w:val="28"/>
        </w:rPr>
        <w:t>мл</w:t>
      </w:r>
      <w:r w:rsidR="00660AEF" w:rsidRPr="007F5722">
        <w:rPr>
          <w:rFonts w:ascii="Times New Roman" w:eastAsia="Times New Roman" w:hAnsi="Times New Roman" w:cs="Times New Roman"/>
          <w:bCs/>
          <w:color w:val="000000"/>
          <w:sz w:val="28"/>
          <w:szCs w:val="28"/>
          <w:vertAlign w:val="superscript"/>
        </w:rPr>
        <w:t>3</w:t>
      </w:r>
      <w:r w:rsidR="00660AEF">
        <w:rPr>
          <w:rFonts w:ascii="Times New Roman" w:eastAsia="Times New Roman" w:hAnsi="Times New Roman" w:cs="Times New Roman"/>
          <w:bCs/>
          <w:color w:val="000000"/>
          <w:sz w:val="28"/>
          <w:szCs w:val="28"/>
        </w:rPr>
        <w:t xml:space="preserve"> та ХО </w:t>
      </w:r>
      <w:r w:rsidR="00660AEF" w:rsidRPr="007F5722">
        <w:rPr>
          <w:rFonts w:ascii="Times New Roman" w:eastAsia="Times New Roman" w:hAnsi="Times New Roman" w:cs="Times New Roman"/>
          <w:bCs/>
          <w:color w:val="000000"/>
          <w:sz w:val="28"/>
          <w:szCs w:val="28"/>
        </w:rPr>
        <w:t>6,4 (5,3; 7,5)</w:t>
      </w:r>
      <w:r w:rsidR="00660AEF">
        <w:rPr>
          <w:rFonts w:ascii="Times New Roman" w:eastAsia="Times New Roman" w:hAnsi="Times New Roman" w:cs="Times New Roman"/>
          <w:bCs/>
          <w:color w:val="000000"/>
          <w:sz w:val="28"/>
          <w:szCs w:val="28"/>
        </w:rPr>
        <w:t xml:space="preserve"> </w:t>
      </w:r>
      <w:r w:rsidR="00660AEF" w:rsidRPr="007F5722">
        <w:rPr>
          <w:rFonts w:ascii="Times New Roman" w:eastAsia="Times New Roman" w:hAnsi="Times New Roman" w:cs="Times New Roman"/>
          <w:bCs/>
          <w:color w:val="000000"/>
          <w:sz w:val="28"/>
          <w:szCs w:val="28"/>
        </w:rPr>
        <w:t>л/хв</w:t>
      </w:r>
      <w:r w:rsidR="00660AEF">
        <w:rPr>
          <w:rFonts w:ascii="Times New Roman" w:eastAsia="Times New Roman" w:hAnsi="Times New Roman" w:cs="Times New Roman"/>
          <w:bCs/>
          <w:color w:val="000000"/>
          <w:sz w:val="28"/>
          <w:szCs w:val="28"/>
        </w:rPr>
        <w:t xml:space="preserve"> у хворих з ГМЛШ значно перевищували ці показники у хворих без ГМЛШ </w:t>
      </w:r>
      <w:r w:rsidR="00660AEF" w:rsidRPr="007F5722">
        <w:rPr>
          <w:rFonts w:ascii="Times New Roman" w:eastAsia="Times New Roman" w:hAnsi="Times New Roman" w:cs="Times New Roman"/>
          <w:bCs/>
          <w:color w:val="000000"/>
          <w:sz w:val="28"/>
          <w:szCs w:val="28"/>
        </w:rPr>
        <w:t>65,4 (54,0; 72,9)</w:t>
      </w:r>
      <w:r w:rsidR="00660AEF">
        <w:rPr>
          <w:rFonts w:ascii="Times New Roman" w:eastAsia="Times New Roman" w:hAnsi="Times New Roman" w:cs="Times New Roman"/>
          <w:bCs/>
          <w:color w:val="000000"/>
          <w:sz w:val="28"/>
          <w:szCs w:val="28"/>
        </w:rPr>
        <w:t xml:space="preserve"> </w:t>
      </w:r>
      <w:r w:rsidR="00660AEF" w:rsidRPr="007F5722">
        <w:rPr>
          <w:rFonts w:ascii="Times New Roman" w:eastAsia="Times New Roman" w:hAnsi="Times New Roman" w:cs="Times New Roman"/>
          <w:bCs/>
          <w:color w:val="000000"/>
          <w:sz w:val="28"/>
          <w:szCs w:val="28"/>
        </w:rPr>
        <w:t>мл</w:t>
      </w:r>
      <w:r w:rsidR="00660AEF" w:rsidRPr="007F5722">
        <w:rPr>
          <w:rFonts w:ascii="Times New Roman" w:eastAsia="Times New Roman" w:hAnsi="Times New Roman" w:cs="Times New Roman"/>
          <w:bCs/>
          <w:color w:val="000000"/>
          <w:sz w:val="28"/>
          <w:szCs w:val="28"/>
          <w:vertAlign w:val="superscript"/>
        </w:rPr>
        <w:t>3</w:t>
      </w:r>
      <w:r w:rsidR="00660AEF">
        <w:rPr>
          <w:rFonts w:ascii="Times New Roman" w:eastAsia="Times New Roman" w:hAnsi="Times New Roman" w:cs="Times New Roman"/>
          <w:bCs/>
          <w:color w:val="000000"/>
          <w:sz w:val="28"/>
          <w:szCs w:val="28"/>
        </w:rPr>
        <w:t xml:space="preserve"> та </w:t>
      </w:r>
      <w:r w:rsidR="00660AEF" w:rsidRPr="007F5722">
        <w:rPr>
          <w:rFonts w:ascii="Times New Roman" w:eastAsia="Times New Roman" w:hAnsi="Times New Roman" w:cs="Times New Roman"/>
          <w:bCs/>
          <w:color w:val="000000"/>
          <w:sz w:val="28"/>
          <w:szCs w:val="28"/>
        </w:rPr>
        <w:t>4,7 (4,1; 6,0)</w:t>
      </w:r>
      <w:r w:rsidR="00660AEF">
        <w:rPr>
          <w:rFonts w:ascii="Times New Roman" w:eastAsia="Times New Roman" w:hAnsi="Times New Roman" w:cs="Times New Roman"/>
          <w:bCs/>
          <w:color w:val="000000"/>
          <w:sz w:val="28"/>
          <w:szCs w:val="28"/>
        </w:rPr>
        <w:t xml:space="preserve"> </w:t>
      </w:r>
      <w:r w:rsidR="00660AEF" w:rsidRPr="007F5722">
        <w:rPr>
          <w:rFonts w:ascii="Times New Roman" w:eastAsia="Times New Roman" w:hAnsi="Times New Roman" w:cs="Times New Roman"/>
          <w:bCs/>
          <w:color w:val="000000"/>
          <w:sz w:val="28"/>
          <w:szCs w:val="28"/>
        </w:rPr>
        <w:t>л/хв</w:t>
      </w:r>
      <w:r w:rsidR="00660AEF">
        <w:rPr>
          <w:rFonts w:ascii="Times New Roman" w:eastAsia="Times New Roman" w:hAnsi="Times New Roman" w:cs="Times New Roman"/>
          <w:bCs/>
          <w:color w:val="000000"/>
          <w:sz w:val="28"/>
          <w:szCs w:val="28"/>
        </w:rPr>
        <w:t xml:space="preserve"> відповідно (р</w:t>
      </w:r>
      <w:r w:rsidR="00660AEF" w:rsidRPr="007F5722">
        <w:rPr>
          <w:rFonts w:ascii="Times New Roman" w:hAnsi="Times New Roman"/>
          <w:sz w:val="28"/>
          <w:szCs w:val="28"/>
        </w:rPr>
        <w:t>&lt;0,05</w:t>
      </w:r>
      <w:r w:rsidR="00660AEF">
        <w:rPr>
          <w:rFonts w:ascii="Times New Roman" w:eastAsia="Times New Roman" w:hAnsi="Times New Roman" w:cs="Times New Roman"/>
          <w:bCs/>
          <w:color w:val="000000"/>
          <w:sz w:val="28"/>
          <w:szCs w:val="28"/>
        </w:rPr>
        <w:t xml:space="preserve">). Вміст ІЛ-22 також був достовірно вищім у хворих з гіпертрофією міокарду лівого шлуночка </w:t>
      </w:r>
      <w:r w:rsidR="00660AEF" w:rsidRPr="007F5722">
        <w:rPr>
          <w:rFonts w:ascii="Times New Roman" w:eastAsia="Times New Roman" w:hAnsi="Times New Roman" w:cs="Times New Roman"/>
          <w:bCs/>
          <w:color w:val="000000"/>
          <w:sz w:val="28"/>
          <w:szCs w:val="28"/>
        </w:rPr>
        <w:t>29,19 (28,49; 39,95)</w:t>
      </w:r>
      <w:r w:rsidR="00660AEF">
        <w:rPr>
          <w:rFonts w:ascii="Times New Roman" w:eastAsia="Times New Roman" w:hAnsi="Times New Roman" w:cs="Times New Roman"/>
          <w:bCs/>
          <w:color w:val="000000"/>
          <w:sz w:val="28"/>
          <w:szCs w:val="28"/>
        </w:rPr>
        <w:t xml:space="preserve"> </w:t>
      </w:r>
      <w:r w:rsidR="00660AEF" w:rsidRPr="007F5722">
        <w:rPr>
          <w:rFonts w:ascii="Times New Roman" w:eastAsia="Times New Roman" w:hAnsi="Times New Roman" w:cs="Times New Roman"/>
          <w:bCs/>
          <w:color w:val="000000"/>
          <w:sz w:val="28"/>
          <w:szCs w:val="28"/>
        </w:rPr>
        <w:t>пг/мл</w:t>
      </w:r>
      <w:r w:rsidR="00660AEF">
        <w:rPr>
          <w:rFonts w:ascii="Times New Roman" w:eastAsia="Times New Roman" w:hAnsi="Times New Roman" w:cs="Times New Roman"/>
          <w:bCs/>
          <w:color w:val="000000"/>
          <w:sz w:val="28"/>
          <w:szCs w:val="28"/>
        </w:rPr>
        <w:t xml:space="preserve"> в порівнянні з цим показником </w:t>
      </w:r>
      <w:r w:rsidR="009C64B7">
        <w:rPr>
          <w:rFonts w:ascii="Times New Roman" w:eastAsia="Times New Roman" w:hAnsi="Times New Roman" w:cs="Times New Roman"/>
          <w:bCs/>
          <w:color w:val="000000"/>
          <w:sz w:val="28"/>
          <w:szCs w:val="28"/>
        </w:rPr>
        <w:t xml:space="preserve">у хворих без ознак гіпертрофії лівого шлуночка </w:t>
      </w:r>
      <w:r w:rsidR="009C64B7" w:rsidRPr="007F5722">
        <w:rPr>
          <w:rFonts w:ascii="Times New Roman" w:eastAsia="Times New Roman" w:hAnsi="Times New Roman" w:cs="Times New Roman"/>
          <w:bCs/>
          <w:color w:val="000000"/>
          <w:sz w:val="28"/>
          <w:szCs w:val="28"/>
        </w:rPr>
        <w:t>27,81 (23,49; 32,05)</w:t>
      </w:r>
      <w:r w:rsidR="009C64B7">
        <w:rPr>
          <w:rFonts w:ascii="Times New Roman" w:eastAsia="Times New Roman" w:hAnsi="Times New Roman" w:cs="Times New Roman"/>
          <w:bCs/>
          <w:color w:val="000000"/>
          <w:sz w:val="28"/>
          <w:szCs w:val="28"/>
        </w:rPr>
        <w:t xml:space="preserve"> </w:t>
      </w:r>
      <w:r w:rsidR="009C64B7" w:rsidRPr="007F5722">
        <w:rPr>
          <w:rFonts w:ascii="Times New Roman" w:eastAsia="Times New Roman" w:hAnsi="Times New Roman" w:cs="Times New Roman"/>
          <w:bCs/>
          <w:color w:val="000000"/>
          <w:sz w:val="28"/>
          <w:szCs w:val="28"/>
        </w:rPr>
        <w:t>пг/мл</w:t>
      </w:r>
      <w:r w:rsidR="009C64B7">
        <w:rPr>
          <w:rFonts w:ascii="Times New Roman" w:eastAsia="Times New Roman" w:hAnsi="Times New Roman" w:cs="Times New Roman"/>
          <w:bCs/>
          <w:color w:val="000000"/>
          <w:sz w:val="28"/>
          <w:szCs w:val="28"/>
        </w:rPr>
        <w:t xml:space="preserve"> (р</w:t>
      </w:r>
      <w:r w:rsidR="009C64B7" w:rsidRPr="007F5722">
        <w:rPr>
          <w:rFonts w:ascii="Times New Roman" w:hAnsi="Times New Roman"/>
          <w:sz w:val="28"/>
          <w:szCs w:val="28"/>
        </w:rPr>
        <w:t>&lt;0,05</w:t>
      </w:r>
      <w:r w:rsidR="009C64B7">
        <w:rPr>
          <w:rFonts w:ascii="Times New Roman" w:eastAsia="Times New Roman" w:hAnsi="Times New Roman" w:cs="Times New Roman"/>
          <w:bCs/>
          <w:color w:val="000000"/>
          <w:sz w:val="28"/>
          <w:szCs w:val="28"/>
        </w:rPr>
        <w:t>).</w:t>
      </w:r>
    </w:p>
    <w:p w:rsidR="00F251A8" w:rsidRPr="007F5722" w:rsidRDefault="00DC5C8D" w:rsidP="00DC5C8D">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 xml:space="preserve">Нами був проведений кореляційний аналіз зв’язків ІЛ-22 з показниками об’єму ЛШ у хворих на ГХ в залежності від наявності ГМЛШ. </w:t>
      </w:r>
    </w:p>
    <w:p w:rsidR="00DC5C8D" w:rsidRPr="007F5722" w:rsidRDefault="00DC5C8D" w:rsidP="00DC5C8D">
      <w:pPr>
        <w:shd w:val="clear" w:color="auto" w:fill="FFFFFF"/>
        <w:spacing w:after="0" w:line="360" w:lineRule="auto"/>
        <w:ind w:firstLine="709"/>
        <w:jc w:val="both"/>
        <w:rPr>
          <w:rFonts w:ascii="Times New Roman" w:hAnsi="Times New Roman"/>
          <w:sz w:val="28"/>
          <w:szCs w:val="28"/>
        </w:rPr>
      </w:pPr>
      <w:r w:rsidRPr="007F5722">
        <w:rPr>
          <w:rFonts w:ascii="Times New Roman" w:hAnsi="Times New Roman"/>
          <w:sz w:val="28"/>
          <w:szCs w:val="28"/>
        </w:rPr>
        <w:t>Ми отримали наступні результати: у пацієнтів</w:t>
      </w:r>
      <w:r w:rsidR="00EE0018" w:rsidRPr="007F5722">
        <w:rPr>
          <w:rFonts w:ascii="Times New Roman" w:hAnsi="Times New Roman"/>
          <w:sz w:val="28"/>
          <w:szCs w:val="28"/>
        </w:rPr>
        <w:t xml:space="preserve"> хворих на ГХ без</w:t>
      </w:r>
      <w:r w:rsidRPr="007F5722">
        <w:rPr>
          <w:rFonts w:ascii="Times New Roman" w:hAnsi="Times New Roman"/>
          <w:sz w:val="28"/>
          <w:szCs w:val="28"/>
        </w:rPr>
        <w:t xml:space="preserve"> ГМЛШ достовірними були взаємозв’язки між ІЛ-22 та такими показниками об’єму </w:t>
      </w:r>
      <w:r w:rsidRPr="007F5722">
        <w:rPr>
          <w:rFonts w:ascii="Times New Roman" w:hAnsi="Times New Roman"/>
          <w:sz w:val="28"/>
          <w:szCs w:val="28"/>
        </w:rPr>
        <w:lastRenderedPageBreak/>
        <w:t>ЛШ як КДО, КСО, УО та ХО, щодо взаємозв’язку між ІЛ-22 та ФВ, то він виявився недостовірним (таблиця 3.3.</w:t>
      </w:r>
      <w:r w:rsidR="009C64B7">
        <w:rPr>
          <w:rFonts w:ascii="Times New Roman" w:hAnsi="Times New Roman"/>
          <w:sz w:val="28"/>
          <w:szCs w:val="28"/>
        </w:rPr>
        <w:t>7</w:t>
      </w:r>
      <w:r w:rsidRPr="007F5722">
        <w:rPr>
          <w:rFonts w:ascii="Times New Roman" w:hAnsi="Times New Roman"/>
          <w:sz w:val="28"/>
          <w:szCs w:val="28"/>
        </w:rPr>
        <w:t>).</w:t>
      </w:r>
    </w:p>
    <w:p w:rsidR="00DF48E5" w:rsidRPr="007F5722" w:rsidRDefault="009C64B7" w:rsidP="00DF48E5">
      <w:pPr>
        <w:shd w:val="clear" w:color="auto" w:fill="FFFFFF"/>
        <w:spacing w:after="0" w:line="360" w:lineRule="auto"/>
        <w:ind w:firstLine="709"/>
        <w:jc w:val="right"/>
        <w:rPr>
          <w:rFonts w:ascii="Times New Roman" w:hAnsi="Times New Roman"/>
          <w:sz w:val="28"/>
          <w:szCs w:val="28"/>
        </w:rPr>
      </w:pPr>
      <w:r>
        <w:rPr>
          <w:rFonts w:ascii="Times New Roman" w:hAnsi="Times New Roman"/>
          <w:sz w:val="28"/>
          <w:szCs w:val="28"/>
        </w:rPr>
        <w:t>Таблиця 3.3.7</w:t>
      </w:r>
    </w:p>
    <w:p w:rsidR="00DF48E5" w:rsidRPr="007F5722" w:rsidRDefault="00DF48E5" w:rsidP="00DF48E5">
      <w:pPr>
        <w:shd w:val="clear" w:color="auto" w:fill="FFFFFF"/>
        <w:spacing w:after="0" w:line="360" w:lineRule="auto"/>
        <w:ind w:firstLine="709"/>
        <w:jc w:val="center"/>
        <w:rPr>
          <w:rFonts w:ascii="Times New Roman" w:hAnsi="Times New Roman"/>
          <w:sz w:val="28"/>
          <w:szCs w:val="28"/>
        </w:rPr>
      </w:pPr>
      <w:r w:rsidRPr="007F5722">
        <w:rPr>
          <w:rFonts w:ascii="Times New Roman" w:eastAsia="Times New Roman" w:hAnsi="Times New Roman" w:cs="Times New Roman"/>
          <w:bCs/>
          <w:color w:val="000000"/>
          <w:sz w:val="28"/>
          <w:szCs w:val="28"/>
        </w:rPr>
        <w:t>Кореляційні зв’язки ІЛ-22 з показниками об’єму ЛШ у хворих на ГХ без гіпертрофії міокарда лівого шлуночка</w:t>
      </w:r>
    </w:p>
    <w:tbl>
      <w:tblPr>
        <w:tblStyle w:val="a9"/>
        <w:tblW w:w="0" w:type="auto"/>
        <w:tblLook w:val="04A0" w:firstRow="1" w:lastRow="0" w:firstColumn="1" w:lastColumn="0" w:noHBand="0" w:noVBand="1"/>
      </w:tblPr>
      <w:tblGrid>
        <w:gridCol w:w="2353"/>
        <w:gridCol w:w="2320"/>
        <w:gridCol w:w="2339"/>
        <w:gridCol w:w="2333"/>
      </w:tblGrid>
      <w:tr w:rsidR="00EE0018" w:rsidRPr="007F5722" w:rsidTr="00EE0018">
        <w:tc>
          <w:tcPr>
            <w:tcW w:w="2392" w:type="dxa"/>
          </w:tcPr>
          <w:p w:rsidR="00EE0018" w:rsidRPr="007F5722" w:rsidRDefault="00EE0018" w:rsidP="00284257">
            <w:pPr>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Показник</w:t>
            </w:r>
          </w:p>
        </w:tc>
        <w:tc>
          <w:tcPr>
            <w:tcW w:w="2393" w:type="dxa"/>
          </w:tcPr>
          <w:p w:rsidR="00EE0018" w:rsidRPr="007F5722" w:rsidRDefault="00EE0018" w:rsidP="00284257">
            <w:pPr>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N</w:t>
            </w:r>
          </w:p>
        </w:tc>
        <w:tc>
          <w:tcPr>
            <w:tcW w:w="2393" w:type="dxa"/>
          </w:tcPr>
          <w:p w:rsidR="00EE0018" w:rsidRPr="007F5722" w:rsidRDefault="00EE0018" w:rsidP="00284257">
            <w:pPr>
              <w:spacing w:after="0" w:line="360" w:lineRule="auto"/>
              <w:jc w:val="center"/>
              <w:rPr>
                <w:rFonts w:ascii="Times New Roman" w:eastAsia="Times New Roman" w:hAnsi="Times New Roman" w:cs="Times New Roman"/>
                <w:color w:val="000000"/>
                <w:sz w:val="28"/>
                <w:szCs w:val="28"/>
              </w:rPr>
            </w:pPr>
            <w:r w:rsidRPr="007F5722">
              <w:rPr>
                <w:rFonts w:ascii="Times New Roman" w:eastAsia="Times New Roman" w:hAnsi="Times New Roman" w:cs="Times New Roman"/>
                <w:color w:val="000000"/>
                <w:sz w:val="28"/>
                <w:szCs w:val="28"/>
              </w:rPr>
              <w:t>R</w:t>
            </w:r>
          </w:p>
        </w:tc>
        <w:tc>
          <w:tcPr>
            <w:tcW w:w="2393" w:type="dxa"/>
          </w:tcPr>
          <w:p w:rsidR="00EE0018" w:rsidRPr="007F5722" w:rsidRDefault="00EE0018" w:rsidP="00284257">
            <w:pPr>
              <w:spacing w:after="0" w:line="360" w:lineRule="auto"/>
              <w:jc w:val="center"/>
              <w:rPr>
                <w:rFonts w:ascii="Times New Roman" w:eastAsia="Times New Roman" w:hAnsi="Times New Roman" w:cs="Times New Roman"/>
                <w:color w:val="000000"/>
                <w:sz w:val="28"/>
                <w:szCs w:val="28"/>
                <w:lang w:val="en-US"/>
              </w:rPr>
            </w:pPr>
            <w:r w:rsidRPr="007F5722">
              <w:rPr>
                <w:rFonts w:ascii="Times New Roman" w:eastAsia="Times New Roman" w:hAnsi="Times New Roman" w:cs="Times New Roman"/>
                <w:color w:val="000000"/>
                <w:sz w:val="28"/>
                <w:szCs w:val="28"/>
                <w:lang w:val="en-US"/>
              </w:rPr>
              <w:t>p-level</w:t>
            </w:r>
          </w:p>
        </w:tc>
      </w:tr>
      <w:tr w:rsidR="00EE0018" w:rsidRPr="007F5722" w:rsidTr="00EE0018">
        <w:tc>
          <w:tcPr>
            <w:tcW w:w="2392" w:type="dxa"/>
          </w:tcPr>
          <w:p w:rsidR="00EE0018" w:rsidRPr="007F5722" w:rsidRDefault="00EE0018" w:rsidP="00DC5C8D">
            <w:pPr>
              <w:spacing w:after="0"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КДО</w:t>
            </w:r>
            <w:r w:rsidRPr="007F5722">
              <w:rPr>
                <w:rFonts w:ascii="Times New Roman" w:eastAsia="Times New Roman" w:hAnsi="Times New Roman" w:cs="Times New Roman"/>
                <w:bCs/>
                <w:color w:val="000000"/>
                <w:sz w:val="28"/>
                <w:szCs w:val="28"/>
                <w:lang w:val="en-US"/>
              </w:rPr>
              <w:t>&amp;</w:t>
            </w:r>
            <w:r w:rsidRPr="007F5722">
              <w:rPr>
                <w:rFonts w:ascii="Times New Roman" w:eastAsia="Times New Roman" w:hAnsi="Times New Roman" w:cs="Times New Roman"/>
                <w:bCs/>
                <w:color w:val="000000"/>
                <w:sz w:val="28"/>
                <w:szCs w:val="28"/>
              </w:rPr>
              <w:t>ІЛ-22</w:t>
            </w:r>
          </w:p>
        </w:tc>
        <w:tc>
          <w:tcPr>
            <w:tcW w:w="2393" w:type="dxa"/>
          </w:tcPr>
          <w:p w:rsidR="00EE0018" w:rsidRPr="007F5722" w:rsidRDefault="00EE0018" w:rsidP="00DC5C8D">
            <w:pPr>
              <w:spacing w:after="0"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62</w:t>
            </w:r>
          </w:p>
        </w:tc>
        <w:tc>
          <w:tcPr>
            <w:tcW w:w="2393" w:type="dxa"/>
          </w:tcPr>
          <w:p w:rsidR="00EE0018" w:rsidRPr="007F5722" w:rsidRDefault="00EE0018" w:rsidP="00DC5C8D">
            <w:pPr>
              <w:spacing w:after="0" w:line="360" w:lineRule="auto"/>
              <w:jc w:val="both"/>
              <w:rPr>
                <w:rFonts w:ascii="Times New Roman" w:eastAsia="Times New Roman" w:hAnsi="Times New Roman" w:cs="Times New Roman"/>
                <w:b/>
                <w:bCs/>
                <w:color w:val="000000"/>
                <w:sz w:val="28"/>
                <w:szCs w:val="28"/>
              </w:rPr>
            </w:pPr>
            <w:r w:rsidRPr="007F5722">
              <w:rPr>
                <w:rFonts w:ascii="Times New Roman" w:eastAsia="Times New Roman" w:hAnsi="Times New Roman" w:cs="Times New Roman"/>
                <w:b/>
                <w:bCs/>
                <w:color w:val="000000"/>
                <w:sz w:val="28"/>
                <w:szCs w:val="28"/>
              </w:rPr>
              <w:t>0,4897</w:t>
            </w:r>
          </w:p>
        </w:tc>
        <w:tc>
          <w:tcPr>
            <w:tcW w:w="2393" w:type="dxa"/>
          </w:tcPr>
          <w:p w:rsidR="00EE0018" w:rsidRPr="007F5722" w:rsidRDefault="00EE0018" w:rsidP="00DC5C8D">
            <w:pPr>
              <w:spacing w:after="0" w:line="360" w:lineRule="auto"/>
              <w:jc w:val="both"/>
              <w:rPr>
                <w:rFonts w:ascii="Times New Roman" w:eastAsia="Times New Roman" w:hAnsi="Times New Roman" w:cs="Times New Roman"/>
                <w:b/>
                <w:bCs/>
                <w:color w:val="000000"/>
                <w:sz w:val="28"/>
                <w:szCs w:val="28"/>
              </w:rPr>
            </w:pPr>
            <w:r w:rsidRPr="007F5722">
              <w:rPr>
                <w:rFonts w:ascii="Times New Roman" w:eastAsia="Times New Roman" w:hAnsi="Times New Roman" w:cs="Times New Roman"/>
                <w:b/>
                <w:bCs/>
                <w:color w:val="000000"/>
                <w:sz w:val="28"/>
                <w:szCs w:val="28"/>
              </w:rPr>
              <w:t>0,001</w:t>
            </w:r>
          </w:p>
        </w:tc>
      </w:tr>
      <w:tr w:rsidR="00EE0018" w:rsidRPr="007F5722" w:rsidTr="00EE0018">
        <w:tc>
          <w:tcPr>
            <w:tcW w:w="2392" w:type="dxa"/>
          </w:tcPr>
          <w:p w:rsidR="00EE0018" w:rsidRPr="007F5722" w:rsidRDefault="00EE0018" w:rsidP="00DC5C8D">
            <w:pPr>
              <w:spacing w:after="0"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КСО</w:t>
            </w:r>
            <w:r w:rsidRPr="007F5722">
              <w:rPr>
                <w:rFonts w:ascii="Times New Roman" w:eastAsia="Times New Roman" w:hAnsi="Times New Roman" w:cs="Times New Roman"/>
                <w:bCs/>
                <w:color w:val="000000"/>
                <w:sz w:val="28"/>
                <w:szCs w:val="28"/>
                <w:lang w:val="en-US"/>
              </w:rPr>
              <w:t>&amp;</w:t>
            </w:r>
            <w:r w:rsidRPr="007F5722">
              <w:rPr>
                <w:rFonts w:ascii="Times New Roman" w:eastAsia="Times New Roman" w:hAnsi="Times New Roman" w:cs="Times New Roman"/>
                <w:bCs/>
                <w:color w:val="000000"/>
                <w:sz w:val="28"/>
                <w:szCs w:val="28"/>
              </w:rPr>
              <w:t>ІЛ-22</w:t>
            </w:r>
          </w:p>
        </w:tc>
        <w:tc>
          <w:tcPr>
            <w:tcW w:w="2393" w:type="dxa"/>
          </w:tcPr>
          <w:p w:rsidR="00EE0018" w:rsidRPr="007F5722" w:rsidRDefault="00EE0018" w:rsidP="00DC5C8D">
            <w:pPr>
              <w:spacing w:after="0"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62</w:t>
            </w:r>
          </w:p>
        </w:tc>
        <w:tc>
          <w:tcPr>
            <w:tcW w:w="2393" w:type="dxa"/>
          </w:tcPr>
          <w:p w:rsidR="00EE0018" w:rsidRPr="007F5722" w:rsidRDefault="00EE0018" w:rsidP="00DC5C8D">
            <w:pPr>
              <w:spacing w:after="0" w:line="360" w:lineRule="auto"/>
              <w:jc w:val="both"/>
              <w:rPr>
                <w:rFonts w:ascii="Times New Roman" w:eastAsia="Times New Roman" w:hAnsi="Times New Roman" w:cs="Times New Roman"/>
                <w:b/>
                <w:bCs/>
                <w:color w:val="000000"/>
                <w:sz w:val="28"/>
                <w:szCs w:val="28"/>
              </w:rPr>
            </w:pPr>
            <w:r w:rsidRPr="007F5722">
              <w:rPr>
                <w:rFonts w:ascii="Times New Roman" w:eastAsia="Times New Roman" w:hAnsi="Times New Roman" w:cs="Times New Roman"/>
                <w:b/>
                <w:bCs/>
                <w:color w:val="000000"/>
                <w:sz w:val="28"/>
                <w:szCs w:val="28"/>
              </w:rPr>
              <w:t>0,4062</w:t>
            </w:r>
          </w:p>
        </w:tc>
        <w:tc>
          <w:tcPr>
            <w:tcW w:w="2393" w:type="dxa"/>
          </w:tcPr>
          <w:p w:rsidR="00EE0018" w:rsidRPr="007F5722" w:rsidRDefault="00EE0018" w:rsidP="00DC5C8D">
            <w:pPr>
              <w:spacing w:after="0" w:line="360" w:lineRule="auto"/>
              <w:jc w:val="both"/>
              <w:rPr>
                <w:rFonts w:ascii="Times New Roman" w:eastAsia="Times New Roman" w:hAnsi="Times New Roman" w:cs="Times New Roman"/>
                <w:b/>
                <w:bCs/>
                <w:color w:val="000000"/>
                <w:sz w:val="28"/>
                <w:szCs w:val="28"/>
              </w:rPr>
            </w:pPr>
            <w:r w:rsidRPr="007F5722">
              <w:rPr>
                <w:rFonts w:ascii="Times New Roman" w:eastAsia="Times New Roman" w:hAnsi="Times New Roman" w:cs="Times New Roman"/>
                <w:b/>
                <w:bCs/>
                <w:color w:val="000000"/>
                <w:sz w:val="28"/>
                <w:szCs w:val="28"/>
              </w:rPr>
              <w:t>0,007</w:t>
            </w:r>
          </w:p>
        </w:tc>
      </w:tr>
      <w:tr w:rsidR="00EE0018" w:rsidRPr="007F5722" w:rsidTr="00EE0018">
        <w:tc>
          <w:tcPr>
            <w:tcW w:w="2392" w:type="dxa"/>
          </w:tcPr>
          <w:p w:rsidR="00EE0018" w:rsidRPr="007F5722" w:rsidRDefault="00EE0018" w:rsidP="00DC5C8D">
            <w:pPr>
              <w:spacing w:after="0"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УО</w:t>
            </w:r>
            <w:r w:rsidRPr="007F5722">
              <w:rPr>
                <w:rFonts w:ascii="Times New Roman" w:eastAsia="Times New Roman" w:hAnsi="Times New Roman" w:cs="Times New Roman"/>
                <w:bCs/>
                <w:color w:val="000000"/>
                <w:sz w:val="28"/>
                <w:szCs w:val="28"/>
                <w:lang w:val="en-US"/>
              </w:rPr>
              <w:t>&amp;</w:t>
            </w:r>
            <w:r w:rsidRPr="007F5722">
              <w:rPr>
                <w:rFonts w:ascii="Times New Roman" w:eastAsia="Times New Roman" w:hAnsi="Times New Roman" w:cs="Times New Roman"/>
                <w:bCs/>
                <w:color w:val="000000"/>
                <w:sz w:val="28"/>
                <w:szCs w:val="28"/>
              </w:rPr>
              <w:t>ІЛ-22</w:t>
            </w:r>
          </w:p>
        </w:tc>
        <w:tc>
          <w:tcPr>
            <w:tcW w:w="2393" w:type="dxa"/>
          </w:tcPr>
          <w:p w:rsidR="00EE0018" w:rsidRPr="007F5722" w:rsidRDefault="00EE0018" w:rsidP="00DC5C8D">
            <w:pPr>
              <w:spacing w:after="0"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62</w:t>
            </w:r>
          </w:p>
        </w:tc>
        <w:tc>
          <w:tcPr>
            <w:tcW w:w="2393" w:type="dxa"/>
          </w:tcPr>
          <w:p w:rsidR="00EE0018" w:rsidRPr="007F5722" w:rsidRDefault="00EE0018" w:rsidP="00DC5C8D">
            <w:pPr>
              <w:spacing w:after="0" w:line="360" w:lineRule="auto"/>
              <w:jc w:val="both"/>
              <w:rPr>
                <w:rFonts w:ascii="Times New Roman" w:eastAsia="Times New Roman" w:hAnsi="Times New Roman" w:cs="Times New Roman"/>
                <w:b/>
                <w:bCs/>
                <w:color w:val="000000"/>
                <w:sz w:val="28"/>
                <w:szCs w:val="28"/>
              </w:rPr>
            </w:pPr>
            <w:r w:rsidRPr="007F5722">
              <w:rPr>
                <w:rFonts w:ascii="Times New Roman" w:eastAsia="Times New Roman" w:hAnsi="Times New Roman" w:cs="Times New Roman"/>
                <w:b/>
                <w:bCs/>
                <w:color w:val="000000"/>
                <w:sz w:val="28"/>
                <w:szCs w:val="28"/>
              </w:rPr>
              <w:t>0,4334</w:t>
            </w:r>
          </w:p>
        </w:tc>
        <w:tc>
          <w:tcPr>
            <w:tcW w:w="2393" w:type="dxa"/>
          </w:tcPr>
          <w:p w:rsidR="00EE0018" w:rsidRPr="007F5722" w:rsidRDefault="00EE0018" w:rsidP="00DC5C8D">
            <w:pPr>
              <w:spacing w:after="0" w:line="360" w:lineRule="auto"/>
              <w:jc w:val="both"/>
              <w:rPr>
                <w:rFonts w:ascii="Times New Roman" w:eastAsia="Times New Roman" w:hAnsi="Times New Roman" w:cs="Times New Roman"/>
                <w:b/>
                <w:bCs/>
                <w:color w:val="000000"/>
                <w:sz w:val="28"/>
                <w:szCs w:val="28"/>
              </w:rPr>
            </w:pPr>
            <w:r w:rsidRPr="007F5722">
              <w:rPr>
                <w:rFonts w:ascii="Times New Roman" w:eastAsia="Times New Roman" w:hAnsi="Times New Roman" w:cs="Times New Roman"/>
                <w:b/>
                <w:bCs/>
                <w:color w:val="000000"/>
                <w:sz w:val="28"/>
                <w:szCs w:val="28"/>
              </w:rPr>
              <w:t>0,004</w:t>
            </w:r>
          </w:p>
        </w:tc>
      </w:tr>
      <w:tr w:rsidR="00EE0018" w:rsidRPr="007F5722" w:rsidTr="00EE0018">
        <w:tc>
          <w:tcPr>
            <w:tcW w:w="2392" w:type="dxa"/>
          </w:tcPr>
          <w:p w:rsidR="00EE0018" w:rsidRPr="007F5722" w:rsidRDefault="00EE0018" w:rsidP="00EE0018">
            <w:pPr>
              <w:spacing w:after="0" w:line="360" w:lineRule="auto"/>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ХО</w:t>
            </w:r>
            <w:r w:rsidRPr="007F5722">
              <w:rPr>
                <w:rFonts w:ascii="Times New Roman" w:eastAsia="Times New Roman" w:hAnsi="Times New Roman" w:cs="Times New Roman"/>
                <w:bCs/>
                <w:color w:val="000000"/>
                <w:sz w:val="28"/>
                <w:szCs w:val="28"/>
                <w:lang w:val="en-US"/>
              </w:rPr>
              <w:t>&amp;</w:t>
            </w:r>
            <w:r w:rsidRPr="007F5722">
              <w:rPr>
                <w:rFonts w:ascii="Times New Roman" w:eastAsia="Times New Roman" w:hAnsi="Times New Roman" w:cs="Times New Roman"/>
                <w:bCs/>
                <w:color w:val="000000"/>
                <w:sz w:val="28"/>
                <w:szCs w:val="28"/>
              </w:rPr>
              <w:t>ІЛ-22</w:t>
            </w:r>
          </w:p>
        </w:tc>
        <w:tc>
          <w:tcPr>
            <w:tcW w:w="2393" w:type="dxa"/>
          </w:tcPr>
          <w:p w:rsidR="00EE0018" w:rsidRPr="007F5722" w:rsidRDefault="00EE0018" w:rsidP="00DC5C8D">
            <w:pPr>
              <w:spacing w:after="0"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62</w:t>
            </w:r>
          </w:p>
        </w:tc>
        <w:tc>
          <w:tcPr>
            <w:tcW w:w="2393" w:type="dxa"/>
          </w:tcPr>
          <w:p w:rsidR="00EE0018" w:rsidRPr="007F5722" w:rsidRDefault="00EE0018" w:rsidP="00DC5C8D">
            <w:pPr>
              <w:spacing w:after="0" w:line="360" w:lineRule="auto"/>
              <w:jc w:val="both"/>
              <w:rPr>
                <w:rFonts w:ascii="Times New Roman" w:eastAsia="Times New Roman" w:hAnsi="Times New Roman" w:cs="Times New Roman"/>
                <w:b/>
                <w:bCs/>
                <w:color w:val="000000"/>
                <w:sz w:val="28"/>
                <w:szCs w:val="28"/>
              </w:rPr>
            </w:pPr>
            <w:r w:rsidRPr="007F5722">
              <w:rPr>
                <w:rFonts w:ascii="Times New Roman" w:eastAsia="Times New Roman" w:hAnsi="Times New Roman" w:cs="Times New Roman"/>
                <w:b/>
                <w:bCs/>
                <w:color w:val="000000"/>
                <w:sz w:val="28"/>
                <w:szCs w:val="28"/>
              </w:rPr>
              <w:t>0,3689</w:t>
            </w:r>
          </w:p>
        </w:tc>
        <w:tc>
          <w:tcPr>
            <w:tcW w:w="2393" w:type="dxa"/>
          </w:tcPr>
          <w:p w:rsidR="00EE0018" w:rsidRPr="007F5722" w:rsidRDefault="00EE0018" w:rsidP="00DC5C8D">
            <w:pPr>
              <w:spacing w:after="0" w:line="360" w:lineRule="auto"/>
              <w:jc w:val="both"/>
              <w:rPr>
                <w:rFonts w:ascii="Times New Roman" w:eastAsia="Times New Roman" w:hAnsi="Times New Roman" w:cs="Times New Roman"/>
                <w:b/>
                <w:bCs/>
                <w:color w:val="000000"/>
                <w:sz w:val="28"/>
                <w:szCs w:val="28"/>
              </w:rPr>
            </w:pPr>
            <w:r w:rsidRPr="007F5722">
              <w:rPr>
                <w:rFonts w:ascii="Times New Roman" w:eastAsia="Times New Roman" w:hAnsi="Times New Roman" w:cs="Times New Roman"/>
                <w:b/>
                <w:bCs/>
                <w:color w:val="000000"/>
                <w:sz w:val="28"/>
                <w:szCs w:val="28"/>
              </w:rPr>
              <w:t>0,015</w:t>
            </w:r>
          </w:p>
        </w:tc>
      </w:tr>
      <w:tr w:rsidR="00EE0018" w:rsidRPr="007F5722" w:rsidTr="00EE0018">
        <w:tc>
          <w:tcPr>
            <w:tcW w:w="2392" w:type="dxa"/>
          </w:tcPr>
          <w:p w:rsidR="00EE0018" w:rsidRPr="007F5722" w:rsidRDefault="00EE0018" w:rsidP="00DC5C8D">
            <w:pPr>
              <w:spacing w:after="0"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ФВ</w:t>
            </w:r>
            <w:r w:rsidRPr="007F5722">
              <w:rPr>
                <w:rFonts w:ascii="Times New Roman" w:eastAsia="Times New Roman" w:hAnsi="Times New Roman" w:cs="Times New Roman"/>
                <w:bCs/>
                <w:color w:val="000000"/>
                <w:sz w:val="28"/>
                <w:szCs w:val="28"/>
                <w:lang w:val="en-US"/>
              </w:rPr>
              <w:t>&amp;</w:t>
            </w:r>
            <w:r w:rsidRPr="007F5722">
              <w:rPr>
                <w:rFonts w:ascii="Times New Roman" w:eastAsia="Times New Roman" w:hAnsi="Times New Roman" w:cs="Times New Roman"/>
                <w:bCs/>
                <w:color w:val="000000"/>
                <w:sz w:val="28"/>
                <w:szCs w:val="28"/>
              </w:rPr>
              <w:t>ІЛ-22</w:t>
            </w:r>
          </w:p>
        </w:tc>
        <w:tc>
          <w:tcPr>
            <w:tcW w:w="2393" w:type="dxa"/>
          </w:tcPr>
          <w:p w:rsidR="00EE0018" w:rsidRPr="007F5722" w:rsidRDefault="00EE0018" w:rsidP="00DC5C8D">
            <w:pPr>
              <w:spacing w:after="0"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62</w:t>
            </w:r>
          </w:p>
        </w:tc>
        <w:tc>
          <w:tcPr>
            <w:tcW w:w="2393" w:type="dxa"/>
          </w:tcPr>
          <w:p w:rsidR="00EE0018" w:rsidRPr="007F5722" w:rsidRDefault="00EE0018" w:rsidP="00DC5C8D">
            <w:pPr>
              <w:spacing w:after="0"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-0,1434</w:t>
            </w:r>
          </w:p>
        </w:tc>
        <w:tc>
          <w:tcPr>
            <w:tcW w:w="2393" w:type="dxa"/>
          </w:tcPr>
          <w:p w:rsidR="00EE0018" w:rsidRPr="007F5722" w:rsidRDefault="00EE0018" w:rsidP="00DC5C8D">
            <w:pPr>
              <w:spacing w:after="0" w:line="360" w:lineRule="auto"/>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0,359</w:t>
            </w:r>
          </w:p>
        </w:tc>
      </w:tr>
    </w:tbl>
    <w:p w:rsidR="00EE0018" w:rsidRPr="007F5722" w:rsidRDefault="00EE0018" w:rsidP="00DC5C8D">
      <w:pPr>
        <w:shd w:val="clear" w:color="auto" w:fill="FFFFFF"/>
        <w:spacing w:after="0" w:line="360" w:lineRule="auto"/>
        <w:ind w:firstLine="709"/>
        <w:jc w:val="both"/>
        <w:rPr>
          <w:rFonts w:ascii="Times New Roman" w:eastAsia="Times New Roman" w:hAnsi="Times New Roman" w:cs="Times New Roman"/>
          <w:bCs/>
          <w:color w:val="000000"/>
          <w:sz w:val="28"/>
          <w:szCs w:val="28"/>
        </w:rPr>
      </w:pPr>
    </w:p>
    <w:p w:rsidR="00EE0018" w:rsidRPr="007F5722" w:rsidRDefault="00EE0018" w:rsidP="00DC5C8D">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 xml:space="preserve">У групі хворих на ГХ з ГМЛШ достовірних кореляційних зв’язків між </w:t>
      </w:r>
      <w:r w:rsidR="00DF48E5" w:rsidRPr="007F5722">
        <w:rPr>
          <w:rFonts w:ascii="Times New Roman" w:eastAsia="Times New Roman" w:hAnsi="Times New Roman" w:cs="Times New Roman"/>
          <w:bCs/>
          <w:color w:val="000000"/>
          <w:sz w:val="28"/>
          <w:szCs w:val="28"/>
        </w:rPr>
        <w:t>ІЛ-22 та показниками об’єму ЛШ не було виявлено.</w:t>
      </w:r>
    </w:p>
    <w:p w:rsidR="00DF48E5" w:rsidRPr="007F5722" w:rsidRDefault="00DF48E5" w:rsidP="00DF48E5">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 xml:space="preserve">За геометричними моделями ЛШ спостерігався наступний розподіл (рис. 3.3.1): нормальна геометрія ЛШ (НГ) мала місце у 23,3% хворих на ГХ, концентричне ремоделювання (КР) встановлено у </w:t>
      </w:r>
      <w:r w:rsidR="00137823" w:rsidRPr="007F5722">
        <w:rPr>
          <w:rFonts w:ascii="Times New Roman" w:eastAsia="Times New Roman" w:hAnsi="Times New Roman" w:cs="Times New Roman"/>
          <w:bCs/>
          <w:color w:val="000000"/>
          <w:sz w:val="28"/>
          <w:szCs w:val="28"/>
        </w:rPr>
        <w:t>17,4 пацієнтів, у 47,7</w:t>
      </w:r>
      <w:r w:rsidRPr="007F5722">
        <w:rPr>
          <w:rFonts w:ascii="Times New Roman" w:eastAsia="Times New Roman" w:hAnsi="Times New Roman" w:cs="Times New Roman"/>
          <w:bCs/>
          <w:color w:val="000000"/>
          <w:sz w:val="28"/>
          <w:szCs w:val="28"/>
        </w:rPr>
        <w:t>% пацієнтів встановлено концентричну гіпертрофію (КГ) та у 11,6 % обстежених виявлено ексцентричну гіпертрофію (ЕГ).</w:t>
      </w:r>
    </w:p>
    <w:p w:rsidR="00DF48E5" w:rsidRPr="007F5722" w:rsidRDefault="00DF48E5" w:rsidP="00DF48E5">
      <w:pPr>
        <w:keepNext/>
        <w:shd w:val="clear" w:color="auto" w:fill="FFFFFF"/>
        <w:spacing w:after="0" w:line="360" w:lineRule="auto"/>
        <w:ind w:firstLine="709"/>
        <w:jc w:val="both"/>
      </w:pPr>
      <w:r w:rsidRPr="007F5722">
        <w:rPr>
          <w:rFonts w:ascii="Times New Roman" w:eastAsia="Times New Roman" w:hAnsi="Times New Roman" w:cs="Times New Roman"/>
          <w:bCs/>
          <w:noProof/>
          <w:color w:val="000000"/>
          <w:sz w:val="28"/>
          <w:szCs w:val="28"/>
          <w:lang w:val="ru-RU" w:eastAsia="ru-RU"/>
        </w:rPr>
        <w:drawing>
          <wp:inline distT="0" distB="0" distL="0" distR="0">
            <wp:extent cx="3931920" cy="2057400"/>
            <wp:effectExtent l="0" t="0" r="1143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F48E5" w:rsidRPr="007F5722" w:rsidRDefault="00DF48E5" w:rsidP="00DF48E5">
      <w:pPr>
        <w:pStyle w:val="af2"/>
        <w:jc w:val="both"/>
        <w:rPr>
          <w:rFonts w:ascii="Times New Roman" w:hAnsi="Times New Roman" w:cs="Times New Roman"/>
          <w:b w:val="0"/>
          <w:color w:val="auto"/>
          <w:sz w:val="28"/>
          <w:szCs w:val="28"/>
        </w:rPr>
      </w:pPr>
      <w:r w:rsidRPr="007F5722">
        <w:rPr>
          <w:rFonts w:ascii="Times New Roman" w:hAnsi="Times New Roman" w:cs="Times New Roman"/>
          <w:b w:val="0"/>
          <w:color w:val="auto"/>
          <w:sz w:val="28"/>
          <w:szCs w:val="28"/>
        </w:rPr>
        <w:t>Рисунок 3.3.1 Розподіл пацієнтів в залежності від типу геометрії ЛШ</w:t>
      </w:r>
    </w:p>
    <w:p w:rsidR="000C1BFE" w:rsidRPr="007F5722" w:rsidRDefault="00EB590F" w:rsidP="00E31F54">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 xml:space="preserve">Також ми дослідили рівень ІЛ-22 у </w:t>
      </w:r>
      <w:r w:rsidR="009C64B7">
        <w:rPr>
          <w:rFonts w:ascii="Times New Roman" w:eastAsia="Times New Roman" w:hAnsi="Times New Roman" w:cs="Times New Roman"/>
          <w:bCs/>
          <w:color w:val="000000"/>
          <w:sz w:val="28"/>
          <w:szCs w:val="28"/>
        </w:rPr>
        <w:t>плазмі</w:t>
      </w:r>
      <w:r w:rsidRPr="007F5722">
        <w:rPr>
          <w:rFonts w:ascii="Times New Roman" w:eastAsia="Times New Roman" w:hAnsi="Times New Roman" w:cs="Times New Roman"/>
          <w:bCs/>
          <w:color w:val="000000"/>
          <w:sz w:val="28"/>
          <w:szCs w:val="28"/>
        </w:rPr>
        <w:t xml:space="preserve"> крові хворих на ГХ в залежності від типу ремоделювання міокарда ЛШ (табл. 3.3.</w:t>
      </w:r>
      <w:r w:rsidR="009C64B7">
        <w:rPr>
          <w:rFonts w:ascii="Times New Roman" w:eastAsia="Times New Roman" w:hAnsi="Times New Roman" w:cs="Times New Roman"/>
          <w:bCs/>
          <w:color w:val="000000"/>
          <w:sz w:val="28"/>
          <w:szCs w:val="28"/>
        </w:rPr>
        <w:t>8</w:t>
      </w:r>
      <w:r w:rsidRPr="007F5722">
        <w:rPr>
          <w:rFonts w:ascii="Times New Roman" w:eastAsia="Times New Roman" w:hAnsi="Times New Roman" w:cs="Times New Roman"/>
          <w:bCs/>
          <w:color w:val="000000"/>
          <w:sz w:val="28"/>
          <w:szCs w:val="28"/>
        </w:rPr>
        <w:t>)</w:t>
      </w:r>
    </w:p>
    <w:p w:rsidR="00EB590F" w:rsidRPr="007F5722" w:rsidRDefault="009C64B7" w:rsidP="00EB590F">
      <w:pPr>
        <w:shd w:val="clear" w:color="auto" w:fill="FFFFFF"/>
        <w:spacing w:after="0" w:line="360" w:lineRule="auto"/>
        <w:ind w:firstLine="709"/>
        <w:jc w:val="right"/>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Таблиця 3.3.8</w:t>
      </w:r>
    </w:p>
    <w:p w:rsidR="00EB590F" w:rsidRPr="007F5722" w:rsidRDefault="00EB590F" w:rsidP="00EB590F">
      <w:pPr>
        <w:shd w:val="clear" w:color="auto" w:fill="FFFFFF"/>
        <w:spacing w:after="0" w:line="360" w:lineRule="auto"/>
        <w:ind w:firstLine="709"/>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 xml:space="preserve">Рівень ІЛ-22 у </w:t>
      </w:r>
      <w:r w:rsidR="009C64B7">
        <w:rPr>
          <w:rFonts w:ascii="Times New Roman" w:eastAsia="Times New Roman" w:hAnsi="Times New Roman" w:cs="Times New Roman"/>
          <w:bCs/>
          <w:color w:val="000000"/>
          <w:sz w:val="28"/>
          <w:szCs w:val="28"/>
        </w:rPr>
        <w:t>плазм</w:t>
      </w:r>
      <w:r w:rsidRPr="007F5722">
        <w:rPr>
          <w:rFonts w:ascii="Times New Roman" w:eastAsia="Times New Roman" w:hAnsi="Times New Roman" w:cs="Times New Roman"/>
          <w:bCs/>
          <w:color w:val="000000"/>
          <w:sz w:val="28"/>
          <w:szCs w:val="28"/>
        </w:rPr>
        <w:t>і крові хворих на ГХ в залежності від типу ремоделювання міокарду ЛШ</w:t>
      </w:r>
    </w:p>
    <w:tbl>
      <w:tblPr>
        <w:tblStyle w:val="a9"/>
        <w:tblW w:w="0" w:type="auto"/>
        <w:tblLook w:val="04A0" w:firstRow="1" w:lastRow="0" w:firstColumn="1" w:lastColumn="0" w:noHBand="0" w:noVBand="1"/>
      </w:tblPr>
      <w:tblGrid>
        <w:gridCol w:w="1656"/>
        <w:gridCol w:w="1739"/>
        <w:gridCol w:w="2099"/>
        <w:gridCol w:w="1944"/>
        <w:gridCol w:w="1907"/>
      </w:tblGrid>
      <w:tr w:rsidR="00EB590F" w:rsidRPr="007F5722" w:rsidTr="00AA1DD2">
        <w:tc>
          <w:tcPr>
            <w:tcW w:w="1788" w:type="dxa"/>
          </w:tcPr>
          <w:p w:rsidR="00EB590F" w:rsidRPr="007F5722" w:rsidRDefault="00EB590F" w:rsidP="00EB590F">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Показник</w:t>
            </w:r>
          </w:p>
        </w:tc>
        <w:tc>
          <w:tcPr>
            <w:tcW w:w="1829" w:type="dxa"/>
          </w:tcPr>
          <w:p w:rsidR="00EB590F" w:rsidRPr="007F5722" w:rsidRDefault="00EB590F" w:rsidP="00EB590F">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Нормальна геометрія ЛШ</w:t>
            </w:r>
          </w:p>
        </w:tc>
        <w:tc>
          <w:tcPr>
            <w:tcW w:w="2099" w:type="dxa"/>
          </w:tcPr>
          <w:p w:rsidR="00EB590F" w:rsidRPr="007F5722" w:rsidRDefault="00EB590F" w:rsidP="00EB590F">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Концентричне ремоделювання ЛШ</w:t>
            </w:r>
          </w:p>
        </w:tc>
        <w:tc>
          <w:tcPr>
            <w:tcW w:w="1944" w:type="dxa"/>
          </w:tcPr>
          <w:p w:rsidR="00EB590F" w:rsidRPr="007F5722" w:rsidRDefault="00EB590F" w:rsidP="00EB590F">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Концентрична гіпертрофія ЛШ</w:t>
            </w:r>
          </w:p>
        </w:tc>
        <w:tc>
          <w:tcPr>
            <w:tcW w:w="1911" w:type="dxa"/>
          </w:tcPr>
          <w:p w:rsidR="00EB590F" w:rsidRPr="007F5722" w:rsidRDefault="00EB590F" w:rsidP="00EB590F">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Ексцентрична гіпертрофія ЛШ</w:t>
            </w:r>
          </w:p>
        </w:tc>
      </w:tr>
      <w:tr w:rsidR="00EB590F" w:rsidRPr="007F5722" w:rsidTr="00AA1DD2">
        <w:tc>
          <w:tcPr>
            <w:tcW w:w="1788" w:type="dxa"/>
          </w:tcPr>
          <w:p w:rsidR="00EB590F" w:rsidRPr="007F5722" w:rsidRDefault="00AA1DD2" w:rsidP="00EB590F">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ІЛ-22, пг/мл</w:t>
            </w:r>
          </w:p>
        </w:tc>
        <w:tc>
          <w:tcPr>
            <w:tcW w:w="1829" w:type="dxa"/>
          </w:tcPr>
          <w:p w:rsidR="00EB590F" w:rsidRPr="007F5722" w:rsidRDefault="003C7DC6" w:rsidP="00EB590F">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23,73 (</w:t>
            </w:r>
            <w:r w:rsidRPr="007F5722">
              <w:rPr>
                <w:rFonts w:ascii="Times New Roman" w:eastAsia="Times New Roman" w:hAnsi="Times New Roman" w:cs="Times New Roman"/>
                <w:bCs/>
                <w:color w:val="000000"/>
                <w:sz w:val="28"/>
                <w:szCs w:val="28"/>
                <w:lang w:val="en-US"/>
              </w:rPr>
              <w:t>20</w:t>
            </w:r>
            <w:r w:rsidRPr="007F5722">
              <w:rPr>
                <w:rFonts w:ascii="Times New Roman" w:eastAsia="Times New Roman" w:hAnsi="Times New Roman" w:cs="Times New Roman"/>
                <w:bCs/>
                <w:color w:val="000000"/>
                <w:sz w:val="28"/>
                <w:szCs w:val="28"/>
              </w:rPr>
              <w:t>,</w:t>
            </w:r>
            <w:r w:rsidRPr="007F5722">
              <w:rPr>
                <w:rFonts w:ascii="Times New Roman" w:eastAsia="Times New Roman" w:hAnsi="Times New Roman" w:cs="Times New Roman"/>
                <w:bCs/>
                <w:color w:val="000000"/>
                <w:sz w:val="28"/>
                <w:szCs w:val="28"/>
                <w:lang w:val="en-US"/>
              </w:rPr>
              <w:t>23</w:t>
            </w:r>
            <w:r w:rsidRPr="007F5722">
              <w:rPr>
                <w:rFonts w:ascii="Times New Roman" w:eastAsia="Times New Roman" w:hAnsi="Times New Roman" w:cs="Times New Roman"/>
                <w:bCs/>
                <w:color w:val="000000"/>
                <w:sz w:val="28"/>
                <w:szCs w:val="28"/>
              </w:rPr>
              <w:t>; 2</w:t>
            </w:r>
            <w:r w:rsidRPr="007F5722">
              <w:rPr>
                <w:rFonts w:ascii="Times New Roman" w:eastAsia="Times New Roman" w:hAnsi="Times New Roman" w:cs="Times New Roman"/>
                <w:bCs/>
                <w:color w:val="000000"/>
                <w:sz w:val="28"/>
                <w:szCs w:val="28"/>
                <w:lang w:val="en-US"/>
              </w:rPr>
              <w:t>7</w:t>
            </w:r>
            <w:r w:rsidRPr="007F5722">
              <w:rPr>
                <w:rFonts w:ascii="Times New Roman" w:eastAsia="Times New Roman" w:hAnsi="Times New Roman" w:cs="Times New Roman"/>
                <w:bCs/>
                <w:color w:val="000000"/>
                <w:sz w:val="28"/>
                <w:szCs w:val="28"/>
              </w:rPr>
              <w:t>,</w:t>
            </w:r>
            <w:r w:rsidRPr="007F5722">
              <w:rPr>
                <w:rFonts w:ascii="Times New Roman" w:eastAsia="Times New Roman" w:hAnsi="Times New Roman" w:cs="Times New Roman"/>
                <w:bCs/>
                <w:color w:val="000000"/>
                <w:sz w:val="28"/>
                <w:szCs w:val="28"/>
                <w:lang w:val="en-US"/>
              </w:rPr>
              <w:t>76</w:t>
            </w:r>
            <w:r w:rsidR="00AA1DD2" w:rsidRPr="007F5722">
              <w:rPr>
                <w:rFonts w:ascii="Times New Roman" w:eastAsia="Times New Roman" w:hAnsi="Times New Roman" w:cs="Times New Roman"/>
                <w:bCs/>
                <w:color w:val="000000"/>
                <w:sz w:val="28"/>
                <w:szCs w:val="28"/>
              </w:rPr>
              <w:t>)</w:t>
            </w:r>
          </w:p>
        </w:tc>
        <w:tc>
          <w:tcPr>
            <w:tcW w:w="2099" w:type="dxa"/>
          </w:tcPr>
          <w:p w:rsidR="00EB590F" w:rsidRPr="007F5722" w:rsidRDefault="00AA1DD2" w:rsidP="00EB590F">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26,64 (22,52; 31,61)</w:t>
            </w:r>
          </w:p>
          <w:p w:rsidR="00AA1DD2" w:rsidRPr="007F5722" w:rsidRDefault="00AA1DD2" w:rsidP="00EB590F">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w:t>
            </w:r>
          </w:p>
        </w:tc>
        <w:tc>
          <w:tcPr>
            <w:tcW w:w="1944" w:type="dxa"/>
          </w:tcPr>
          <w:p w:rsidR="00EB590F" w:rsidRPr="007F5722" w:rsidRDefault="00AA1DD2" w:rsidP="00EB590F">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29,18 (28,15; 39,95)</w:t>
            </w:r>
          </w:p>
          <w:p w:rsidR="00AA1DD2" w:rsidRPr="007F5722" w:rsidRDefault="00AA1DD2" w:rsidP="00EB590F">
            <w:pPr>
              <w:spacing w:after="0" w:line="360" w:lineRule="auto"/>
              <w:jc w:val="center"/>
              <w:rPr>
                <w:rFonts w:ascii="Times New Roman" w:eastAsia="Times New Roman" w:hAnsi="Times New Roman" w:cs="Times New Roman"/>
                <w:bCs/>
                <w:color w:val="000000"/>
                <w:sz w:val="28"/>
                <w:szCs w:val="28"/>
                <w:lang w:val="en-US"/>
              </w:rPr>
            </w:pPr>
            <w:r w:rsidRPr="007F5722">
              <w:rPr>
                <w:rFonts w:ascii="Times New Roman" w:eastAsia="Times New Roman" w:hAnsi="Times New Roman" w:cs="Times New Roman"/>
                <w:bCs/>
                <w:color w:val="000000"/>
                <w:sz w:val="28"/>
                <w:szCs w:val="28"/>
              </w:rPr>
              <w:t>*</w:t>
            </w:r>
            <w:r w:rsidRPr="007F5722">
              <w:rPr>
                <w:rFonts w:ascii="Times New Roman" w:eastAsia="Times New Roman" w:hAnsi="Times New Roman" w:cs="Times New Roman"/>
                <w:bCs/>
                <w:color w:val="000000"/>
                <w:sz w:val="28"/>
                <w:szCs w:val="28"/>
                <w:lang w:val="en-US"/>
              </w:rPr>
              <w:t xml:space="preserve"> #</w:t>
            </w:r>
          </w:p>
        </w:tc>
        <w:tc>
          <w:tcPr>
            <w:tcW w:w="1911" w:type="dxa"/>
          </w:tcPr>
          <w:p w:rsidR="00EB590F" w:rsidRPr="007F5722" w:rsidRDefault="00AA1DD2" w:rsidP="00EB590F">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28,93 (28,64; 38,50)</w:t>
            </w:r>
          </w:p>
          <w:p w:rsidR="00AA1DD2" w:rsidRPr="007F5722" w:rsidRDefault="00AA1DD2" w:rsidP="00EB590F">
            <w:pPr>
              <w:spacing w:after="0" w:line="360" w:lineRule="auto"/>
              <w:jc w:val="center"/>
              <w:rPr>
                <w:rFonts w:ascii="Times New Roman" w:eastAsia="Times New Roman" w:hAnsi="Times New Roman" w:cs="Times New Roman"/>
                <w:bCs/>
                <w:color w:val="000000"/>
                <w:sz w:val="28"/>
                <w:szCs w:val="28"/>
              </w:rPr>
            </w:pPr>
            <w:r w:rsidRPr="007F5722">
              <w:rPr>
                <w:rFonts w:ascii="Times New Roman" w:eastAsia="Times New Roman" w:hAnsi="Times New Roman" w:cs="Times New Roman"/>
                <w:bCs/>
                <w:color w:val="000000"/>
                <w:sz w:val="28"/>
                <w:szCs w:val="28"/>
              </w:rPr>
              <w:t>*</w:t>
            </w:r>
            <w:r w:rsidRPr="007F5722">
              <w:rPr>
                <w:rFonts w:ascii="Times New Roman" w:eastAsia="Times New Roman" w:hAnsi="Times New Roman" w:cs="Times New Roman"/>
                <w:bCs/>
                <w:color w:val="000000"/>
                <w:sz w:val="28"/>
                <w:szCs w:val="28"/>
                <w:lang w:val="en-US"/>
              </w:rPr>
              <w:t xml:space="preserve"> #</w:t>
            </w:r>
          </w:p>
        </w:tc>
      </w:tr>
    </w:tbl>
    <w:p w:rsidR="00135F17" w:rsidRPr="000F7745" w:rsidRDefault="000F7745" w:rsidP="000F7745">
      <w:pPr>
        <w:shd w:val="clear" w:color="auto" w:fill="FFFFFF"/>
        <w:spacing w:after="0" w:line="36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Примітки: * –</w:t>
      </w:r>
      <w:r w:rsidR="00AA1DD2" w:rsidRPr="007F5722">
        <w:rPr>
          <w:rFonts w:ascii="Times New Roman" w:eastAsia="Times New Roman" w:hAnsi="Times New Roman" w:cs="Times New Roman"/>
          <w:bCs/>
          <w:color w:val="000000"/>
          <w:sz w:val="24"/>
          <w:szCs w:val="24"/>
        </w:rPr>
        <w:t xml:space="preserve"> відмінності вірогідні (р&lt;0,05) у порівнянні з хворими на ГХ з нормальною геометрією міокарда ЛШ; # - у порівнянні з хворими на ГХ з концентричним ремоделюванням ЛШ</w:t>
      </w:r>
      <w:r w:rsidR="00135F17" w:rsidRPr="007F5722">
        <w:rPr>
          <w:rFonts w:ascii="Times New Roman" w:eastAsia="Times New Roman" w:hAnsi="Times New Roman" w:cs="Times New Roman"/>
          <w:bCs/>
          <w:color w:val="000000"/>
          <w:sz w:val="24"/>
          <w:szCs w:val="24"/>
        </w:rPr>
        <w:t>.</w:t>
      </w:r>
    </w:p>
    <w:p w:rsidR="00E31F54" w:rsidRPr="007F5722" w:rsidRDefault="00E31F54" w:rsidP="00E31F54">
      <w:pPr>
        <w:shd w:val="clear" w:color="auto" w:fill="FFFFFF"/>
        <w:spacing w:after="0" w:line="360" w:lineRule="auto"/>
        <w:ind w:firstLine="709"/>
        <w:jc w:val="both"/>
        <w:rPr>
          <w:rFonts w:ascii="Times New Roman" w:hAnsi="Times New Roman"/>
          <w:sz w:val="28"/>
          <w:szCs w:val="28"/>
        </w:rPr>
      </w:pPr>
      <w:r w:rsidRPr="007F5722">
        <w:rPr>
          <w:rFonts w:ascii="Times New Roman" w:hAnsi="Times New Roman"/>
          <w:sz w:val="28"/>
          <w:szCs w:val="28"/>
        </w:rPr>
        <w:t>Ми дослідили зв</w:t>
      </w:r>
      <w:r w:rsidR="009F32D3" w:rsidRPr="007F5722">
        <w:rPr>
          <w:rFonts w:ascii="Times New Roman" w:eastAsia="Times New Roman" w:hAnsi="Times New Roman" w:cs="Times New Roman"/>
          <w:bCs/>
          <w:color w:val="000000"/>
          <w:sz w:val="28"/>
          <w:szCs w:val="28"/>
        </w:rPr>
        <w:t>’</w:t>
      </w:r>
      <w:r w:rsidRPr="007F5722">
        <w:rPr>
          <w:rFonts w:ascii="Times New Roman" w:hAnsi="Times New Roman"/>
          <w:sz w:val="28"/>
          <w:szCs w:val="28"/>
        </w:rPr>
        <w:t xml:space="preserve">язок прозапального </w:t>
      </w:r>
      <w:r w:rsidR="001E2A57" w:rsidRPr="007F5722">
        <w:rPr>
          <w:rFonts w:ascii="Times New Roman" w:hAnsi="Times New Roman"/>
          <w:sz w:val="28"/>
          <w:szCs w:val="28"/>
        </w:rPr>
        <w:t>цитокіну - ІЛ-22</w:t>
      </w:r>
      <w:r w:rsidRPr="007F5722">
        <w:rPr>
          <w:rFonts w:ascii="Times New Roman" w:hAnsi="Times New Roman"/>
          <w:sz w:val="28"/>
          <w:szCs w:val="28"/>
        </w:rPr>
        <w:t xml:space="preserve"> та ліпідних маркерів у формуванні структурних змін сонних артерій, які є ранніми субклінічними предикторами атеросклеротичного ураження судин у когорти хворих на гіпертонічну хворобу та ожиріння. Таку коморбідну патологію можна розглядати тригерним механізмом запуску несприятливих метаболічних подій, які характеризуються несприятливим ліпідним профілем та надають обґрунтування для віднесення цих пацієнтів до зони високого кардіометаболічного ризику.</w:t>
      </w:r>
    </w:p>
    <w:p w:rsidR="00E31F54" w:rsidRPr="007F5722" w:rsidRDefault="00E31F54" w:rsidP="00F251A8">
      <w:pPr>
        <w:shd w:val="clear" w:color="auto" w:fill="FFFFFF"/>
        <w:spacing w:after="0" w:line="360" w:lineRule="auto"/>
        <w:ind w:firstLine="709"/>
        <w:jc w:val="both"/>
        <w:rPr>
          <w:rFonts w:ascii="Times New Roman" w:hAnsi="Times New Roman"/>
          <w:sz w:val="28"/>
          <w:szCs w:val="28"/>
        </w:rPr>
      </w:pPr>
      <w:r w:rsidRPr="007F5722">
        <w:rPr>
          <w:rFonts w:ascii="Times New Roman" w:hAnsi="Times New Roman"/>
          <w:sz w:val="28"/>
          <w:szCs w:val="28"/>
        </w:rPr>
        <w:t xml:space="preserve">Для більш детального вивчення взаємозв’язків між рівнем ІЛ-22 та Апо В з антропометричними показниками, параметрами периферичної гемодинаміки, ліпідного метаболізму, а також товщиною комплексу інтима- медіа ЗСА було проведено кластеризацію масиву хворих на ГХ за значенням вмісту ІЛ-22 та Апо В </w:t>
      </w:r>
      <w:r w:rsidR="00796EC3">
        <w:rPr>
          <w:rFonts w:ascii="Times New Roman" w:hAnsi="Times New Roman"/>
          <w:sz w:val="28"/>
          <w:szCs w:val="28"/>
        </w:rPr>
        <w:t>плазми</w:t>
      </w:r>
      <w:r w:rsidRPr="007F5722">
        <w:rPr>
          <w:rFonts w:ascii="Times New Roman" w:hAnsi="Times New Roman"/>
          <w:sz w:val="28"/>
          <w:szCs w:val="28"/>
        </w:rPr>
        <w:t xml:space="preserve"> крові і проведено розподіл на 4 кластери</w:t>
      </w:r>
      <w:r w:rsidR="00F251A8" w:rsidRPr="007F5722">
        <w:rPr>
          <w:rFonts w:ascii="Times New Roman" w:hAnsi="Times New Roman"/>
          <w:sz w:val="28"/>
          <w:szCs w:val="28"/>
        </w:rPr>
        <w:t xml:space="preserve"> (рис.3.3.2</w:t>
      </w:r>
      <w:r w:rsidRPr="007F5722">
        <w:rPr>
          <w:rFonts w:ascii="Times New Roman" w:hAnsi="Times New Roman"/>
          <w:sz w:val="28"/>
          <w:szCs w:val="28"/>
        </w:rPr>
        <w:t>).</w:t>
      </w:r>
    </w:p>
    <w:p w:rsidR="00E31F54" w:rsidRPr="007F5722" w:rsidRDefault="00E31F54" w:rsidP="00E31F54">
      <w:pPr>
        <w:shd w:val="clear" w:color="auto" w:fill="FFFFFF"/>
        <w:spacing w:after="0" w:line="360" w:lineRule="auto"/>
        <w:ind w:firstLine="709"/>
        <w:jc w:val="both"/>
        <w:rPr>
          <w:rFonts w:ascii="Times New Roman" w:hAnsi="Times New Roman"/>
          <w:sz w:val="28"/>
          <w:szCs w:val="28"/>
        </w:rPr>
      </w:pPr>
      <w:r w:rsidRPr="007F5722">
        <w:rPr>
          <w:rFonts w:ascii="Times New Roman" w:hAnsi="Times New Roman"/>
          <w:noProof/>
          <w:sz w:val="28"/>
          <w:szCs w:val="28"/>
          <w:lang w:val="ru-RU" w:eastAsia="ru-RU"/>
        </w:rPr>
        <w:lastRenderedPageBreak/>
        <w:drawing>
          <wp:inline distT="0" distB="0" distL="0" distR="0">
            <wp:extent cx="4438650" cy="31623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a:srcRect/>
                    <a:stretch>
                      <a:fillRect/>
                    </a:stretch>
                  </pic:blipFill>
                  <pic:spPr bwMode="auto">
                    <a:xfrm>
                      <a:off x="0" y="0"/>
                      <a:ext cx="4438650" cy="3162300"/>
                    </a:xfrm>
                    <a:prstGeom prst="rect">
                      <a:avLst/>
                    </a:prstGeom>
                    <a:noFill/>
                    <a:ln w="9525">
                      <a:noFill/>
                      <a:miter lim="800000"/>
                      <a:headEnd/>
                      <a:tailEnd/>
                    </a:ln>
                  </pic:spPr>
                </pic:pic>
              </a:graphicData>
            </a:graphic>
          </wp:inline>
        </w:drawing>
      </w:r>
    </w:p>
    <w:p w:rsidR="00E31F54" w:rsidRPr="007F5722" w:rsidRDefault="00E31F54" w:rsidP="00E31F54">
      <w:pPr>
        <w:shd w:val="clear" w:color="auto" w:fill="FFFFFF"/>
        <w:spacing w:after="0" w:line="360" w:lineRule="auto"/>
        <w:ind w:firstLine="709"/>
        <w:jc w:val="both"/>
        <w:rPr>
          <w:rFonts w:ascii="Times New Roman" w:hAnsi="Times New Roman"/>
          <w:sz w:val="28"/>
          <w:szCs w:val="28"/>
        </w:rPr>
      </w:pPr>
      <w:r w:rsidRPr="007F5722">
        <w:rPr>
          <w:rFonts w:ascii="Times New Roman" w:hAnsi="Times New Roman"/>
          <w:sz w:val="28"/>
          <w:szCs w:val="28"/>
        </w:rPr>
        <w:t>Рис.3.3.</w:t>
      </w:r>
      <w:r w:rsidR="00F251A8" w:rsidRPr="007F5722">
        <w:rPr>
          <w:rFonts w:ascii="Times New Roman" w:hAnsi="Times New Roman"/>
          <w:sz w:val="28"/>
          <w:szCs w:val="28"/>
        </w:rPr>
        <w:t>2</w:t>
      </w:r>
      <w:r w:rsidRPr="007F5722">
        <w:rPr>
          <w:rFonts w:ascii="Times New Roman" w:hAnsi="Times New Roman"/>
          <w:sz w:val="28"/>
          <w:szCs w:val="28"/>
        </w:rPr>
        <w:t>. Результати кластеризації хворих на ГХ відповідно до значень рівня інтерлейкіну-22 та аполіпопротеїну В.</w:t>
      </w:r>
    </w:p>
    <w:p w:rsidR="00E31F54" w:rsidRPr="007F5722" w:rsidRDefault="00E31F54" w:rsidP="00E31F54">
      <w:pPr>
        <w:spacing w:after="0" w:line="360" w:lineRule="auto"/>
        <w:ind w:firstLine="709"/>
        <w:jc w:val="both"/>
        <w:rPr>
          <w:rFonts w:ascii="Times New Roman" w:hAnsi="Times New Roman"/>
          <w:sz w:val="28"/>
          <w:szCs w:val="28"/>
        </w:rPr>
      </w:pPr>
      <w:r w:rsidRPr="007F5722">
        <w:rPr>
          <w:rFonts w:ascii="Times New Roman" w:hAnsi="Times New Roman"/>
          <w:sz w:val="28"/>
          <w:szCs w:val="28"/>
        </w:rPr>
        <w:t>1 кластер склали пацієнти з найнижчими показниками ІЛ-22 та Апо В, до 2 кластеру увійшли пацієнти з найвищими рівнями ІЛ-22 та Апо В. 3 і 4 кластери склали пацієнти з проміжними рівнями ІЛ-22 та Апо В.</w:t>
      </w:r>
    </w:p>
    <w:p w:rsidR="00E31F54" w:rsidRPr="007F5722" w:rsidRDefault="00E31F54" w:rsidP="00E31F54">
      <w:pPr>
        <w:shd w:val="clear" w:color="auto" w:fill="FFFFFF"/>
        <w:spacing w:after="0" w:line="360" w:lineRule="auto"/>
        <w:ind w:firstLine="709"/>
        <w:jc w:val="both"/>
        <w:rPr>
          <w:rFonts w:ascii="Times New Roman" w:hAnsi="Times New Roman"/>
          <w:sz w:val="28"/>
          <w:szCs w:val="28"/>
        </w:rPr>
      </w:pPr>
      <w:r w:rsidRPr="007F5722">
        <w:rPr>
          <w:rFonts w:ascii="Times New Roman" w:hAnsi="Times New Roman"/>
          <w:sz w:val="28"/>
          <w:szCs w:val="28"/>
        </w:rPr>
        <w:t xml:space="preserve">Характеристика пацієнтів 1 кластеру: рівні САТ та ДАТ, ІМТ та ОТ характеризувалися нормальними значеннями, показники ліпідного спектру не перевищували нормативних показників, рівень КІМ також знаходився в межах норми (Табл. </w:t>
      </w:r>
      <w:r w:rsidR="001E2A57" w:rsidRPr="007F5722">
        <w:rPr>
          <w:rFonts w:ascii="Times New Roman" w:hAnsi="Times New Roman"/>
          <w:sz w:val="28"/>
          <w:szCs w:val="28"/>
          <w:lang w:val="ru-RU"/>
        </w:rPr>
        <w:t>3.3.</w:t>
      </w:r>
      <w:r w:rsidR="00670502">
        <w:rPr>
          <w:rFonts w:ascii="Times New Roman" w:hAnsi="Times New Roman"/>
          <w:sz w:val="28"/>
          <w:szCs w:val="28"/>
        </w:rPr>
        <w:t>9</w:t>
      </w:r>
      <w:r w:rsidRPr="007F5722">
        <w:rPr>
          <w:rFonts w:ascii="Times New Roman" w:hAnsi="Times New Roman"/>
          <w:sz w:val="28"/>
          <w:szCs w:val="28"/>
        </w:rPr>
        <w:t>). У 2 кластері до якого увійшли пацієнти з найвищими рівнями ІЛ-22 та Апо В спостерігалось підвищення САТ до 140 (140; 150) мм рт.ст. при нормальному ДАТ 80 (80; 90) мм рт.ст., спостерігалось значне збільшення ІМТ та ОТ. Показники ліпідного обміну в даному кластері демонстрували проатерогенні зміни, так підвищувався рівень ЗХС вище цільових значень для даної когорти 6,67 (5,65; 7,36) ммоль/л, рівень ТГ також перевищує порогові значення 2,11 (1,85; 2,87) ммоль/л, та значно підвищується рівень ХС ЛПНЩ з медіаною 4,90 (4,64; 5,37) ммоль/л, при тому рівень ХС ЛПДНЩ і ХС ЛПВЩ у пацієнтів 2 кластеру залишається в межах варіативної норми.</w:t>
      </w:r>
    </w:p>
    <w:p w:rsidR="00100624" w:rsidRPr="007F5722" w:rsidRDefault="00100624" w:rsidP="00E31F54">
      <w:pPr>
        <w:spacing w:after="0" w:line="360" w:lineRule="auto"/>
        <w:ind w:firstLine="709"/>
        <w:jc w:val="both"/>
        <w:rPr>
          <w:rFonts w:ascii="Times New Roman" w:hAnsi="Times New Roman"/>
          <w:sz w:val="28"/>
          <w:szCs w:val="28"/>
        </w:rPr>
      </w:pPr>
    </w:p>
    <w:p w:rsidR="00100624" w:rsidRPr="007F5722" w:rsidRDefault="00E31F54" w:rsidP="00100624">
      <w:pPr>
        <w:spacing w:after="0" w:line="360" w:lineRule="auto"/>
        <w:ind w:firstLine="709"/>
        <w:jc w:val="right"/>
        <w:rPr>
          <w:rFonts w:ascii="Times New Roman" w:hAnsi="Times New Roman"/>
          <w:sz w:val="28"/>
          <w:szCs w:val="28"/>
        </w:rPr>
      </w:pPr>
      <w:r w:rsidRPr="007F5722">
        <w:rPr>
          <w:rFonts w:ascii="Times New Roman" w:hAnsi="Times New Roman"/>
          <w:sz w:val="28"/>
          <w:szCs w:val="28"/>
        </w:rPr>
        <w:lastRenderedPageBreak/>
        <w:t>Таблиця 3.3.</w:t>
      </w:r>
      <w:r w:rsidR="00670502">
        <w:rPr>
          <w:rFonts w:ascii="Times New Roman" w:hAnsi="Times New Roman"/>
          <w:sz w:val="28"/>
          <w:szCs w:val="28"/>
        </w:rPr>
        <w:t>9</w:t>
      </w:r>
    </w:p>
    <w:p w:rsidR="00E31F54" w:rsidRPr="007F5722" w:rsidRDefault="00E31F54" w:rsidP="003D5B03">
      <w:pPr>
        <w:spacing w:after="0" w:line="360" w:lineRule="auto"/>
        <w:ind w:firstLine="709"/>
        <w:jc w:val="center"/>
        <w:rPr>
          <w:rFonts w:ascii="Times New Roman" w:hAnsi="Times New Roman"/>
          <w:sz w:val="28"/>
          <w:szCs w:val="28"/>
        </w:rPr>
      </w:pPr>
      <w:r w:rsidRPr="007F5722">
        <w:rPr>
          <w:rFonts w:ascii="Times New Roman" w:hAnsi="Times New Roman"/>
          <w:sz w:val="28"/>
          <w:szCs w:val="28"/>
        </w:rPr>
        <w:t>Загальна характеристика гемодинамічних, антропометричних, ліпідних показників і комплексу інтима-медіа в кластерах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7"/>
        <w:gridCol w:w="1951"/>
        <w:gridCol w:w="27"/>
        <w:gridCol w:w="1812"/>
        <w:gridCol w:w="21"/>
        <w:gridCol w:w="1831"/>
        <w:gridCol w:w="9"/>
        <w:gridCol w:w="1833"/>
      </w:tblGrid>
      <w:tr w:rsidR="00E31F54" w:rsidRPr="007F5722" w:rsidTr="00E31F54">
        <w:tc>
          <w:tcPr>
            <w:tcW w:w="1899" w:type="dxa"/>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Показники</w:t>
            </w:r>
          </w:p>
        </w:tc>
        <w:tc>
          <w:tcPr>
            <w:tcW w:w="1988" w:type="dxa"/>
            <w:gridSpan w:val="3"/>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Кластер 1</w:t>
            </w:r>
          </w:p>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lang w:val="en-US"/>
              </w:rPr>
              <w:t>N=</w:t>
            </w:r>
            <w:r w:rsidRPr="007F5722">
              <w:rPr>
                <w:rFonts w:ascii="Times New Roman" w:hAnsi="Times New Roman"/>
                <w:sz w:val="28"/>
                <w:szCs w:val="28"/>
              </w:rPr>
              <w:t>21</w:t>
            </w:r>
          </w:p>
        </w:tc>
        <w:tc>
          <w:tcPr>
            <w:tcW w:w="1895" w:type="dxa"/>
            <w:gridSpan w:val="2"/>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Кластер 2</w:t>
            </w:r>
          </w:p>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lang w:val="en-US"/>
              </w:rPr>
              <w:t>N=</w:t>
            </w:r>
            <w:r w:rsidRPr="007F5722">
              <w:rPr>
                <w:rFonts w:ascii="Times New Roman" w:hAnsi="Times New Roman"/>
                <w:sz w:val="28"/>
                <w:szCs w:val="28"/>
              </w:rPr>
              <w:t>20</w:t>
            </w:r>
          </w:p>
        </w:tc>
        <w:tc>
          <w:tcPr>
            <w:tcW w:w="1893" w:type="dxa"/>
            <w:gridSpan w:val="2"/>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Кластер 3</w:t>
            </w:r>
          </w:p>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lang w:val="en-US"/>
              </w:rPr>
              <w:t>N=</w:t>
            </w:r>
            <w:r w:rsidRPr="007F5722">
              <w:rPr>
                <w:rFonts w:ascii="Times New Roman" w:hAnsi="Times New Roman"/>
                <w:sz w:val="28"/>
                <w:szCs w:val="28"/>
              </w:rPr>
              <w:t>23</w:t>
            </w:r>
          </w:p>
        </w:tc>
        <w:tc>
          <w:tcPr>
            <w:tcW w:w="1896" w:type="dxa"/>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Кластер 4</w:t>
            </w:r>
          </w:p>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lang w:val="en-US"/>
              </w:rPr>
              <w:t>N=</w:t>
            </w:r>
            <w:r w:rsidRPr="007F5722">
              <w:rPr>
                <w:rFonts w:ascii="Times New Roman" w:hAnsi="Times New Roman"/>
                <w:sz w:val="28"/>
                <w:szCs w:val="28"/>
              </w:rPr>
              <w:t>20</w:t>
            </w:r>
          </w:p>
        </w:tc>
      </w:tr>
      <w:tr w:rsidR="00E31F54" w:rsidRPr="007F5722" w:rsidTr="00E31F54">
        <w:tc>
          <w:tcPr>
            <w:tcW w:w="1899" w:type="dxa"/>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lang w:val="en-US"/>
              </w:rPr>
              <w:t>C</w:t>
            </w:r>
            <w:r w:rsidRPr="007F5722">
              <w:rPr>
                <w:rFonts w:ascii="Times New Roman" w:hAnsi="Times New Roman"/>
                <w:sz w:val="28"/>
                <w:szCs w:val="28"/>
              </w:rPr>
              <w:t>АД, мм рт.ст.</w:t>
            </w:r>
          </w:p>
        </w:tc>
        <w:tc>
          <w:tcPr>
            <w:tcW w:w="1988" w:type="dxa"/>
            <w:gridSpan w:val="3"/>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120 (120; 150)</w:t>
            </w:r>
          </w:p>
        </w:tc>
        <w:tc>
          <w:tcPr>
            <w:tcW w:w="1895" w:type="dxa"/>
            <w:gridSpan w:val="2"/>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140 (140; 150)</w:t>
            </w:r>
          </w:p>
        </w:tc>
        <w:tc>
          <w:tcPr>
            <w:tcW w:w="1893" w:type="dxa"/>
            <w:gridSpan w:val="2"/>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160 (150; 165)</w:t>
            </w:r>
          </w:p>
        </w:tc>
        <w:tc>
          <w:tcPr>
            <w:tcW w:w="1896" w:type="dxa"/>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130 (130; 140)</w:t>
            </w:r>
          </w:p>
        </w:tc>
      </w:tr>
      <w:tr w:rsidR="00E31F54" w:rsidRPr="007F5722" w:rsidTr="00E31F54">
        <w:tc>
          <w:tcPr>
            <w:tcW w:w="1899" w:type="dxa"/>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ДАД, мм рт.ст.</w:t>
            </w:r>
          </w:p>
        </w:tc>
        <w:tc>
          <w:tcPr>
            <w:tcW w:w="1988" w:type="dxa"/>
            <w:gridSpan w:val="3"/>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80 (80; 90)</w:t>
            </w:r>
          </w:p>
        </w:tc>
        <w:tc>
          <w:tcPr>
            <w:tcW w:w="1895" w:type="dxa"/>
            <w:gridSpan w:val="2"/>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80 (80; 90)</w:t>
            </w:r>
          </w:p>
        </w:tc>
        <w:tc>
          <w:tcPr>
            <w:tcW w:w="1893" w:type="dxa"/>
            <w:gridSpan w:val="2"/>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100 (90; 100)</w:t>
            </w:r>
          </w:p>
        </w:tc>
        <w:tc>
          <w:tcPr>
            <w:tcW w:w="1896" w:type="dxa"/>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80 (80; 80)</w:t>
            </w:r>
          </w:p>
        </w:tc>
      </w:tr>
      <w:tr w:rsidR="00E31F54" w:rsidRPr="007F5722" w:rsidTr="00E31F54">
        <w:tc>
          <w:tcPr>
            <w:tcW w:w="1899" w:type="dxa"/>
          </w:tcPr>
          <w:p w:rsidR="00E31F54" w:rsidRPr="007F5722" w:rsidRDefault="00E31F54" w:rsidP="001E2A57">
            <w:pPr>
              <w:spacing w:after="0" w:line="240" w:lineRule="auto"/>
              <w:rPr>
                <w:rFonts w:ascii="Times New Roman" w:hAnsi="Times New Roman"/>
                <w:sz w:val="28"/>
                <w:szCs w:val="28"/>
                <w:vertAlign w:val="superscript"/>
              </w:rPr>
            </w:pPr>
            <w:r w:rsidRPr="007F5722">
              <w:rPr>
                <w:rFonts w:ascii="Times New Roman" w:hAnsi="Times New Roman"/>
                <w:sz w:val="28"/>
                <w:szCs w:val="28"/>
              </w:rPr>
              <w:t>ІМТ, кг/м</w:t>
            </w:r>
            <w:r w:rsidRPr="007F5722">
              <w:rPr>
                <w:rFonts w:ascii="Times New Roman" w:hAnsi="Times New Roman"/>
                <w:sz w:val="28"/>
                <w:szCs w:val="28"/>
                <w:vertAlign w:val="superscript"/>
              </w:rPr>
              <w:t>2</w:t>
            </w:r>
          </w:p>
        </w:tc>
        <w:tc>
          <w:tcPr>
            <w:tcW w:w="1988" w:type="dxa"/>
            <w:gridSpan w:val="3"/>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23 (21; 29)</w:t>
            </w:r>
          </w:p>
        </w:tc>
        <w:tc>
          <w:tcPr>
            <w:tcW w:w="1895" w:type="dxa"/>
            <w:gridSpan w:val="2"/>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31 (28; 36)</w:t>
            </w:r>
          </w:p>
        </w:tc>
        <w:tc>
          <w:tcPr>
            <w:tcW w:w="1893" w:type="dxa"/>
            <w:gridSpan w:val="2"/>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29 (27; 34)</w:t>
            </w:r>
          </w:p>
        </w:tc>
        <w:tc>
          <w:tcPr>
            <w:tcW w:w="1896" w:type="dxa"/>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28 (25; 30)</w:t>
            </w:r>
          </w:p>
        </w:tc>
      </w:tr>
      <w:tr w:rsidR="00E31F54" w:rsidRPr="007F5722" w:rsidTr="00E31F54">
        <w:tc>
          <w:tcPr>
            <w:tcW w:w="1899" w:type="dxa"/>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ОТ, см</w:t>
            </w:r>
          </w:p>
        </w:tc>
        <w:tc>
          <w:tcPr>
            <w:tcW w:w="1988" w:type="dxa"/>
            <w:gridSpan w:val="3"/>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80 (70; 92)</w:t>
            </w:r>
          </w:p>
        </w:tc>
        <w:tc>
          <w:tcPr>
            <w:tcW w:w="1895" w:type="dxa"/>
            <w:gridSpan w:val="2"/>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97 (91,5; 109)</w:t>
            </w:r>
          </w:p>
        </w:tc>
        <w:tc>
          <w:tcPr>
            <w:tcW w:w="1893" w:type="dxa"/>
            <w:gridSpan w:val="2"/>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97 (89; 112)</w:t>
            </w:r>
          </w:p>
        </w:tc>
        <w:tc>
          <w:tcPr>
            <w:tcW w:w="1896" w:type="dxa"/>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94 (89; 97)</w:t>
            </w:r>
          </w:p>
        </w:tc>
      </w:tr>
      <w:tr w:rsidR="00E31F54" w:rsidRPr="007F5722" w:rsidTr="00E31F54">
        <w:tc>
          <w:tcPr>
            <w:tcW w:w="1899" w:type="dxa"/>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ЗХС, ммоль/л</w:t>
            </w:r>
          </w:p>
        </w:tc>
        <w:tc>
          <w:tcPr>
            <w:tcW w:w="1988" w:type="dxa"/>
            <w:gridSpan w:val="3"/>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5,2 (4,5; 6,2)</w:t>
            </w:r>
          </w:p>
        </w:tc>
        <w:tc>
          <w:tcPr>
            <w:tcW w:w="1895" w:type="dxa"/>
            <w:gridSpan w:val="2"/>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6,67 (5,65; 7,36)</w:t>
            </w:r>
          </w:p>
        </w:tc>
        <w:tc>
          <w:tcPr>
            <w:tcW w:w="1893" w:type="dxa"/>
            <w:gridSpan w:val="2"/>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5,80 (4,76; 6,60)</w:t>
            </w:r>
          </w:p>
        </w:tc>
        <w:tc>
          <w:tcPr>
            <w:tcW w:w="1896" w:type="dxa"/>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5,97 (4,93; 6,90)</w:t>
            </w:r>
          </w:p>
        </w:tc>
      </w:tr>
      <w:tr w:rsidR="00E31F54" w:rsidRPr="007F5722" w:rsidTr="00E31F54">
        <w:tc>
          <w:tcPr>
            <w:tcW w:w="1899" w:type="dxa"/>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ТГ, ммольл</w:t>
            </w:r>
          </w:p>
        </w:tc>
        <w:tc>
          <w:tcPr>
            <w:tcW w:w="1988" w:type="dxa"/>
            <w:gridSpan w:val="3"/>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1,87(1,69;2,20)</w:t>
            </w:r>
          </w:p>
        </w:tc>
        <w:tc>
          <w:tcPr>
            <w:tcW w:w="1895" w:type="dxa"/>
            <w:gridSpan w:val="2"/>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2,11 (1,85; 2,87)</w:t>
            </w:r>
          </w:p>
        </w:tc>
        <w:tc>
          <w:tcPr>
            <w:tcW w:w="1893" w:type="dxa"/>
            <w:gridSpan w:val="2"/>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2,09 (1,75; 2,24)</w:t>
            </w:r>
          </w:p>
        </w:tc>
        <w:tc>
          <w:tcPr>
            <w:tcW w:w="1896" w:type="dxa"/>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1,94 (1,56; 2,07)</w:t>
            </w:r>
          </w:p>
        </w:tc>
      </w:tr>
      <w:tr w:rsidR="00E31F54" w:rsidRPr="007F5722" w:rsidTr="00E31F54">
        <w:tc>
          <w:tcPr>
            <w:tcW w:w="1899" w:type="dxa"/>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ХС ЛПНЩ, ммоль/л</w:t>
            </w:r>
          </w:p>
        </w:tc>
        <w:tc>
          <w:tcPr>
            <w:tcW w:w="1988" w:type="dxa"/>
            <w:gridSpan w:val="3"/>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3,01(2,31;3,47)</w:t>
            </w:r>
          </w:p>
        </w:tc>
        <w:tc>
          <w:tcPr>
            <w:tcW w:w="1895" w:type="dxa"/>
            <w:gridSpan w:val="2"/>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4,90 (4,64; 5,37)</w:t>
            </w:r>
          </w:p>
        </w:tc>
        <w:tc>
          <w:tcPr>
            <w:tcW w:w="1893" w:type="dxa"/>
            <w:gridSpan w:val="2"/>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3,90 (3,75; 4,60)</w:t>
            </w:r>
          </w:p>
        </w:tc>
        <w:tc>
          <w:tcPr>
            <w:tcW w:w="1896" w:type="dxa"/>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4,31(2,68; 4,71)</w:t>
            </w:r>
          </w:p>
        </w:tc>
      </w:tr>
      <w:tr w:rsidR="00E31F54" w:rsidRPr="007F5722" w:rsidTr="00E31F54">
        <w:tc>
          <w:tcPr>
            <w:tcW w:w="1899" w:type="dxa"/>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ХС ЛПДНЩ, ммоль/л</w:t>
            </w:r>
          </w:p>
        </w:tc>
        <w:tc>
          <w:tcPr>
            <w:tcW w:w="1988" w:type="dxa"/>
            <w:gridSpan w:val="3"/>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0,85(0,76;1,00)</w:t>
            </w:r>
          </w:p>
        </w:tc>
        <w:tc>
          <w:tcPr>
            <w:tcW w:w="1895" w:type="dxa"/>
            <w:gridSpan w:val="2"/>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0,96(0,84; 1,30)</w:t>
            </w:r>
          </w:p>
        </w:tc>
        <w:tc>
          <w:tcPr>
            <w:tcW w:w="1893" w:type="dxa"/>
            <w:gridSpan w:val="2"/>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0,95 (0,79; 1,01)</w:t>
            </w:r>
          </w:p>
        </w:tc>
        <w:tc>
          <w:tcPr>
            <w:tcW w:w="1896" w:type="dxa"/>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0,88(0,71; 0,94)</w:t>
            </w:r>
          </w:p>
          <w:p w:rsidR="00E31F54" w:rsidRPr="007F5722" w:rsidRDefault="00E31F54" w:rsidP="001E2A57">
            <w:pPr>
              <w:spacing w:after="0" w:line="240" w:lineRule="auto"/>
              <w:rPr>
                <w:rFonts w:ascii="Times New Roman" w:hAnsi="Times New Roman"/>
                <w:sz w:val="28"/>
                <w:szCs w:val="28"/>
              </w:rPr>
            </w:pPr>
          </w:p>
        </w:tc>
      </w:tr>
      <w:tr w:rsidR="00E31F54" w:rsidRPr="007F5722" w:rsidTr="00E31F54">
        <w:tc>
          <w:tcPr>
            <w:tcW w:w="1899" w:type="dxa"/>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ХС не-ЛВПЩ</w:t>
            </w:r>
          </w:p>
        </w:tc>
        <w:tc>
          <w:tcPr>
            <w:tcW w:w="1988" w:type="dxa"/>
            <w:gridSpan w:val="3"/>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3,8 (2,9; 5,1)</w:t>
            </w:r>
          </w:p>
        </w:tc>
        <w:tc>
          <w:tcPr>
            <w:tcW w:w="1895" w:type="dxa"/>
            <w:gridSpan w:val="2"/>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5,4 (4,6; 6,6)</w:t>
            </w:r>
          </w:p>
        </w:tc>
        <w:tc>
          <w:tcPr>
            <w:tcW w:w="1893" w:type="dxa"/>
            <w:gridSpan w:val="2"/>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4,65 (3,7; 5,5)</w:t>
            </w:r>
          </w:p>
        </w:tc>
        <w:tc>
          <w:tcPr>
            <w:tcW w:w="1896" w:type="dxa"/>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4,65 (3,6; 5,6)</w:t>
            </w:r>
          </w:p>
        </w:tc>
      </w:tr>
      <w:tr w:rsidR="00E31F54" w:rsidRPr="007F5722" w:rsidTr="00E31F54">
        <w:tc>
          <w:tcPr>
            <w:tcW w:w="1906" w:type="dxa"/>
            <w:gridSpan w:val="2"/>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ХС ЛПВЩ, ммоль/л</w:t>
            </w:r>
          </w:p>
        </w:tc>
        <w:tc>
          <w:tcPr>
            <w:tcW w:w="1951" w:type="dxa"/>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1,42(1,09;1,67)</w:t>
            </w:r>
          </w:p>
        </w:tc>
        <w:tc>
          <w:tcPr>
            <w:tcW w:w="1904" w:type="dxa"/>
            <w:gridSpan w:val="2"/>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1,05 (0,86; 1,34)</w:t>
            </w:r>
          </w:p>
        </w:tc>
        <w:tc>
          <w:tcPr>
            <w:tcW w:w="1905" w:type="dxa"/>
            <w:gridSpan w:val="2"/>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1,05 (0,87;1,26)</w:t>
            </w:r>
          </w:p>
        </w:tc>
        <w:tc>
          <w:tcPr>
            <w:tcW w:w="1905" w:type="dxa"/>
            <w:gridSpan w:val="2"/>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1,30(0,93; 1,76)</w:t>
            </w:r>
          </w:p>
        </w:tc>
      </w:tr>
      <w:tr w:rsidR="00E31F54" w:rsidRPr="007F5722" w:rsidTr="00E31F54">
        <w:tc>
          <w:tcPr>
            <w:tcW w:w="1906" w:type="dxa"/>
            <w:gridSpan w:val="2"/>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КІМ, мм</w:t>
            </w:r>
          </w:p>
        </w:tc>
        <w:tc>
          <w:tcPr>
            <w:tcW w:w="1951" w:type="dxa"/>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0,9 (0,8; 0,9)</w:t>
            </w:r>
          </w:p>
        </w:tc>
        <w:tc>
          <w:tcPr>
            <w:tcW w:w="1904" w:type="dxa"/>
            <w:gridSpan w:val="2"/>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1,1 (1,0; 1,15)</w:t>
            </w:r>
          </w:p>
        </w:tc>
        <w:tc>
          <w:tcPr>
            <w:tcW w:w="1905" w:type="dxa"/>
            <w:gridSpan w:val="2"/>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1,0 (0,9; 1,1)</w:t>
            </w:r>
          </w:p>
        </w:tc>
        <w:tc>
          <w:tcPr>
            <w:tcW w:w="1905" w:type="dxa"/>
            <w:gridSpan w:val="2"/>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1,0 (0,85; 1,0)</w:t>
            </w:r>
          </w:p>
        </w:tc>
      </w:tr>
      <w:tr w:rsidR="00E31F54" w:rsidRPr="007F5722" w:rsidTr="00E31F54">
        <w:tc>
          <w:tcPr>
            <w:tcW w:w="1906" w:type="dxa"/>
            <w:gridSpan w:val="2"/>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lang w:val="en-US"/>
              </w:rPr>
              <w:t xml:space="preserve">D </w:t>
            </w:r>
            <w:r w:rsidRPr="007F5722">
              <w:rPr>
                <w:rFonts w:ascii="Times New Roman" w:hAnsi="Times New Roman"/>
                <w:sz w:val="28"/>
                <w:szCs w:val="28"/>
              </w:rPr>
              <w:t>ЗСА, мм</w:t>
            </w:r>
          </w:p>
        </w:tc>
        <w:tc>
          <w:tcPr>
            <w:tcW w:w="1951" w:type="dxa"/>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7,1 (6,6; 7,4)</w:t>
            </w:r>
          </w:p>
        </w:tc>
        <w:tc>
          <w:tcPr>
            <w:tcW w:w="1904" w:type="dxa"/>
            <w:gridSpan w:val="2"/>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5,8 (5,2; 6,8)</w:t>
            </w:r>
          </w:p>
        </w:tc>
        <w:tc>
          <w:tcPr>
            <w:tcW w:w="1905" w:type="dxa"/>
            <w:gridSpan w:val="2"/>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6,0 (5,5; 6,4)</w:t>
            </w:r>
          </w:p>
        </w:tc>
        <w:tc>
          <w:tcPr>
            <w:tcW w:w="1905" w:type="dxa"/>
            <w:gridSpan w:val="2"/>
          </w:tcPr>
          <w:p w:rsidR="00E31F54" w:rsidRPr="007F5722" w:rsidRDefault="00E31F54" w:rsidP="001E2A57">
            <w:pPr>
              <w:spacing w:after="0" w:line="240" w:lineRule="auto"/>
              <w:rPr>
                <w:rFonts w:ascii="Times New Roman" w:hAnsi="Times New Roman"/>
                <w:sz w:val="28"/>
                <w:szCs w:val="28"/>
              </w:rPr>
            </w:pPr>
            <w:r w:rsidRPr="007F5722">
              <w:rPr>
                <w:rFonts w:ascii="Times New Roman" w:hAnsi="Times New Roman"/>
                <w:sz w:val="28"/>
                <w:szCs w:val="28"/>
              </w:rPr>
              <w:t>5,7 (5,4; 6,5)</w:t>
            </w:r>
          </w:p>
        </w:tc>
      </w:tr>
    </w:tbl>
    <w:p w:rsidR="00E31F54" w:rsidRPr="007F5722" w:rsidRDefault="00E31F54" w:rsidP="00E31F54">
      <w:pPr>
        <w:shd w:val="clear" w:color="auto" w:fill="FFFFFF"/>
        <w:spacing w:after="0" w:line="360" w:lineRule="auto"/>
        <w:ind w:firstLine="709"/>
        <w:jc w:val="both"/>
        <w:rPr>
          <w:rFonts w:ascii="Times New Roman" w:hAnsi="Times New Roman"/>
          <w:sz w:val="28"/>
          <w:szCs w:val="28"/>
        </w:rPr>
      </w:pPr>
    </w:p>
    <w:p w:rsidR="00E31F54" w:rsidRPr="007F5722" w:rsidRDefault="00E31F54" w:rsidP="00E31F54">
      <w:pPr>
        <w:shd w:val="clear" w:color="auto" w:fill="FFFFFF"/>
        <w:spacing w:after="0" w:line="360" w:lineRule="auto"/>
        <w:ind w:firstLine="709"/>
        <w:jc w:val="both"/>
        <w:rPr>
          <w:rFonts w:ascii="Times New Roman" w:hAnsi="Times New Roman"/>
          <w:sz w:val="28"/>
          <w:szCs w:val="28"/>
        </w:rPr>
      </w:pPr>
      <w:r w:rsidRPr="007F5722">
        <w:rPr>
          <w:rFonts w:ascii="Times New Roman" w:hAnsi="Times New Roman"/>
          <w:sz w:val="28"/>
          <w:szCs w:val="28"/>
        </w:rPr>
        <w:t>На фоні підвищених рівнів АТ, ІМТ та ОТ та атерогенної дисліпідемії у пацієнтів даного кластеру спостерігається перевищення нормальних показників КІМ 1,1 (1,0; 1,15) мм. Зміни КІМ на фоні хронічного гемодинамічного навантаження високим артеріальним тиском та атерогенної дисліпідемії, що індукована підвищеною активністю ІЛ-22 (основа формування кластера) можна пояснити тим, що оксидантний стрес потенцiює процеси запалення у судинній стiнцi, що призводить до посилення фiброзування судин, пролiферацiї гладком’язових клiтин на тлi зниженої ендотелiйзалежної вазодилатацiї, що поступово призводе до погiршення еластичних властивостей артерiй i збiльшення їх жорсткості.</w:t>
      </w:r>
    </w:p>
    <w:p w:rsidR="00E31F54" w:rsidRPr="007F5722" w:rsidRDefault="00E31F54" w:rsidP="00100624">
      <w:pPr>
        <w:shd w:val="clear" w:color="auto" w:fill="FFFFFF"/>
        <w:spacing w:after="0" w:line="360" w:lineRule="auto"/>
        <w:ind w:firstLine="709"/>
        <w:jc w:val="both"/>
        <w:rPr>
          <w:rFonts w:ascii="Times New Roman" w:hAnsi="Times New Roman"/>
          <w:sz w:val="28"/>
          <w:szCs w:val="28"/>
        </w:rPr>
      </w:pPr>
      <w:r w:rsidRPr="007F5722">
        <w:rPr>
          <w:rFonts w:ascii="Times New Roman" w:hAnsi="Times New Roman"/>
          <w:sz w:val="28"/>
          <w:szCs w:val="28"/>
        </w:rPr>
        <w:lastRenderedPageBreak/>
        <w:t>При аналізі показників 3 та 4 кластеру (с проміжними цифрами ІЛ-22 та Апо В) найбільш значущі відмінності були зареєстровані в 3 кластері. Пацієнти цього кластеру мали найвищі рівні САТ і ДАТ - 160 (150; 165) і 100 (90; 100) відповідно. Показники ліпідного спектру характеризувалися тенденцією до збільшення вище нормальних значень ЗХС, ТГ та ХС ЛПНЩ</w:t>
      </w:r>
      <w:r w:rsidR="00100624" w:rsidRPr="007F5722">
        <w:rPr>
          <w:rFonts w:ascii="Times New Roman" w:hAnsi="Times New Roman"/>
          <w:sz w:val="28"/>
          <w:szCs w:val="28"/>
        </w:rPr>
        <w:t xml:space="preserve">. Встановлені нами в 2 та 3 кластері ліпідні порушення у хворих з найвищими та проміжними рівнями ІЛ-22 та Апо В можливо відображають додаткову патогенетичну роль ліпідів у ремоделюванні судин. </w:t>
      </w:r>
    </w:p>
    <w:p w:rsidR="00100624" w:rsidRPr="007F5722" w:rsidRDefault="00100624" w:rsidP="00100624">
      <w:pPr>
        <w:spacing w:after="0" w:line="360" w:lineRule="auto"/>
        <w:ind w:firstLine="709"/>
        <w:jc w:val="both"/>
        <w:rPr>
          <w:rFonts w:ascii="Times New Roman" w:hAnsi="Times New Roman"/>
          <w:sz w:val="28"/>
          <w:szCs w:val="28"/>
        </w:rPr>
      </w:pPr>
      <w:r w:rsidRPr="007F5722">
        <w:rPr>
          <w:rFonts w:ascii="Times New Roman" w:hAnsi="Times New Roman"/>
          <w:sz w:val="28"/>
          <w:szCs w:val="28"/>
          <w:shd w:val="clear" w:color="auto" w:fill="FFFFFF"/>
        </w:rPr>
        <w:t>Задля більш детального розуміння особливостей ремоделювання судин, що були характерними для різних кластерів, було проаналізовано розподіл обстежених пацієнтів за класифікацією типів геометрії ЗСА за О.В. Агафоновим (табл.3.3.</w:t>
      </w:r>
      <w:r w:rsidR="00670502">
        <w:rPr>
          <w:rFonts w:ascii="Times New Roman" w:hAnsi="Times New Roman"/>
          <w:sz w:val="28"/>
          <w:szCs w:val="28"/>
          <w:shd w:val="clear" w:color="auto" w:fill="FFFFFF"/>
        </w:rPr>
        <w:t>10</w:t>
      </w:r>
      <w:r w:rsidRPr="007F5722">
        <w:rPr>
          <w:rFonts w:ascii="Times New Roman" w:hAnsi="Times New Roman"/>
          <w:sz w:val="28"/>
          <w:szCs w:val="28"/>
          <w:shd w:val="clear" w:color="auto" w:fill="FFFFFF"/>
        </w:rPr>
        <w:t>)</w:t>
      </w:r>
    </w:p>
    <w:p w:rsidR="00100624" w:rsidRPr="007F5722" w:rsidRDefault="00100624" w:rsidP="00100624">
      <w:pPr>
        <w:spacing w:after="0" w:line="360" w:lineRule="auto"/>
        <w:jc w:val="right"/>
        <w:rPr>
          <w:rFonts w:ascii="Times New Roman" w:hAnsi="Times New Roman"/>
          <w:sz w:val="28"/>
          <w:szCs w:val="28"/>
        </w:rPr>
      </w:pPr>
      <w:r w:rsidRPr="007F5722">
        <w:rPr>
          <w:rFonts w:ascii="Times New Roman" w:hAnsi="Times New Roman"/>
          <w:sz w:val="28"/>
          <w:szCs w:val="28"/>
        </w:rPr>
        <w:t>Таблиця 3.3.</w:t>
      </w:r>
      <w:r w:rsidR="00670502">
        <w:rPr>
          <w:rFonts w:ascii="Times New Roman" w:hAnsi="Times New Roman"/>
          <w:sz w:val="28"/>
          <w:szCs w:val="28"/>
        </w:rPr>
        <w:t>10</w:t>
      </w:r>
    </w:p>
    <w:p w:rsidR="00100624" w:rsidRPr="007F5722" w:rsidRDefault="00100624" w:rsidP="003D5B03">
      <w:pPr>
        <w:spacing w:after="0" w:line="360" w:lineRule="auto"/>
        <w:jc w:val="center"/>
        <w:rPr>
          <w:rFonts w:ascii="Times New Roman" w:hAnsi="Times New Roman"/>
          <w:i/>
          <w:sz w:val="28"/>
          <w:szCs w:val="28"/>
        </w:rPr>
      </w:pPr>
      <w:r w:rsidRPr="007F5722">
        <w:rPr>
          <w:rFonts w:ascii="Times New Roman" w:hAnsi="Times New Roman"/>
          <w:sz w:val="28"/>
          <w:szCs w:val="28"/>
        </w:rPr>
        <w:t>Кластерний аналіз типів геометрії загальних сонних артерій.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1529"/>
        <w:gridCol w:w="1658"/>
        <w:gridCol w:w="1789"/>
        <w:gridCol w:w="1756"/>
      </w:tblGrid>
      <w:tr w:rsidR="00100624" w:rsidRPr="007F5722" w:rsidTr="001E2A57">
        <w:tc>
          <w:tcPr>
            <w:tcW w:w="2659" w:type="dxa"/>
          </w:tcPr>
          <w:p w:rsidR="00100624" w:rsidRPr="007F5722" w:rsidRDefault="00100624" w:rsidP="001E2A57">
            <w:pPr>
              <w:spacing w:after="0" w:line="240" w:lineRule="auto"/>
              <w:rPr>
                <w:rFonts w:ascii="Times New Roman" w:hAnsi="Times New Roman"/>
                <w:sz w:val="28"/>
                <w:szCs w:val="28"/>
              </w:rPr>
            </w:pPr>
            <w:r w:rsidRPr="007F5722">
              <w:rPr>
                <w:rFonts w:ascii="Times New Roman" w:hAnsi="Times New Roman"/>
                <w:sz w:val="28"/>
                <w:szCs w:val="28"/>
              </w:rPr>
              <w:t>Типи геометрії загальних сонних артерій</w:t>
            </w:r>
          </w:p>
        </w:tc>
        <w:tc>
          <w:tcPr>
            <w:tcW w:w="1560" w:type="dxa"/>
          </w:tcPr>
          <w:p w:rsidR="00100624" w:rsidRPr="007F5722" w:rsidRDefault="00100624" w:rsidP="001E2A57">
            <w:pPr>
              <w:spacing w:after="0" w:line="360" w:lineRule="auto"/>
              <w:rPr>
                <w:rFonts w:ascii="Times New Roman" w:hAnsi="Times New Roman"/>
                <w:sz w:val="28"/>
                <w:szCs w:val="28"/>
                <w:lang w:val="en-US"/>
              </w:rPr>
            </w:pPr>
            <w:r w:rsidRPr="007F5722">
              <w:rPr>
                <w:rFonts w:ascii="Times New Roman" w:hAnsi="Times New Roman"/>
                <w:sz w:val="28"/>
                <w:szCs w:val="28"/>
              </w:rPr>
              <w:t>Кластер 1</w:t>
            </w:r>
          </w:p>
          <w:p w:rsidR="00100624" w:rsidRPr="007F5722" w:rsidRDefault="00100624" w:rsidP="001E2A57">
            <w:pPr>
              <w:spacing w:after="0" w:line="360" w:lineRule="auto"/>
              <w:rPr>
                <w:rFonts w:ascii="Times New Roman" w:hAnsi="Times New Roman"/>
                <w:sz w:val="28"/>
                <w:szCs w:val="28"/>
              </w:rPr>
            </w:pPr>
            <w:r w:rsidRPr="007F5722">
              <w:rPr>
                <w:rFonts w:ascii="Times New Roman" w:hAnsi="Times New Roman"/>
                <w:sz w:val="28"/>
                <w:szCs w:val="28"/>
                <w:lang w:val="en-US"/>
              </w:rPr>
              <w:t>N=</w:t>
            </w:r>
            <w:r w:rsidRPr="007F5722">
              <w:rPr>
                <w:rFonts w:ascii="Times New Roman" w:hAnsi="Times New Roman"/>
                <w:sz w:val="28"/>
                <w:szCs w:val="28"/>
              </w:rPr>
              <w:t>21</w:t>
            </w:r>
          </w:p>
        </w:tc>
        <w:tc>
          <w:tcPr>
            <w:tcW w:w="1701" w:type="dxa"/>
          </w:tcPr>
          <w:p w:rsidR="00100624" w:rsidRPr="007F5722" w:rsidRDefault="00100624" w:rsidP="001E2A57">
            <w:pPr>
              <w:spacing w:after="0" w:line="360" w:lineRule="auto"/>
              <w:rPr>
                <w:rFonts w:ascii="Times New Roman" w:hAnsi="Times New Roman"/>
                <w:sz w:val="28"/>
                <w:szCs w:val="28"/>
                <w:lang w:val="en-US"/>
              </w:rPr>
            </w:pPr>
            <w:r w:rsidRPr="007F5722">
              <w:rPr>
                <w:rFonts w:ascii="Times New Roman" w:hAnsi="Times New Roman"/>
                <w:sz w:val="28"/>
                <w:szCs w:val="28"/>
              </w:rPr>
              <w:t>Кластер 2</w:t>
            </w:r>
          </w:p>
          <w:p w:rsidR="00100624" w:rsidRPr="007F5722" w:rsidRDefault="00100624" w:rsidP="001E2A57">
            <w:pPr>
              <w:spacing w:after="0" w:line="360" w:lineRule="auto"/>
              <w:rPr>
                <w:rFonts w:ascii="Times New Roman" w:hAnsi="Times New Roman"/>
                <w:sz w:val="28"/>
                <w:szCs w:val="28"/>
              </w:rPr>
            </w:pPr>
            <w:r w:rsidRPr="007F5722">
              <w:rPr>
                <w:rFonts w:ascii="Times New Roman" w:hAnsi="Times New Roman"/>
                <w:sz w:val="28"/>
                <w:szCs w:val="28"/>
                <w:lang w:val="en-US"/>
              </w:rPr>
              <w:t>N=</w:t>
            </w:r>
            <w:r w:rsidRPr="007F5722">
              <w:rPr>
                <w:rFonts w:ascii="Times New Roman" w:hAnsi="Times New Roman"/>
                <w:sz w:val="28"/>
                <w:szCs w:val="28"/>
              </w:rPr>
              <w:t>20</w:t>
            </w:r>
          </w:p>
        </w:tc>
        <w:tc>
          <w:tcPr>
            <w:tcW w:w="1843" w:type="dxa"/>
          </w:tcPr>
          <w:p w:rsidR="00100624" w:rsidRPr="007F5722" w:rsidRDefault="00100624" w:rsidP="001E2A57">
            <w:pPr>
              <w:spacing w:after="0" w:line="360" w:lineRule="auto"/>
              <w:rPr>
                <w:rFonts w:ascii="Times New Roman" w:hAnsi="Times New Roman"/>
                <w:sz w:val="28"/>
                <w:szCs w:val="28"/>
                <w:lang w:val="en-US"/>
              </w:rPr>
            </w:pPr>
            <w:r w:rsidRPr="007F5722">
              <w:rPr>
                <w:rFonts w:ascii="Times New Roman" w:hAnsi="Times New Roman"/>
                <w:sz w:val="28"/>
                <w:szCs w:val="28"/>
              </w:rPr>
              <w:t>Кластер 3</w:t>
            </w:r>
          </w:p>
          <w:p w:rsidR="00100624" w:rsidRPr="007F5722" w:rsidRDefault="00100624" w:rsidP="001E2A57">
            <w:pPr>
              <w:spacing w:after="0" w:line="360" w:lineRule="auto"/>
              <w:rPr>
                <w:rFonts w:ascii="Times New Roman" w:hAnsi="Times New Roman"/>
                <w:sz w:val="28"/>
                <w:szCs w:val="28"/>
              </w:rPr>
            </w:pPr>
            <w:r w:rsidRPr="007F5722">
              <w:rPr>
                <w:rFonts w:ascii="Times New Roman" w:hAnsi="Times New Roman"/>
                <w:sz w:val="28"/>
                <w:szCs w:val="28"/>
                <w:lang w:val="en-US"/>
              </w:rPr>
              <w:t>N=</w:t>
            </w:r>
            <w:r w:rsidRPr="007F5722">
              <w:rPr>
                <w:rFonts w:ascii="Times New Roman" w:hAnsi="Times New Roman"/>
                <w:sz w:val="28"/>
                <w:szCs w:val="28"/>
              </w:rPr>
              <w:t>23</w:t>
            </w:r>
          </w:p>
        </w:tc>
        <w:tc>
          <w:tcPr>
            <w:tcW w:w="1808" w:type="dxa"/>
          </w:tcPr>
          <w:p w:rsidR="00100624" w:rsidRPr="007F5722" w:rsidRDefault="00100624" w:rsidP="001E2A57">
            <w:pPr>
              <w:spacing w:after="0" w:line="360" w:lineRule="auto"/>
              <w:rPr>
                <w:rFonts w:ascii="Times New Roman" w:hAnsi="Times New Roman"/>
                <w:sz w:val="28"/>
                <w:szCs w:val="28"/>
                <w:lang w:val="en-US"/>
              </w:rPr>
            </w:pPr>
            <w:r w:rsidRPr="007F5722">
              <w:rPr>
                <w:rFonts w:ascii="Times New Roman" w:hAnsi="Times New Roman"/>
                <w:sz w:val="28"/>
                <w:szCs w:val="28"/>
              </w:rPr>
              <w:t>Кластер 4</w:t>
            </w:r>
          </w:p>
          <w:p w:rsidR="00100624" w:rsidRPr="007F5722" w:rsidRDefault="00100624" w:rsidP="001E2A57">
            <w:pPr>
              <w:spacing w:after="0" w:line="360" w:lineRule="auto"/>
              <w:rPr>
                <w:rFonts w:ascii="Times New Roman" w:hAnsi="Times New Roman"/>
                <w:sz w:val="28"/>
                <w:szCs w:val="28"/>
              </w:rPr>
            </w:pPr>
            <w:r w:rsidRPr="007F5722">
              <w:rPr>
                <w:rFonts w:ascii="Times New Roman" w:hAnsi="Times New Roman"/>
                <w:sz w:val="28"/>
                <w:szCs w:val="28"/>
                <w:lang w:val="en-US"/>
              </w:rPr>
              <w:t>N=</w:t>
            </w:r>
            <w:r w:rsidRPr="007F5722">
              <w:rPr>
                <w:rFonts w:ascii="Times New Roman" w:hAnsi="Times New Roman"/>
                <w:sz w:val="28"/>
                <w:szCs w:val="28"/>
              </w:rPr>
              <w:t>20</w:t>
            </w:r>
          </w:p>
        </w:tc>
      </w:tr>
      <w:tr w:rsidR="00100624" w:rsidRPr="007F5722" w:rsidTr="001E2A57">
        <w:tc>
          <w:tcPr>
            <w:tcW w:w="2659" w:type="dxa"/>
          </w:tcPr>
          <w:p w:rsidR="00100624" w:rsidRPr="007F5722" w:rsidRDefault="00100624" w:rsidP="001E2A57">
            <w:pPr>
              <w:spacing w:after="0" w:line="240" w:lineRule="auto"/>
              <w:rPr>
                <w:rFonts w:ascii="Times New Roman" w:hAnsi="Times New Roman"/>
                <w:sz w:val="28"/>
                <w:szCs w:val="28"/>
              </w:rPr>
            </w:pPr>
            <w:r w:rsidRPr="007F5722">
              <w:rPr>
                <w:rFonts w:ascii="Times New Roman" w:hAnsi="Times New Roman"/>
                <w:sz w:val="28"/>
                <w:szCs w:val="28"/>
              </w:rPr>
              <w:t>Нормальна геометрія ЗСА, абс, (%)</w:t>
            </w:r>
          </w:p>
        </w:tc>
        <w:tc>
          <w:tcPr>
            <w:tcW w:w="1560" w:type="dxa"/>
          </w:tcPr>
          <w:p w:rsidR="00100624" w:rsidRPr="007F5722" w:rsidRDefault="00100624" w:rsidP="001E2A57">
            <w:pPr>
              <w:spacing w:after="0" w:line="360" w:lineRule="auto"/>
              <w:rPr>
                <w:rFonts w:ascii="Times New Roman" w:hAnsi="Times New Roman"/>
                <w:sz w:val="28"/>
                <w:szCs w:val="28"/>
              </w:rPr>
            </w:pPr>
            <w:r w:rsidRPr="007F5722">
              <w:rPr>
                <w:rFonts w:ascii="Times New Roman" w:hAnsi="Times New Roman"/>
                <w:sz w:val="28"/>
                <w:szCs w:val="28"/>
              </w:rPr>
              <w:t xml:space="preserve">18 (85,7) </w:t>
            </w:r>
          </w:p>
        </w:tc>
        <w:tc>
          <w:tcPr>
            <w:tcW w:w="1701" w:type="dxa"/>
          </w:tcPr>
          <w:p w:rsidR="00100624" w:rsidRPr="007F5722" w:rsidRDefault="00100624" w:rsidP="001E2A57">
            <w:pPr>
              <w:spacing w:after="0" w:line="360" w:lineRule="auto"/>
              <w:rPr>
                <w:rFonts w:ascii="Times New Roman" w:hAnsi="Times New Roman"/>
                <w:sz w:val="28"/>
                <w:szCs w:val="28"/>
              </w:rPr>
            </w:pPr>
            <w:r w:rsidRPr="007F5722">
              <w:rPr>
                <w:rFonts w:ascii="Times New Roman" w:hAnsi="Times New Roman"/>
                <w:sz w:val="28"/>
                <w:szCs w:val="28"/>
              </w:rPr>
              <w:t>6 (30)</w:t>
            </w:r>
          </w:p>
        </w:tc>
        <w:tc>
          <w:tcPr>
            <w:tcW w:w="1843" w:type="dxa"/>
          </w:tcPr>
          <w:p w:rsidR="00100624" w:rsidRPr="007F5722" w:rsidRDefault="00100624" w:rsidP="001E2A57">
            <w:pPr>
              <w:spacing w:after="0" w:line="360" w:lineRule="auto"/>
              <w:rPr>
                <w:rFonts w:ascii="Times New Roman" w:hAnsi="Times New Roman"/>
                <w:sz w:val="28"/>
                <w:szCs w:val="28"/>
              </w:rPr>
            </w:pPr>
            <w:r w:rsidRPr="007F5722">
              <w:rPr>
                <w:rFonts w:ascii="Times New Roman" w:hAnsi="Times New Roman"/>
                <w:sz w:val="28"/>
                <w:szCs w:val="28"/>
              </w:rPr>
              <w:t>7 (30,4)</w:t>
            </w:r>
          </w:p>
        </w:tc>
        <w:tc>
          <w:tcPr>
            <w:tcW w:w="1808" w:type="dxa"/>
          </w:tcPr>
          <w:p w:rsidR="00100624" w:rsidRPr="007F5722" w:rsidRDefault="00100624" w:rsidP="001E2A57">
            <w:pPr>
              <w:spacing w:after="0" w:line="360" w:lineRule="auto"/>
              <w:rPr>
                <w:rFonts w:ascii="Times New Roman" w:hAnsi="Times New Roman"/>
                <w:sz w:val="28"/>
                <w:szCs w:val="28"/>
              </w:rPr>
            </w:pPr>
            <w:r w:rsidRPr="007F5722">
              <w:rPr>
                <w:rFonts w:ascii="Times New Roman" w:hAnsi="Times New Roman"/>
                <w:sz w:val="28"/>
                <w:szCs w:val="28"/>
              </w:rPr>
              <w:t>9 (45)</w:t>
            </w:r>
          </w:p>
        </w:tc>
      </w:tr>
      <w:tr w:rsidR="00100624" w:rsidRPr="007F5722" w:rsidTr="001E2A57">
        <w:tc>
          <w:tcPr>
            <w:tcW w:w="2659" w:type="dxa"/>
          </w:tcPr>
          <w:p w:rsidR="00100624" w:rsidRPr="007F5722" w:rsidRDefault="00100624" w:rsidP="001E2A57">
            <w:pPr>
              <w:spacing w:after="0" w:line="240" w:lineRule="auto"/>
              <w:rPr>
                <w:rFonts w:ascii="Times New Roman" w:hAnsi="Times New Roman"/>
                <w:sz w:val="28"/>
                <w:szCs w:val="28"/>
              </w:rPr>
            </w:pPr>
            <w:r w:rsidRPr="007F5722">
              <w:rPr>
                <w:rFonts w:ascii="Times New Roman" w:hAnsi="Times New Roman"/>
                <w:sz w:val="28"/>
                <w:szCs w:val="28"/>
              </w:rPr>
              <w:t xml:space="preserve">Концентричне ремоделювання ЗСА, абс. (%) </w:t>
            </w:r>
          </w:p>
        </w:tc>
        <w:tc>
          <w:tcPr>
            <w:tcW w:w="1560" w:type="dxa"/>
          </w:tcPr>
          <w:p w:rsidR="00100624" w:rsidRPr="007F5722" w:rsidRDefault="00100624" w:rsidP="001E2A57">
            <w:pPr>
              <w:spacing w:after="0" w:line="360" w:lineRule="auto"/>
              <w:rPr>
                <w:rFonts w:ascii="Times New Roman" w:hAnsi="Times New Roman"/>
                <w:sz w:val="28"/>
                <w:szCs w:val="28"/>
              </w:rPr>
            </w:pPr>
            <w:r w:rsidRPr="007F5722">
              <w:rPr>
                <w:rFonts w:ascii="Times New Roman" w:hAnsi="Times New Roman"/>
                <w:sz w:val="28"/>
                <w:szCs w:val="28"/>
              </w:rPr>
              <w:t>3 (14,3)</w:t>
            </w:r>
          </w:p>
        </w:tc>
        <w:tc>
          <w:tcPr>
            <w:tcW w:w="1701" w:type="dxa"/>
          </w:tcPr>
          <w:p w:rsidR="00100624" w:rsidRPr="007F5722" w:rsidRDefault="00100624" w:rsidP="001E2A57">
            <w:pPr>
              <w:spacing w:after="0" w:line="360" w:lineRule="auto"/>
              <w:rPr>
                <w:rFonts w:ascii="Times New Roman" w:hAnsi="Times New Roman"/>
                <w:sz w:val="28"/>
                <w:szCs w:val="28"/>
              </w:rPr>
            </w:pPr>
            <w:r w:rsidRPr="007F5722">
              <w:rPr>
                <w:rFonts w:ascii="Times New Roman" w:hAnsi="Times New Roman"/>
                <w:sz w:val="28"/>
                <w:szCs w:val="28"/>
              </w:rPr>
              <w:t>3 (15)</w:t>
            </w:r>
          </w:p>
        </w:tc>
        <w:tc>
          <w:tcPr>
            <w:tcW w:w="1843" w:type="dxa"/>
          </w:tcPr>
          <w:p w:rsidR="00100624" w:rsidRPr="007F5722" w:rsidRDefault="00100624" w:rsidP="001E2A57">
            <w:pPr>
              <w:spacing w:after="0" w:line="360" w:lineRule="auto"/>
              <w:rPr>
                <w:rFonts w:ascii="Times New Roman" w:hAnsi="Times New Roman"/>
                <w:sz w:val="28"/>
                <w:szCs w:val="28"/>
              </w:rPr>
            </w:pPr>
            <w:r w:rsidRPr="007F5722">
              <w:rPr>
                <w:rFonts w:ascii="Times New Roman" w:hAnsi="Times New Roman"/>
                <w:sz w:val="28"/>
                <w:szCs w:val="28"/>
              </w:rPr>
              <w:t>10 (43,5)</w:t>
            </w:r>
          </w:p>
        </w:tc>
        <w:tc>
          <w:tcPr>
            <w:tcW w:w="1808" w:type="dxa"/>
          </w:tcPr>
          <w:p w:rsidR="00100624" w:rsidRPr="007F5722" w:rsidRDefault="00100624" w:rsidP="001E2A57">
            <w:pPr>
              <w:spacing w:after="0" w:line="360" w:lineRule="auto"/>
              <w:rPr>
                <w:rFonts w:ascii="Times New Roman" w:hAnsi="Times New Roman"/>
                <w:sz w:val="28"/>
                <w:szCs w:val="28"/>
              </w:rPr>
            </w:pPr>
            <w:r w:rsidRPr="007F5722">
              <w:rPr>
                <w:rFonts w:ascii="Times New Roman" w:hAnsi="Times New Roman"/>
                <w:sz w:val="28"/>
                <w:szCs w:val="28"/>
              </w:rPr>
              <w:t>7 (35)</w:t>
            </w:r>
          </w:p>
        </w:tc>
      </w:tr>
      <w:tr w:rsidR="00100624" w:rsidRPr="007F5722" w:rsidTr="001E2A57">
        <w:tc>
          <w:tcPr>
            <w:tcW w:w="2659" w:type="dxa"/>
          </w:tcPr>
          <w:p w:rsidR="00100624" w:rsidRPr="007F5722" w:rsidRDefault="00100624" w:rsidP="001E2A57">
            <w:pPr>
              <w:spacing w:after="0" w:line="240" w:lineRule="auto"/>
              <w:rPr>
                <w:rFonts w:ascii="Times New Roman" w:hAnsi="Times New Roman"/>
                <w:sz w:val="28"/>
                <w:szCs w:val="28"/>
              </w:rPr>
            </w:pPr>
            <w:r w:rsidRPr="007F5722">
              <w:rPr>
                <w:rFonts w:ascii="Times New Roman" w:hAnsi="Times New Roman"/>
                <w:sz w:val="28"/>
                <w:szCs w:val="28"/>
              </w:rPr>
              <w:t>Концентрична гіпертрофія ЗСА абс. (%)</w:t>
            </w:r>
          </w:p>
        </w:tc>
        <w:tc>
          <w:tcPr>
            <w:tcW w:w="1560" w:type="dxa"/>
          </w:tcPr>
          <w:p w:rsidR="00100624" w:rsidRPr="007F5722" w:rsidRDefault="00100624" w:rsidP="001E2A57">
            <w:pPr>
              <w:spacing w:after="0" w:line="360" w:lineRule="auto"/>
              <w:rPr>
                <w:rFonts w:ascii="Times New Roman" w:hAnsi="Times New Roman"/>
                <w:sz w:val="28"/>
                <w:szCs w:val="28"/>
              </w:rPr>
            </w:pPr>
            <w:r w:rsidRPr="007F5722">
              <w:rPr>
                <w:rFonts w:ascii="Times New Roman" w:hAnsi="Times New Roman"/>
                <w:sz w:val="28"/>
                <w:szCs w:val="28"/>
              </w:rPr>
              <w:t>-</w:t>
            </w:r>
          </w:p>
        </w:tc>
        <w:tc>
          <w:tcPr>
            <w:tcW w:w="1701" w:type="dxa"/>
          </w:tcPr>
          <w:p w:rsidR="00100624" w:rsidRPr="007F5722" w:rsidRDefault="00100624" w:rsidP="001E2A57">
            <w:pPr>
              <w:spacing w:after="0" w:line="360" w:lineRule="auto"/>
              <w:rPr>
                <w:rFonts w:ascii="Times New Roman" w:hAnsi="Times New Roman"/>
                <w:sz w:val="28"/>
                <w:szCs w:val="28"/>
              </w:rPr>
            </w:pPr>
            <w:r w:rsidRPr="007F5722">
              <w:rPr>
                <w:rFonts w:ascii="Times New Roman" w:hAnsi="Times New Roman"/>
                <w:sz w:val="28"/>
                <w:szCs w:val="28"/>
              </w:rPr>
              <w:t>9 (45)</w:t>
            </w:r>
          </w:p>
        </w:tc>
        <w:tc>
          <w:tcPr>
            <w:tcW w:w="1843" w:type="dxa"/>
          </w:tcPr>
          <w:p w:rsidR="00100624" w:rsidRPr="007F5722" w:rsidRDefault="00100624" w:rsidP="001E2A57">
            <w:pPr>
              <w:spacing w:after="0" w:line="360" w:lineRule="auto"/>
              <w:rPr>
                <w:rFonts w:ascii="Times New Roman" w:hAnsi="Times New Roman"/>
                <w:sz w:val="28"/>
                <w:szCs w:val="28"/>
              </w:rPr>
            </w:pPr>
            <w:r w:rsidRPr="007F5722">
              <w:rPr>
                <w:rFonts w:ascii="Times New Roman" w:hAnsi="Times New Roman"/>
                <w:sz w:val="28"/>
                <w:szCs w:val="28"/>
              </w:rPr>
              <w:t>3 (13,05)</w:t>
            </w:r>
          </w:p>
        </w:tc>
        <w:tc>
          <w:tcPr>
            <w:tcW w:w="1808" w:type="dxa"/>
          </w:tcPr>
          <w:p w:rsidR="00100624" w:rsidRPr="007F5722" w:rsidRDefault="00100624" w:rsidP="001E2A57">
            <w:pPr>
              <w:spacing w:after="0" w:line="360" w:lineRule="auto"/>
              <w:rPr>
                <w:rFonts w:ascii="Times New Roman" w:hAnsi="Times New Roman"/>
                <w:sz w:val="28"/>
                <w:szCs w:val="28"/>
              </w:rPr>
            </w:pPr>
            <w:r w:rsidRPr="007F5722">
              <w:rPr>
                <w:rFonts w:ascii="Times New Roman" w:hAnsi="Times New Roman"/>
                <w:sz w:val="28"/>
                <w:szCs w:val="28"/>
              </w:rPr>
              <w:t>3 (15)</w:t>
            </w:r>
          </w:p>
        </w:tc>
      </w:tr>
      <w:tr w:rsidR="00100624" w:rsidRPr="007F5722" w:rsidTr="001E2A57">
        <w:tc>
          <w:tcPr>
            <w:tcW w:w="2659" w:type="dxa"/>
          </w:tcPr>
          <w:p w:rsidR="00100624" w:rsidRPr="007F5722" w:rsidRDefault="00100624" w:rsidP="001E2A57">
            <w:pPr>
              <w:spacing w:after="0" w:line="240" w:lineRule="auto"/>
              <w:rPr>
                <w:rFonts w:ascii="Times New Roman" w:hAnsi="Times New Roman"/>
                <w:sz w:val="28"/>
                <w:szCs w:val="28"/>
              </w:rPr>
            </w:pPr>
            <w:r w:rsidRPr="007F5722">
              <w:rPr>
                <w:rFonts w:ascii="Times New Roman" w:hAnsi="Times New Roman"/>
                <w:sz w:val="28"/>
                <w:szCs w:val="28"/>
              </w:rPr>
              <w:t>Ексцентрична гіпертрофія ЗСА абс. (%)</w:t>
            </w:r>
          </w:p>
        </w:tc>
        <w:tc>
          <w:tcPr>
            <w:tcW w:w="1560" w:type="dxa"/>
          </w:tcPr>
          <w:p w:rsidR="00100624" w:rsidRPr="007F5722" w:rsidRDefault="00100624" w:rsidP="001E2A57">
            <w:pPr>
              <w:spacing w:after="0" w:line="360" w:lineRule="auto"/>
              <w:rPr>
                <w:rFonts w:ascii="Times New Roman" w:hAnsi="Times New Roman"/>
                <w:sz w:val="28"/>
                <w:szCs w:val="28"/>
              </w:rPr>
            </w:pPr>
            <w:r w:rsidRPr="007F5722">
              <w:rPr>
                <w:rFonts w:ascii="Times New Roman" w:hAnsi="Times New Roman"/>
                <w:sz w:val="28"/>
                <w:szCs w:val="28"/>
              </w:rPr>
              <w:t>-</w:t>
            </w:r>
          </w:p>
        </w:tc>
        <w:tc>
          <w:tcPr>
            <w:tcW w:w="1701" w:type="dxa"/>
          </w:tcPr>
          <w:p w:rsidR="00100624" w:rsidRPr="007F5722" w:rsidRDefault="00100624" w:rsidP="001E2A57">
            <w:pPr>
              <w:spacing w:after="0" w:line="360" w:lineRule="auto"/>
              <w:rPr>
                <w:rFonts w:ascii="Times New Roman" w:hAnsi="Times New Roman"/>
                <w:sz w:val="28"/>
                <w:szCs w:val="28"/>
              </w:rPr>
            </w:pPr>
            <w:r w:rsidRPr="007F5722">
              <w:rPr>
                <w:rFonts w:ascii="Times New Roman" w:hAnsi="Times New Roman"/>
                <w:sz w:val="28"/>
                <w:szCs w:val="28"/>
                <w:lang w:val="en-US"/>
              </w:rPr>
              <w:t xml:space="preserve">2 </w:t>
            </w:r>
            <w:r w:rsidRPr="007F5722">
              <w:rPr>
                <w:rFonts w:ascii="Times New Roman" w:hAnsi="Times New Roman"/>
                <w:sz w:val="28"/>
                <w:szCs w:val="28"/>
              </w:rPr>
              <w:t>(10)</w:t>
            </w:r>
          </w:p>
        </w:tc>
        <w:tc>
          <w:tcPr>
            <w:tcW w:w="1843" w:type="dxa"/>
          </w:tcPr>
          <w:p w:rsidR="00100624" w:rsidRPr="007F5722" w:rsidRDefault="00100624" w:rsidP="001E2A57">
            <w:pPr>
              <w:spacing w:after="0" w:line="360" w:lineRule="auto"/>
              <w:rPr>
                <w:rFonts w:ascii="Times New Roman" w:hAnsi="Times New Roman"/>
                <w:sz w:val="28"/>
                <w:szCs w:val="28"/>
              </w:rPr>
            </w:pPr>
            <w:r w:rsidRPr="007F5722">
              <w:rPr>
                <w:rFonts w:ascii="Times New Roman" w:hAnsi="Times New Roman"/>
                <w:sz w:val="28"/>
                <w:szCs w:val="28"/>
                <w:lang w:val="en-US"/>
              </w:rPr>
              <w:t>3</w:t>
            </w:r>
            <w:r w:rsidRPr="007F5722">
              <w:rPr>
                <w:rFonts w:ascii="Times New Roman" w:hAnsi="Times New Roman"/>
                <w:sz w:val="28"/>
                <w:szCs w:val="28"/>
              </w:rPr>
              <w:t xml:space="preserve"> (13,05)</w:t>
            </w:r>
          </w:p>
        </w:tc>
        <w:tc>
          <w:tcPr>
            <w:tcW w:w="1808" w:type="dxa"/>
          </w:tcPr>
          <w:p w:rsidR="00100624" w:rsidRPr="007F5722" w:rsidRDefault="00100624" w:rsidP="001E2A57">
            <w:pPr>
              <w:spacing w:after="0" w:line="360" w:lineRule="auto"/>
              <w:rPr>
                <w:rFonts w:ascii="Times New Roman" w:hAnsi="Times New Roman"/>
                <w:sz w:val="28"/>
                <w:szCs w:val="28"/>
              </w:rPr>
            </w:pPr>
            <w:r w:rsidRPr="007F5722">
              <w:rPr>
                <w:rFonts w:ascii="Times New Roman" w:hAnsi="Times New Roman"/>
                <w:sz w:val="28"/>
                <w:szCs w:val="28"/>
              </w:rPr>
              <w:t>1 (5)</w:t>
            </w:r>
          </w:p>
        </w:tc>
      </w:tr>
    </w:tbl>
    <w:p w:rsidR="00100624" w:rsidRPr="007F5722" w:rsidRDefault="00100624" w:rsidP="00100624">
      <w:pPr>
        <w:shd w:val="clear" w:color="auto" w:fill="FFFFFF"/>
        <w:spacing w:after="0" w:line="360" w:lineRule="auto"/>
        <w:ind w:firstLine="709"/>
        <w:jc w:val="both"/>
        <w:rPr>
          <w:rFonts w:ascii="Times New Roman" w:hAnsi="Times New Roman"/>
          <w:sz w:val="28"/>
          <w:szCs w:val="28"/>
        </w:rPr>
      </w:pPr>
    </w:p>
    <w:p w:rsidR="00100624" w:rsidRPr="007F5722" w:rsidRDefault="00100624" w:rsidP="00100624">
      <w:pPr>
        <w:shd w:val="clear" w:color="auto" w:fill="FFFFFF"/>
        <w:spacing w:after="0" w:line="360" w:lineRule="auto"/>
        <w:ind w:firstLine="709"/>
        <w:jc w:val="both"/>
        <w:rPr>
          <w:rFonts w:ascii="Times New Roman" w:hAnsi="Times New Roman"/>
          <w:sz w:val="28"/>
          <w:szCs w:val="28"/>
        </w:rPr>
      </w:pPr>
      <w:r w:rsidRPr="007F5722">
        <w:rPr>
          <w:rFonts w:ascii="Times New Roman" w:hAnsi="Times New Roman"/>
          <w:sz w:val="28"/>
          <w:szCs w:val="28"/>
        </w:rPr>
        <w:t>При аналізі морфофункціональних параметрів ЗСА для 1 кластеру найбільш характерними були нормальна геометрія ЗСА та концентрична гіпертрофія ЗСА (Табл. 3.3.</w:t>
      </w:r>
      <w:r w:rsidR="00DF48E5" w:rsidRPr="007F5722">
        <w:rPr>
          <w:rFonts w:ascii="Times New Roman" w:hAnsi="Times New Roman"/>
          <w:sz w:val="28"/>
          <w:szCs w:val="28"/>
        </w:rPr>
        <w:t>1</w:t>
      </w:r>
      <w:r w:rsidR="00670502">
        <w:rPr>
          <w:rFonts w:ascii="Times New Roman" w:hAnsi="Times New Roman"/>
          <w:sz w:val="28"/>
          <w:szCs w:val="28"/>
        </w:rPr>
        <w:t>1</w:t>
      </w:r>
      <w:r w:rsidRPr="007F5722">
        <w:rPr>
          <w:rFonts w:ascii="Times New Roman" w:hAnsi="Times New Roman"/>
          <w:sz w:val="28"/>
          <w:szCs w:val="28"/>
        </w:rPr>
        <w:t xml:space="preserve">). В 2 кластері характерним було зростання питомої ваги пацієнтів з концентричною гіпертрофією ЗСА, в 3 кластері переважали пацієнти з концентричним ремоделюванням ЗСА, а в 4 кластері </w:t>
      </w:r>
      <w:r w:rsidRPr="007F5722">
        <w:rPr>
          <w:rFonts w:ascii="Times New Roman" w:hAnsi="Times New Roman"/>
          <w:sz w:val="28"/>
          <w:szCs w:val="28"/>
        </w:rPr>
        <w:lastRenderedPageBreak/>
        <w:t>хворі розподілились з однаковою частотою між нормальною геометрією та концентричним ремоделюванням.</w:t>
      </w:r>
    </w:p>
    <w:p w:rsidR="00100624" w:rsidRPr="007F5722" w:rsidRDefault="00100624" w:rsidP="00100624">
      <w:pPr>
        <w:shd w:val="clear" w:color="auto" w:fill="FFFFFF"/>
        <w:spacing w:after="0" w:line="360" w:lineRule="auto"/>
        <w:ind w:firstLine="709"/>
        <w:jc w:val="both"/>
        <w:rPr>
          <w:rFonts w:ascii="Times New Roman" w:hAnsi="Times New Roman"/>
          <w:sz w:val="28"/>
          <w:szCs w:val="28"/>
        </w:rPr>
      </w:pPr>
      <w:r w:rsidRPr="007F5722">
        <w:rPr>
          <w:rFonts w:ascii="Times New Roman" w:hAnsi="Times New Roman"/>
          <w:sz w:val="28"/>
          <w:szCs w:val="28"/>
        </w:rPr>
        <w:t>Проведений кластерний аналіз виявив вірогідний зв</w:t>
      </w:r>
      <w:r w:rsidR="00670502">
        <w:rPr>
          <w:rFonts w:ascii="Times New Roman" w:hAnsi="Times New Roman"/>
          <w:sz w:val="28"/>
          <w:szCs w:val="28"/>
        </w:rPr>
        <w:t>’</w:t>
      </w:r>
      <w:r w:rsidRPr="007F5722">
        <w:rPr>
          <w:rFonts w:ascii="Times New Roman" w:hAnsi="Times New Roman"/>
          <w:sz w:val="28"/>
          <w:szCs w:val="28"/>
        </w:rPr>
        <w:t>язок між особливостями розподілу рівнів ІЛ-22 та Апо В і характером структурно-функціональних змін ЗСА, а саме формуванням концентричної гіпертрофії ЗСА та концентричного ремоделювання у хворих з найвищими показниками гіперінтерлейкінемії та гіперхолестеринемії.</w:t>
      </w:r>
    </w:p>
    <w:p w:rsidR="003E657D" w:rsidRPr="007F5722" w:rsidRDefault="00181B14" w:rsidP="00957F96">
      <w:pPr>
        <w:shd w:val="clear" w:color="auto" w:fill="FFFFFF"/>
        <w:spacing w:after="0" w:line="360" w:lineRule="auto"/>
        <w:ind w:firstLine="709"/>
        <w:jc w:val="both"/>
        <w:rPr>
          <w:rFonts w:ascii="Times New Roman" w:hAnsi="Times New Roman"/>
          <w:sz w:val="28"/>
          <w:szCs w:val="28"/>
        </w:rPr>
      </w:pPr>
      <w:r w:rsidRPr="007F5722">
        <w:rPr>
          <w:rFonts w:ascii="Times New Roman" w:hAnsi="Times New Roman"/>
          <w:sz w:val="28"/>
          <w:szCs w:val="28"/>
        </w:rPr>
        <w:t xml:space="preserve">Нами була проаналізована товщина КІМ ЗСА у хворих на ГХ в залежності від наявності надмірної маси тіла та ожиріння. </w:t>
      </w:r>
    </w:p>
    <w:p w:rsidR="00957F96" w:rsidRPr="007F5722" w:rsidRDefault="00181B14" w:rsidP="00957F96">
      <w:pPr>
        <w:shd w:val="clear" w:color="auto" w:fill="FFFFFF"/>
        <w:spacing w:after="0" w:line="360" w:lineRule="auto"/>
        <w:ind w:firstLine="709"/>
        <w:jc w:val="both"/>
        <w:rPr>
          <w:rFonts w:ascii="Times New Roman" w:hAnsi="Times New Roman" w:cs="Times New Roman"/>
          <w:sz w:val="28"/>
          <w:szCs w:val="28"/>
        </w:rPr>
      </w:pPr>
      <w:r w:rsidRPr="007F5722">
        <w:rPr>
          <w:rFonts w:ascii="Times New Roman" w:hAnsi="Times New Roman"/>
          <w:sz w:val="28"/>
          <w:szCs w:val="28"/>
        </w:rPr>
        <w:t>Як показали отримані нами результати (табл. 3.3.</w:t>
      </w:r>
      <w:r w:rsidR="00DF48E5" w:rsidRPr="007F5722">
        <w:rPr>
          <w:rFonts w:ascii="Times New Roman" w:hAnsi="Times New Roman"/>
          <w:sz w:val="28"/>
          <w:szCs w:val="28"/>
        </w:rPr>
        <w:t>1</w:t>
      </w:r>
      <w:r w:rsidR="00670502">
        <w:rPr>
          <w:rFonts w:ascii="Times New Roman" w:hAnsi="Times New Roman"/>
          <w:sz w:val="28"/>
          <w:szCs w:val="28"/>
        </w:rPr>
        <w:t>1</w:t>
      </w:r>
      <w:r w:rsidRPr="007F5722">
        <w:rPr>
          <w:rFonts w:ascii="Times New Roman" w:hAnsi="Times New Roman"/>
          <w:sz w:val="28"/>
          <w:szCs w:val="28"/>
        </w:rPr>
        <w:t xml:space="preserve">), </w:t>
      </w:r>
      <w:r w:rsidRPr="007F5722">
        <w:rPr>
          <w:rFonts w:ascii="Times New Roman" w:hAnsi="Times New Roman" w:cs="Times New Roman"/>
          <w:sz w:val="28"/>
          <w:szCs w:val="28"/>
        </w:rPr>
        <w:t>товщина КІМ ЗСА була достовірно (р&lt;0,05) збільшеною в порівнянні з контрольною групою в усіх пацієнтів з ГХ, а саме: у середньому на 32,35% у хворих з ізольованою ГХ (І група), на 52,94% у пацієнтів з ГХ і надмірною масою тіла (ІІ група) і на 60,29% у хворих на ГХ з ожирінням (ІІІ група). При цьому, достовірні відмінності значень цього показника відмічалися й між ІІІ й І групами (на 21,11%).</w:t>
      </w:r>
    </w:p>
    <w:p w:rsidR="00B54750" w:rsidRDefault="00181B14" w:rsidP="00670502">
      <w:pPr>
        <w:spacing w:after="0" w:line="360" w:lineRule="auto"/>
        <w:ind w:firstLine="709"/>
        <w:jc w:val="both"/>
        <w:rPr>
          <w:rFonts w:ascii="Times New Roman" w:hAnsi="Times New Roman" w:cs="Times New Roman"/>
          <w:sz w:val="28"/>
          <w:szCs w:val="28"/>
        </w:rPr>
      </w:pPr>
      <w:r w:rsidRPr="007F5722">
        <w:rPr>
          <w:rFonts w:ascii="Times New Roman" w:hAnsi="Times New Roman"/>
          <w:sz w:val="28"/>
          <w:szCs w:val="28"/>
        </w:rPr>
        <w:t xml:space="preserve">Що стосується такого показника, як </w:t>
      </w:r>
      <w:r w:rsidRPr="007F5722">
        <w:rPr>
          <w:rFonts w:ascii="Times New Roman" w:hAnsi="Times New Roman" w:cs="Times New Roman"/>
          <w:sz w:val="28"/>
          <w:szCs w:val="28"/>
        </w:rPr>
        <w:t>D</w:t>
      </w:r>
      <w:r w:rsidR="00DF48E5" w:rsidRPr="007F5722">
        <w:rPr>
          <w:rFonts w:ascii="Times New Roman" w:hAnsi="Times New Roman" w:cs="Times New Roman"/>
          <w:sz w:val="28"/>
          <w:szCs w:val="28"/>
        </w:rPr>
        <w:t xml:space="preserve"> ЗСА</w:t>
      </w:r>
      <w:r w:rsidRPr="007F5722">
        <w:rPr>
          <w:rFonts w:ascii="Times New Roman" w:hAnsi="Times New Roman"/>
          <w:sz w:val="28"/>
          <w:szCs w:val="28"/>
        </w:rPr>
        <w:t>, то мало місце достовірне</w:t>
      </w:r>
      <w:r w:rsidRPr="007F5722">
        <w:rPr>
          <w:rFonts w:ascii="Times New Roman" w:hAnsi="Times New Roman" w:cs="Times New Roman"/>
          <w:sz w:val="28"/>
          <w:szCs w:val="28"/>
        </w:rPr>
        <w:t xml:space="preserve"> </w:t>
      </w:r>
      <w:r w:rsidRPr="007F5722">
        <w:rPr>
          <w:rFonts w:ascii="Times New Roman" w:hAnsi="Times New Roman"/>
          <w:sz w:val="28"/>
          <w:szCs w:val="28"/>
        </w:rPr>
        <w:t>зменшення його</w:t>
      </w:r>
      <w:r w:rsidRPr="007F5722">
        <w:rPr>
          <w:rFonts w:ascii="Times New Roman" w:hAnsi="Times New Roman" w:cs="Times New Roman"/>
          <w:sz w:val="28"/>
          <w:szCs w:val="28"/>
        </w:rPr>
        <w:t xml:space="preserve"> в </w:t>
      </w:r>
      <w:r w:rsidRPr="007F5722">
        <w:rPr>
          <w:rFonts w:ascii="Times New Roman" w:hAnsi="Times New Roman"/>
          <w:sz w:val="28"/>
          <w:szCs w:val="28"/>
        </w:rPr>
        <w:t>усіх хворих на ГХ</w:t>
      </w:r>
      <w:r w:rsidRPr="007F5722">
        <w:rPr>
          <w:rFonts w:ascii="Times New Roman" w:hAnsi="Times New Roman" w:cs="Times New Roman"/>
          <w:color w:val="FF0000"/>
          <w:sz w:val="28"/>
          <w:szCs w:val="28"/>
        </w:rPr>
        <w:t xml:space="preserve"> </w:t>
      </w:r>
      <w:r w:rsidRPr="007F5722">
        <w:rPr>
          <w:rFonts w:ascii="Times New Roman" w:hAnsi="Times New Roman" w:cs="Times New Roman"/>
          <w:sz w:val="28"/>
          <w:szCs w:val="28"/>
        </w:rPr>
        <w:t>у порівнянні з групою контролю</w:t>
      </w:r>
      <w:r w:rsidRPr="007F5722">
        <w:rPr>
          <w:rFonts w:ascii="Times New Roman" w:hAnsi="Times New Roman"/>
          <w:sz w:val="28"/>
          <w:szCs w:val="28"/>
        </w:rPr>
        <w:t xml:space="preserve">, а саме: у середньому на </w:t>
      </w:r>
      <w:r w:rsidRPr="007F5722">
        <w:rPr>
          <w:rFonts w:ascii="Times New Roman" w:hAnsi="Times New Roman" w:cs="Times New Roman"/>
          <w:sz w:val="28"/>
          <w:szCs w:val="28"/>
        </w:rPr>
        <w:t xml:space="preserve">6,55% в </w:t>
      </w:r>
      <w:r w:rsidRPr="007F5722">
        <w:rPr>
          <w:rFonts w:ascii="Times New Roman" w:hAnsi="Times New Roman"/>
          <w:sz w:val="28"/>
          <w:szCs w:val="28"/>
        </w:rPr>
        <w:t xml:space="preserve">пацієнтів з ізольованою ГХ </w:t>
      </w:r>
      <w:r w:rsidRPr="007F5722">
        <w:rPr>
          <w:rFonts w:ascii="Times New Roman" w:hAnsi="Times New Roman" w:cs="Times New Roman"/>
          <w:sz w:val="28"/>
          <w:szCs w:val="28"/>
        </w:rPr>
        <w:t>(р&lt;0,05)</w:t>
      </w:r>
      <w:r w:rsidRPr="007F5722">
        <w:rPr>
          <w:rFonts w:ascii="Times New Roman" w:hAnsi="Times New Roman"/>
          <w:sz w:val="28"/>
          <w:szCs w:val="28"/>
        </w:rPr>
        <w:t>, на 22,37%</w:t>
      </w:r>
      <w:r w:rsidRPr="007F5722">
        <w:rPr>
          <w:rFonts w:ascii="Times New Roman" w:hAnsi="Times New Roman" w:cs="Times New Roman"/>
          <w:sz w:val="28"/>
          <w:szCs w:val="28"/>
        </w:rPr>
        <w:t xml:space="preserve"> </w:t>
      </w:r>
      <w:r w:rsidRPr="007F5722">
        <w:rPr>
          <w:rFonts w:ascii="Times New Roman" w:hAnsi="Times New Roman"/>
          <w:sz w:val="28"/>
          <w:szCs w:val="28"/>
        </w:rPr>
        <w:t>у хворих на ГХ</w:t>
      </w:r>
      <w:r w:rsidRPr="007F5722">
        <w:rPr>
          <w:rFonts w:ascii="Times New Roman" w:hAnsi="Times New Roman" w:cs="Times New Roman"/>
          <w:sz w:val="28"/>
          <w:szCs w:val="28"/>
        </w:rPr>
        <w:t xml:space="preserve"> з надмірною масою тіла (р&lt;0,01) і на 26,60% у пацієнтів із ГХ та ожирінням (р&lt;0,01). При цьому, якщо за даним показником ІІІ й ІІ групи достовірно не відрізнялись між собою, то обидві вони були достовірно нижчими в</w:t>
      </w:r>
      <w:r w:rsidR="00670502">
        <w:rPr>
          <w:rFonts w:ascii="Times New Roman" w:hAnsi="Times New Roman" w:cs="Times New Roman"/>
          <w:sz w:val="28"/>
          <w:szCs w:val="28"/>
        </w:rPr>
        <w:t xml:space="preserve"> порівнянні з таким у І групі. </w:t>
      </w:r>
    </w:p>
    <w:p w:rsidR="00670502" w:rsidRDefault="00670502" w:rsidP="00670502">
      <w:pPr>
        <w:spacing w:after="0" w:line="360" w:lineRule="auto"/>
        <w:ind w:firstLine="709"/>
        <w:jc w:val="both"/>
        <w:rPr>
          <w:rFonts w:ascii="Times New Roman" w:hAnsi="Times New Roman" w:cs="Times New Roman"/>
          <w:sz w:val="28"/>
          <w:szCs w:val="28"/>
        </w:rPr>
      </w:pPr>
    </w:p>
    <w:p w:rsidR="00670502" w:rsidRDefault="00670502" w:rsidP="00670502">
      <w:pPr>
        <w:spacing w:after="0" w:line="360" w:lineRule="auto"/>
        <w:ind w:firstLine="709"/>
        <w:jc w:val="both"/>
        <w:rPr>
          <w:rFonts w:ascii="Times New Roman" w:hAnsi="Times New Roman" w:cs="Times New Roman"/>
          <w:sz w:val="28"/>
          <w:szCs w:val="28"/>
        </w:rPr>
      </w:pPr>
    </w:p>
    <w:p w:rsidR="00670502" w:rsidRDefault="00670502" w:rsidP="00670502">
      <w:pPr>
        <w:spacing w:after="0" w:line="360" w:lineRule="auto"/>
        <w:ind w:firstLine="709"/>
        <w:jc w:val="both"/>
        <w:rPr>
          <w:rFonts w:ascii="Times New Roman" w:hAnsi="Times New Roman" w:cs="Times New Roman"/>
          <w:sz w:val="28"/>
          <w:szCs w:val="28"/>
        </w:rPr>
      </w:pPr>
    </w:p>
    <w:p w:rsidR="00670502" w:rsidRDefault="00670502" w:rsidP="00670502">
      <w:pPr>
        <w:spacing w:after="0" w:line="360" w:lineRule="auto"/>
        <w:ind w:firstLine="709"/>
        <w:jc w:val="both"/>
        <w:rPr>
          <w:rFonts w:ascii="Times New Roman" w:hAnsi="Times New Roman" w:cs="Times New Roman"/>
          <w:sz w:val="28"/>
          <w:szCs w:val="28"/>
        </w:rPr>
      </w:pPr>
    </w:p>
    <w:p w:rsidR="00670502" w:rsidRDefault="00670502" w:rsidP="00670502">
      <w:pPr>
        <w:spacing w:after="0" w:line="360" w:lineRule="auto"/>
        <w:ind w:firstLine="709"/>
        <w:jc w:val="both"/>
        <w:rPr>
          <w:rFonts w:ascii="Times New Roman" w:hAnsi="Times New Roman" w:cs="Times New Roman"/>
          <w:sz w:val="28"/>
          <w:szCs w:val="28"/>
        </w:rPr>
      </w:pPr>
    </w:p>
    <w:p w:rsidR="00670502" w:rsidRDefault="00670502" w:rsidP="00670502">
      <w:pPr>
        <w:spacing w:after="0" w:line="360" w:lineRule="auto"/>
        <w:ind w:firstLine="709"/>
        <w:jc w:val="both"/>
        <w:rPr>
          <w:rFonts w:ascii="Times New Roman" w:hAnsi="Times New Roman" w:cs="Times New Roman"/>
          <w:sz w:val="28"/>
          <w:szCs w:val="28"/>
        </w:rPr>
      </w:pPr>
    </w:p>
    <w:p w:rsidR="00670502" w:rsidRPr="007F5722" w:rsidRDefault="00670502" w:rsidP="00670502">
      <w:pPr>
        <w:spacing w:after="0" w:line="360" w:lineRule="auto"/>
        <w:ind w:firstLine="709"/>
        <w:jc w:val="both"/>
        <w:rPr>
          <w:rFonts w:ascii="Times New Roman" w:hAnsi="Times New Roman" w:cs="Times New Roman"/>
          <w:sz w:val="28"/>
          <w:szCs w:val="28"/>
        </w:rPr>
      </w:pPr>
    </w:p>
    <w:p w:rsidR="00B54750" w:rsidRPr="007F5722" w:rsidRDefault="00F251A8" w:rsidP="00B54750">
      <w:pPr>
        <w:spacing w:after="0" w:line="360" w:lineRule="auto"/>
        <w:ind w:firstLine="709"/>
        <w:jc w:val="right"/>
        <w:rPr>
          <w:rFonts w:ascii="Times New Roman" w:hAnsi="Times New Roman" w:cs="Times New Roman"/>
          <w:sz w:val="28"/>
          <w:szCs w:val="28"/>
        </w:rPr>
      </w:pPr>
      <w:r w:rsidRPr="007F5722">
        <w:rPr>
          <w:rFonts w:ascii="Times New Roman" w:hAnsi="Times New Roman" w:cs="Times New Roman"/>
          <w:sz w:val="28"/>
          <w:szCs w:val="28"/>
        </w:rPr>
        <w:lastRenderedPageBreak/>
        <w:t>Таблиця 3.3.</w:t>
      </w:r>
      <w:r w:rsidR="00670502">
        <w:rPr>
          <w:rFonts w:ascii="Times New Roman" w:hAnsi="Times New Roman" w:cs="Times New Roman"/>
          <w:sz w:val="28"/>
          <w:szCs w:val="28"/>
        </w:rPr>
        <w:t>11</w:t>
      </w:r>
    </w:p>
    <w:p w:rsidR="00B54750" w:rsidRPr="007F5722" w:rsidRDefault="00B54750" w:rsidP="00B54750">
      <w:pPr>
        <w:spacing w:after="0" w:line="360" w:lineRule="auto"/>
        <w:jc w:val="center"/>
        <w:rPr>
          <w:rFonts w:ascii="Times New Roman" w:hAnsi="Times New Roman" w:cs="Times New Roman"/>
          <w:sz w:val="28"/>
          <w:szCs w:val="28"/>
        </w:rPr>
      </w:pPr>
      <w:r w:rsidRPr="007F5722">
        <w:rPr>
          <w:rFonts w:ascii="Times New Roman" w:hAnsi="Times New Roman" w:cs="Times New Roman"/>
          <w:sz w:val="28"/>
          <w:szCs w:val="28"/>
        </w:rPr>
        <w:t>Структурний стан ЗСА у хворих на ГХ</w:t>
      </w:r>
    </w:p>
    <w:tbl>
      <w:tblPr>
        <w:tblStyle w:val="a9"/>
        <w:tblW w:w="0" w:type="auto"/>
        <w:tblLook w:val="04A0" w:firstRow="1" w:lastRow="0" w:firstColumn="1" w:lastColumn="0" w:noHBand="0" w:noVBand="1"/>
      </w:tblPr>
      <w:tblGrid>
        <w:gridCol w:w="1854"/>
        <w:gridCol w:w="1857"/>
        <w:gridCol w:w="1891"/>
        <w:gridCol w:w="1871"/>
        <w:gridCol w:w="1872"/>
      </w:tblGrid>
      <w:tr w:rsidR="00B54750" w:rsidRPr="007F5722" w:rsidTr="007A745E">
        <w:tc>
          <w:tcPr>
            <w:tcW w:w="1914" w:type="dxa"/>
            <w:vMerge w:val="restart"/>
          </w:tcPr>
          <w:p w:rsidR="00B54750" w:rsidRPr="007F5722" w:rsidRDefault="00B54750" w:rsidP="007A745E">
            <w:pPr>
              <w:jc w:val="center"/>
              <w:rPr>
                <w:rFonts w:ascii="Times New Roman" w:hAnsi="Times New Roman" w:cs="Times New Roman"/>
                <w:sz w:val="28"/>
                <w:szCs w:val="28"/>
              </w:rPr>
            </w:pPr>
            <w:r w:rsidRPr="007F5722">
              <w:rPr>
                <w:rFonts w:ascii="Times New Roman" w:hAnsi="Times New Roman" w:cs="Times New Roman"/>
                <w:sz w:val="28"/>
                <w:szCs w:val="28"/>
              </w:rPr>
              <w:t>Показник</w:t>
            </w:r>
          </w:p>
        </w:tc>
        <w:tc>
          <w:tcPr>
            <w:tcW w:w="7657" w:type="dxa"/>
            <w:gridSpan w:val="4"/>
          </w:tcPr>
          <w:p w:rsidR="00B54750" w:rsidRPr="007F5722" w:rsidRDefault="00B54750" w:rsidP="007A745E">
            <w:pPr>
              <w:jc w:val="center"/>
              <w:rPr>
                <w:rFonts w:ascii="Times New Roman" w:hAnsi="Times New Roman" w:cs="Times New Roman"/>
                <w:sz w:val="28"/>
                <w:szCs w:val="28"/>
              </w:rPr>
            </w:pPr>
            <w:r w:rsidRPr="007F5722">
              <w:rPr>
                <w:rFonts w:ascii="Times New Roman" w:hAnsi="Times New Roman" w:cs="Times New Roman"/>
                <w:sz w:val="28"/>
                <w:szCs w:val="28"/>
              </w:rPr>
              <w:t>Досліджувані</w:t>
            </w:r>
          </w:p>
        </w:tc>
      </w:tr>
      <w:tr w:rsidR="00B54750" w:rsidRPr="007F5722" w:rsidTr="007A745E">
        <w:tc>
          <w:tcPr>
            <w:tcW w:w="1914" w:type="dxa"/>
            <w:vMerge/>
          </w:tcPr>
          <w:p w:rsidR="00B54750" w:rsidRPr="007F5722" w:rsidRDefault="00B54750" w:rsidP="007A745E">
            <w:pPr>
              <w:jc w:val="both"/>
              <w:rPr>
                <w:rFonts w:ascii="Times New Roman" w:hAnsi="Times New Roman" w:cs="Times New Roman"/>
                <w:sz w:val="28"/>
                <w:szCs w:val="28"/>
              </w:rPr>
            </w:pPr>
          </w:p>
        </w:tc>
        <w:tc>
          <w:tcPr>
            <w:tcW w:w="1914" w:type="dxa"/>
          </w:tcPr>
          <w:p w:rsidR="00B54750" w:rsidRPr="007F5722" w:rsidRDefault="00B54750" w:rsidP="007A745E">
            <w:pPr>
              <w:jc w:val="center"/>
              <w:rPr>
                <w:rFonts w:ascii="Times New Roman" w:hAnsi="Times New Roman" w:cs="Times New Roman"/>
                <w:sz w:val="28"/>
                <w:szCs w:val="28"/>
              </w:rPr>
            </w:pPr>
            <w:r w:rsidRPr="007F5722">
              <w:rPr>
                <w:rFonts w:ascii="Times New Roman" w:hAnsi="Times New Roman" w:cs="Times New Roman"/>
                <w:sz w:val="28"/>
                <w:szCs w:val="28"/>
              </w:rPr>
              <w:t>Група контролю</w:t>
            </w:r>
          </w:p>
        </w:tc>
        <w:tc>
          <w:tcPr>
            <w:tcW w:w="1914" w:type="dxa"/>
          </w:tcPr>
          <w:p w:rsidR="00B54750" w:rsidRPr="007F5722" w:rsidRDefault="00B54750" w:rsidP="007A745E">
            <w:pPr>
              <w:jc w:val="center"/>
              <w:rPr>
                <w:rFonts w:ascii="Times New Roman" w:hAnsi="Times New Roman" w:cs="Times New Roman"/>
                <w:sz w:val="28"/>
                <w:szCs w:val="28"/>
              </w:rPr>
            </w:pPr>
            <w:r w:rsidRPr="007F5722">
              <w:rPr>
                <w:rFonts w:ascii="Times New Roman" w:hAnsi="Times New Roman" w:cs="Times New Roman"/>
                <w:sz w:val="28"/>
                <w:szCs w:val="28"/>
              </w:rPr>
              <w:t>Пацієнти з ізольованою ГХ</w:t>
            </w:r>
          </w:p>
        </w:tc>
        <w:tc>
          <w:tcPr>
            <w:tcW w:w="1914" w:type="dxa"/>
          </w:tcPr>
          <w:p w:rsidR="00B54750" w:rsidRPr="007F5722" w:rsidRDefault="00B54750" w:rsidP="007A745E">
            <w:pPr>
              <w:jc w:val="center"/>
              <w:rPr>
                <w:rFonts w:ascii="Times New Roman" w:hAnsi="Times New Roman" w:cs="Times New Roman"/>
                <w:sz w:val="28"/>
                <w:szCs w:val="28"/>
              </w:rPr>
            </w:pPr>
            <w:r w:rsidRPr="007F5722">
              <w:rPr>
                <w:rFonts w:ascii="Times New Roman" w:hAnsi="Times New Roman" w:cs="Times New Roman"/>
                <w:sz w:val="28"/>
                <w:szCs w:val="28"/>
              </w:rPr>
              <w:t>Хворі на ГХ з надмірною масою тіла</w:t>
            </w:r>
          </w:p>
        </w:tc>
        <w:tc>
          <w:tcPr>
            <w:tcW w:w="1915" w:type="dxa"/>
          </w:tcPr>
          <w:p w:rsidR="00B54750" w:rsidRPr="007F5722" w:rsidRDefault="00B54750" w:rsidP="007A745E">
            <w:pPr>
              <w:jc w:val="center"/>
              <w:rPr>
                <w:rFonts w:ascii="Times New Roman" w:hAnsi="Times New Roman" w:cs="Times New Roman"/>
                <w:sz w:val="28"/>
                <w:szCs w:val="28"/>
              </w:rPr>
            </w:pPr>
            <w:r w:rsidRPr="007F5722">
              <w:rPr>
                <w:rFonts w:ascii="Times New Roman" w:hAnsi="Times New Roman" w:cs="Times New Roman"/>
                <w:sz w:val="28"/>
                <w:szCs w:val="28"/>
              </w:rPr>
              <w:t>Хворі на ГХ з ожирінням</w:t>
            </w:r>
          </w:p>
        </w:tc>
      </w:tr>
      <w:tr w:rsidR="00B54750" w:rsidRPr="007F5722" w:rsidTr="007A745E">
        <w:tc>
          <w:tcPr>
            <w:tcW w:w="1914" w:type="dxa"/>
          </w:tcPr>
          <w:p w:rsidR="00B54750" w:rsidRPr="007F5722" w:rsidRDefault="00B54750" w:rsidP="007A745E">
            <w:pPr>
              <w:jc w:val="both"/>
              <w:rPr>
                <w:rFonts w:ascii="Times New Roman" w:hAnsi="Times New Roman" w:cs="Times New Roman"/>
                <w:sz w:val="28"/>
                <w:szCs w:val="28"/>
              </w:rPr>
            </w:pPr>
            <w:r w:rsidRPr="007F5722">
              <w:rPr>
                <w:rFonts w:ascii="Times New Roman" w:hAnsi="Times New Roman" w:cs="Times New Roman"/>
                <w:sz w:val="28"/>
                <w:szCs w:val="28"/>
              </w:rPr>
              <w:t>Товщина КІМ ЗСА, мм</w:t>
            </w:r>
          </w:p>
        </w:tc>
        <w:tc>
          <w:tcPr>
            <w:tcW w:w="1914" w:type="dxa"/>
          </w:tcPr>
          <w:p w:rsidR="00B54750" w:rsidRPr="007F5722" w:rsidRDefault="00B54750" w:rsidP="007A745E">
            <w:pPr>
              <w:jc w:val="center"/>
              <w:rPr>
                <w:rFonts w:ascii="Times New Roman" w:hAnsi="Times New Roman" w:cs="Times New Roman"/>
                <w:sz w:val="28"/>
                <w:szCs w:val="28"/>
              </w:rPr>
            </w:pPr>
            <w:r w:rsidRPr="007F5722">
              <w:rPr>
                <w:rFonts w:ascii="Times New Roman" w:hAnsi="Times New Roman" w:cs="Times New Roman"/>
                <w:sz w:val="28"/>
                <w:szCs w:val="28"/>
              </w:rPr>
              <w:t>0,68</w:t>
            </w:r>
            <w:r w:rsidR="00886C45" w:rsidRPr="007F5722">
              <w:rPr>
                <w:rFonts w:ascii="Times New Roman" w:hAnsi="Times New Roman" w:cs="Times New Roman"/>
                <w:sz w:val="28"/>
                <w:szCs w:val="28"/>
              </w:rPr>
              <w:t xml:space="preserve"> (0,61; 0,75)</w:t>
            </w:r>
          </w:p>
        </w:tc>
        <w:tc>
          <w:tcPr>
            <w:tcW w:w="1914" w:type="dxa"/>
          </w:tcPr>
          <w:p w:rsidR="00B54750" w:rsidRPr="007F5722" w:rsidRDefault="00490C65" w:rsidP="007A745E">
            <w:pPr>
              <w:jc w:val="center"/>
              <w:rPr>
                <w:rFonts w:ascii="Times New Roman" w:hAnsi="Times New Roman" w:cs="Times New Roman"/>
                <w:sz w:val="28"/>
                <w:szCs w:val="28"/>
              </w:rPr>
            </w:pPr>
            <w:r w:rsidRPr="007F5722">
              <w:rPr>
                <w:rFonts w:ascii="Times New Roman" w:hAnsi="Times New Roman" w:cs="Times New Roman"/>
                <w:sz w:val="28"/>
                <w:szCs w:val="28"/>
              </w:rPr>
              <w:t>1,0 (0,9; 1,1)</w:t>
            </w:r>
            <w:r w:rsidR="00B54750" w:rsidRPr="007F5722">
              <w:rPr>
                <w:rFonts w:ascii="Times New Roman" w:hAnsi="Times New Roman" w:cs="Times New Roman"/>
                <w:sz w:val="28"/>
                <w:szCs w:val="28"/>
              </w:rPr>
              <w:t>*</w:t>
            </w:r>
          </w:p>
        </w:tc>
        <w:tc>
          <w:tcPr>
            <w:tcW w:w="1914" w:type="dxa"/>
          </w:tcPr>
          <w:p w:rsidR="00B54750" w:rsidRPr="007F5722" w:rsidRDefault="00490C65" w:rsidP="007A745E">
            <w:pPr>
              <w:jc w:val="center"/>
              <w:rPr>
                <w:rFonts w:ascii="Times New Roman" w:hAnsi="Times New Roman" w:cs="Times New Roman"/>
                <w:sz w:val="28"/>
                <w:szCs w:val="28"/>
              </w:rPr>
            </w:pPr>
            <w:r w:rsidRPr="007F5722">
              <w:rPr>
                <w:rFonts w:ascii="Times New Roman" w:hAnsi="Times New Roman" w:cs="Times New Roman"/>
                <w:sz w:val="28"/>
                <w:szCs w:val="28"/>
              </w:rPr>
              <w:t>1,1 (0,9; 1,2)</w:t>
            </w:r>
            <w:r w:rsidR="00B54750" w:rsidRPr="007F5722">
              <w:rPr>
                <w:rFonts w:ascii="Times New Roman" w:hAnsi="Times New Roman" w:cs="Times New Roman"/>
                <w:sz w:val="28"/>
                <w:szCs w:val="28"/>
              </w:rPr>
              <w:t>*</w:t>
            </w:r>
          </w:p>
        </w:tc>
        <w:tc>
          <w:tcPr>
            <w:tcW w:w="1915" w:type="dxa"/>
          </w:tcPr>
          <w:p w:rsidR="00B54750" w:rsidRPr="007F5722" w:rsidRDefault="00B54750" w:rsidP="007A745E">
            <w:pPr>
              <w:jc w:val="center"/>
              <w:rPr>
                <w:rFonts w:ascii="Times New Roman" w:hAnsi="Times New Roman" w:cs="Times New Roman"/>
                <w:sz w:val="28"/>
                <w:szCs w:val="28"/>
              </w:rPr>
            </w:pPr>
            <w:r w:rsidRPr="007F5722">
              <w:rPr>
                <w:rFonts w:ascii="Times New Roman" w:hAnsi="Times New Roman" w:cs="Times New Roman"/>
                <w:sz w:val="28"/>
                <w:szCs w:val="28"/>
              </w:rPr>
              <w:t>1,0 (0,9; 1,05)*</w:t>
            </w:r>
          </w:p>
        </w:tc>
      </w:tr>
      <w:tr w:rsidR="00B54750" w:rsidRPr="007F5722" w:rsidTr="007A745E">
        <w:tc>
          <w:tcPr>
            <w:tcW w:w="1914" w:type="dxa"/>
          </w:tcPr>
          <w:p w:rsidR="00B54750" w:rsidRPr="007F5722" w:rsidRDefault="00B54750" w:rsidP="007A745E">
            <w:pPr>
              <w:jc w:val="both"/>
              <w:rPr>
                <w:rFonts w:ascii="Times New Roman" w:hAnsi="Times New Roman" w:cs="Times New Roman"/>
                <w:sz w:val="28"/>
                <w:szCs w:val="28"/>
              </w:rPr>
            </w:pPr>
            <w:r w:rsidRPr="007F5722">
              <w:rPr>
                <w:rFonts w:ascii="Times New Roman" w:hAnsi="Times New Roman" w:cs="Times New Roman"/>
                <w:sz w:val="28"/>
                <w:szCs w:val="28"/>
              </w:rPr>
              <w:t>D ЗСА, мм</w:t>
            </w:r>
          </w:p>
        </w:tc>
        <w:tc>
          <w:tcPr>
            <w:tcW w:w="1914" w:type="dxa"/>
          </w:tcPr>
          <w:p w:rsidR="00B54750" w:rsidRPr="007F5722" w:rsidRDefault="00B54750" w:rsidP="007A745E">
            <w:pPr>
              <w:jc w:val="center"/>
              <w:rPr>
                <w:rFonts w:ascii="Times New Roman" w:hAnsi="Times New Roman" w:cs="Times New Roman"/>
                <w:sz w:val="28"/>
                <w:szCs w:val="28"/>
              </w:rPr>
            </w:pPr>
            <w:r w:rsidRPr="007F5722">
              <w:rPr>
                <w:rFonts w:ascii="Times New Roman" w:hAnsi="Times New Roman" w:cs="Times New Roman"/>
                <w:sz w:val="28"/>
                <w:szCs w:val="28"/>
              </w:rPr>
              <w:t>7,33</w:t>
            </w:r>
            <w:r w:rsidR="00886C45" w:rsidRPr="007F5722">
              <w:rPr>
                <w:rFonts w:ascii="Times New Roman" w:hAnsi="Times New Roman" w:cs="Times New Roman"/>
                <w:sz w:val="28"/>
                <w:szCs w:val="28"/>
              </w:rPr>
              <w:t xml:space="preserve"> (7,1; 7,5)</w:t>
            </w:r>
            <w:r w:rsidRPr="007F5722">
              <w:rPr>
                <w:rFonts w:ascii="Times New Roman" w:hAnsi="Times New Roman" w:cs="Times New Roman"/>
                <w:sz w:val="28"/>
                <w:szCs w:val="28"/>
              </w:rPr>
              <w:t xml:space="preserve"> </w:t>
            </w:r>
          </w:p>
        </w:tc>
        <w:tc>
          <w:tcPr>
            <w:tcW w:w="1914" w:type="dxa"/>
          </w:tcPr>
          <w:p w:rsidR="00B54750" w:rsidRPr="007F5722" w:rsidRDefault="00490C65" w:rsidP="007A745E">
            <w:pPr>
              <w:jc w:val="center"/>
              <w:rPr>
                <w:rFonts w:ascii="Times New Roman" w:hAnsi="Times New Roman" w:cs="Times New Roman"/>
                <w:sz w:val="28"/>
                <w:szCs w:val="28"/>
              </w:rPr>
            </w:pPr>
            <w:r w:rsidRPr="007F5722">
              <w:rPr>
                <w:rFonts w:ascii="Times New Roman" w:hAnsi="Times New Roman" w:cs="Times New Roman"/>
                <w:sz w:val="28"/>
                <w:szCs w:val="28"/>
              </w:rPr>
              <w:t>6,</w:t>
            </w:r>
            <w:r w:rsidR="00EA06C7" w:rsidRPr="007F5722">
              <w:rPr>
                <w:rFonts w:ascii="Times New Roman" w:hAnsi="Times New Roman" w:cs="Times New Roman"/>
                <w:sz w:val="28"/>
                <w:szCs w:val="28"/>
              </w:rPr>
              <w:t>85</w:t>
            </w:r>
            <w:r w:rsidRPr="007F5722">
              <w:rPr>
                <w:rFonts w:ascii="Times New Roman" w:hAnsi="Times New Roman" w:cs="Times New Roman"/>
                <w:sz w:val="28"/>
                <w:szCs w:val="28"/>
              </w:rPr>
              <w:t xml:space="preserve"> (</w:t>
            </w:r>
            <w:r w:rsidR="00EA06C7" w:rsidRPr="007F5722">
              <w:rPr>
                <w:rFonts w:ascii="Times New Roman" w:hAnsi="Times New Roman" w:cs="Times New Roman"/>
                <w:sz w:val="28"/>
                <w:szCs w:val="28"/>
              </w:rPr>
              <w:t>6,0; 7,5</w:t>
            </w:r>
            <w:r w:rsidRPr="007F5722">
              <w:rPr>
                <w:rFonts w:ascii="Times New Roman" w:hAnsi="Times New Roman" w:cs="Times New Roman"/>
                <w:sz w:val="28"/>
                <w:szCs w:val="28"/>
              </w:rPr>
              <w:t>)</w:t>
            </w:r>
            <w:r w:rsidR="00B54750" w:rsidRPr="007F5722">
              <w:rPr>
                <w:rFonts w:ascii="Times New Roman" w:hAnsi="Times New Roman" w:cs="Times New Roman"/>
                <w:sz w:val="28"/>
                <w:szCs w:val="28"/>
              </w:rPr>
              <w:t xml:space="preserve">* </w:t>
            </w:r>
          </w:p>
        </w:tc>
        <w:tc>
          <w:tcPr>
            <w:tcW w:w="1914" w:type="dxa"/>
          </w:tcPr>
          <w:p w:rsidR="00B54750" w:rsidRPr="007F5722" w:rsidRDefault="00490C65" w:rsidP="007A745E">
            <w:pPr>
              <w:jc w:val="center"/>
              <w:rPr>
                <w:rFonts w:ascii="Times New Roman" w:hAnsi="Times New Roman" w:cs="Times New Roman"/>
                <w:sz w:val="28"/>
                <w:szCs w:val="28"/>
              </w:rPr>
            </w:pPr>
            <w:r w:rsidRPr="007F5722">
              <w:rPr>
                <w:rFonts w:ascii="Times New Roman" w:hAnsi="Times New Roman" w:cs="Times New Roman"/>
                <w:sz w:val="28"/>
                <w:szCs w:val="28"/>
              </w:rPr>
              <w:t>5,7 (5,4; 6,3)</w:t>
            </w:r>
            <w:r w:rsidR="00B54750" w:rsidRPr="007F5722">
              <w:rPr>
                <w:rFonts w:ascii="Times New Roman" w:hAnsi="Times New Roman" w:cs="Times New Roman"/>
                <w:sz w:val="28"/>
                <w:szCs w:val="28"/>
              </w:rPr>
              <w:t xml:space="preserve">** </w:t>
            </w:r>
          </w:p>
        </w:tc>
        <w:tc>
          <w:tcPr>
            <w:tcW w:w="1915" w:type="dxa"/>
          </w:tcPr>
          <w:p w:rsidR="00B54750" w:rsidRPr="007F5722" w:rsidRDefault="00B54750" w:rsidP="007A745E">
            <w:pPr>
              <w:jc w:val="center"/>
              <w:rPr>
                <w:rFonts w:ascii="Times New Roman" w:hAnsi="Times New Roman" w:cs="Times New Roman"/>
                <w:sz w:val="28"/>
                <w:szCs w:val="28"/>
              </w:rPr>
            </w:pPr>
            <w:r w:rsidRPr="007F5722">
              <w:rPr>
                <w:rFonts w:ascii="Times New Roman" w:hAnsi="Times New Roman" w:cs="Times New Roman"/>
                <w:sz w:val="28"/>
                <w:szCs w:val="28"/>
              </w:rPr>
              <w:t>5,4</w:t>
            </w:r>
            <w:r w:rsidR="00490C65" w:rsidRPr="007F5722">
              <w:rPr>
                <w:rFonts w:ascii="Times New Roman" w:hAnsi="Times New Roman" w:cs="Times New Roman"/>
                <w:sz w:val="28"/>
                <w:szCs w:val="28"/>
              </w:rPr>
              <w:t xml:space="preserve"> (5,1; 6,3)</w:t>
            </w:r>
            <w:r w:rsidRPr="007F5722">
              <w:rPr>
                <w:rFonts w:ascii="Times New Roman" w:hAnsi="Times New Roman" w:cs="Times New Roman"/>
                <w:sz w:val="28"/>
                <w:szCs w:val="28"/>
              </w:rPr>
              <w:t xml:space="preserve">** </w:t>
            </w:r>
          </w:p>
        </w:tc>
      </w:tr>
    </w:tbl>
    <w:p w:rsidR="00B54750" w:rsidRPr="007F5722" w:rsidRDefault="00B54750" w:rsidP="00B54750">
      <w:pPr>
        <w:spacing w:after="0" w:line="240" w:lineRule="auto"/>
        <w:jc w:val="both"/>
        <w:rPr>
          <w:rFonts w:ascii="Times New Roman" w:hAnsi="Times New Roman" w:cs="Times New Roman"/>
          <w:sz w:val="24"/>
          <w:szCs w:val="24"/>
        </w:rPr>
      </w:pPr>
      <w:r w:rsidRPr="007F5722">
        <w:rPr>
          <w:rFonts w:ascii="Times New Roman" w:hAnsi="Times New Roman" w:cs="Times New Roman"/>
          <w:sz w:val="24"/>
          <w:szCs w:val="24"/>
        </w:rPr>
        <w:t>Примітка: достовірність різниці стосовно норми: *– при р&lt;0,05; ** – при р&lt;0,01, *** – при</w:t>
      </w:r>
      <w:r w:rsidRPr="007F5722">
        <w:rPr>
          <w:rFonts w:ascii="Times New Roman" w:hAnsi="Times New Roman" w:cs="Times New Roman"/>
          <w:sz w:val="28"/>
          <w:szCs w:val="28"/>
        </w:rPr>
        <w:t xml:space="preserve"> </w:t>
      </w:r>
      <w:r w:rsidRPr="007F5722">
        <w:rPr>
          <w:rFonts w:ascii="Times New Roman" w:hAnsi="Times New Roman" w:cs="Times New Roman"/>
          <w:sz w:val="24"/>
          <w:szCs w:val="24"/>
        </w:rPr>
        <w:t>р&lt;0,001.</w:t>
      </w:r>
    </w:p>
    <w:p w:rsidR="00181B14" w:rsidRPr="007F5722" w:rsidRDefault="00886C45" w:rsidP="00957F96">
      <w:pPr>
        <w:shd w:val="clear" w:color="auto" w:fill="FFFFFF"/>
        <w:spacing w:after="0" w:line="360" w:lineRule="auto"/>
        <w:ind w:firstLine="709"/>
        <w:jc w:val="both"/>
        <w:rPr>
          <w:rFonts w:ascii="Times New Roman" w:hAnsi="Times New Roman" w:cs="Times New Roman"/>
          <w:sz w:val="28"/>
          <w:szCs w:val="28"/>
        </w:rPr>
      </w:pPr>
      <w:r w:rsidRPr="007F5722">
        <w:rPr>
          <w:rFonts w:ascii="Times New Roman" w:hAnsi="Times New Roman"/>
          <w:sz w:val="28"/>
          <w:szCs w:val="28"/>
        </w:rPr>
        <w:t xml:space="preserve">Тобто, з підвищенням маси </w:t>
      </w:r>
      <w:r w:rsidRPr="007F5722">
        <w:rPr>
          <w:rFonts w:ascii="Times New Roman" w:hAnsi="Times New Roman" w:cs="Times New Roman"/>
          <w:sz w:val="28"/>
          <w:szCs w:val="28"/>
        </w:rPr>
        <w:t xml:space="preserve">тіла закономірно зменшується D ЗСА, у зв’язку з чим даний показник і може розглядатися як додатковий, причому відносно ранній маркер імовірності розвитку атеросклеротичного процесу у хворих на ГХ. </w:t>
      </w:r>
    </w:p>
    <w:p w:rsidR="00FD6D8E" w:rsidRPr="007F5722" w:rsidRDefault="00FD6D8E" w:rsidP="00957F96">
      <w:pPr>
        <w:shd w:val="clear" w:color="auto" w:fill="FFFFFF"/>
        <w:spacing w:after="0" w:line="360" w:lineRule="auto"/>
        <w:ind w:firstLine="709"/>
        <w:jc w:val="both"/>
        <w:rPr>
          <w:rFonts w:ascii="Times New Roman" w:hAnsi="Times New Roman" w:cs="Times New Roman"/>
          <w:sz w:val="28"/>
          <w:szCs w:val="28"/>
        </w:rPr>
      </w:pPr>
      <w:r w:rsidRPr="007F5722">
        <w:rPr>
          <w:rFonts w:ascii="Times New Roman" w:hAnsi="Times New Roman"/>
          <w:sz w:val="28"/>
          <w:szCs w:val="28"/>
        </w:rPr>
        <w:t xml:space="preserve">До того ж, нами виявлено, що вміст ІЛ-22 у </w:t>
      </w:r>
      <w:r w:rsidR="00670502">
        <w:rPr>
          <w:rFonts w:ascii="Times New Roman" w:hAnsi="Times New Roman"/>
          <w:sz w:val="28"/>
          <w:szCs w:val="28"/>
        </w:rPr>
        <w:t>плазмі</w:t>
      </w:r>
      <w:r w:rsidRPr="007F5722">
        <w:rPr>
          <w:rFonts w:ascii="Times New Roman" w:hAnsi="Times New Roman"/>
          <w:sz w:val="28"/>
          <w:szCs w:val="28"/>
        </w:rPr>
        <w:t xml:space="preserve"> крові хворих на ГХ з нормальною масою тіла, надмірною масою тіла, а також з ожирінням </w:t>
      </w:r>
      <w:r w:rsidRPr="007F5722">
        <w:rPr>
          <w:rFonts w:ascii="Times New Roman" w:hAnsi="Times New Roman" w:cs="Times New Roman"/>
          <w:sz w:val="28"/>
          <w:szCs w:val="28"/>
        </w:rPr>
        <w:t xml:space="preserve">укладався в інтервали 21,53–24,75, 27,33–29,95 і 30,54–49,56 пг/мл, тобто </w:t>
      </w:r>
      <w:r w:rsidRPr="007F5722">
        <w:rPr>
          <w:rFonts w:ascii="Times New Roman" w:hAnsi="Times New Roman"/>
          <w:sz w:val="28"/>
          <w:szCs w:val="28"/>
        </w:rPr>
        <w:t>значно (</w:t>
      </w:r>
      <w:r w:rsidRPr="007F5722">
        <w:rPr>
          <w:rFonts w:ascii="Times New Roman" w:hAnsi="Times New Roman" w:cs="Times New Roman"/>
          <w:sz w:val="28"/>
          <w:szCs w:val="28"/>
        </w:rPr>
        <w:t>у середньому на 16,81%, на 44,57% й на 102,17% відповідно) і</w:t>
      </w:r>
      <w:r w:rsidRPr="007F5722">
        <w:rPr>
          <w:rFonts w:ascii="Times New Roman" w:hAnsi="Times New Roman"/>
          <w:sz w:val="28"/>
          <w:szCs w:val="28"/>
        </w:rPr>
        <w:t xml:space="preserve"> достовірно (</w:t>
      </w:r>
      <w:r w:rsidRPr="007F5722">
        <w:rPr>
          <w:rFonts w:ascii="Times New Roman" w:hAnsi="Times New Roman" w:cs="Times New Roman"/>
          <w:sz w:val="28"/>
          <w:szCs w:val="28"/>
        </w:rPr>
        <w:t xml:space="preserve">р&lt;0,001) </w:t>
      </w:r>
      <w:r w:rsidRPr="007F5722">
        <w:rPr>
          <w:rFonts w:ascii="Times New Roman" w:hAnsi="Times New Roman"/>
          <w:sz w:val="28"/>
          <w:szCs w:val="28"/>
        </w:rPr>
        <w:t>перевищував такий в групі контролю (18,94–20,68 пг/мл).</w:t>
      </w:r>
      <w:r w:rsidRPr="007F5722">
        <w:rPr>
          <w:rFonts w:ascii="Times New Roman" w:hAnsi="Times New Roman" w:cs="Times New Roman"/>
          <w:sz w:val="28"/>
          <w:szCs w:val="28"/>
        </w:rPr>
        <w:t xml:space="preserve"> При цьому, рівень даного цитокіну в пацієнтів з ГХ, асоційованою з ожирінням, був достовірно вищим порівняно з таким як у хворих на ГХ з нормальною масою тіла (на 73,08%; р&lt;0,001), так і з надмірною масою тіла (на 39,84%; р&lt;0,01), а в останніх – і в порівнянні з попередніми (на 23,77%; р&lt;0,05). </w:t>
      </w:r>
    </w:p>
    <w:p w:rsidR="009029FB" w:rsidRPr="007F5722" w:rsidRDefault="009029FB" w:rsidP="00957F96">
      <w:pPr>
        <w:shd w:val="clear" w:color="auto" w:fill="FFFFFF"/>
        <w:spacing w:after="0" w:line="360" w:lineRule="auto"/>
        <w:ind w:firstLine="709"/>
        <w:jc w:val="both"/>
        <w:rPr>
          <w:rFonts w:ascii="Times New Roman" w:hAnsi="Times New Roman" w:cs="Times New Roman"/>
          <w:sz w:val="28"/>
          <w:szCs w:val="28"/>
        </w:rPr>
      </w:pPr>
      <w:r w:rsidRPr="007F5722">
        <w:rPr>
          <w:rFonts w:ascii="Times New Roman" w:hAnsi="Times New Roman" w:cs="Times New Roman"/>
          <w:sz w:val="28"/>
          <w:szCs w:val="28"/>
        </w:rPr>
        <w:t xml:space="preserve">Ми розподілили обстежених хворих на 2 групи </w:t>
      </w:r>
      <w:r w:rsidR="00C009D0" w:rsidRPr="007F5722">
        <w:rPr>
          <w:rFonts w:ascii="Times New Roman" w:hAnsi="Times New Roman" w:cs="Times New Roman"/>
          <w:sz w:val="28"/>
          <w:szCs w:val="28"/>
        </w:rPr>
        <w:t xml:space="preserve">до першої групи увійшли хворі на ГХ з нормальною масою тіла, до другої – хворі на ГХ з надмірною масою тіла та ожирінням. В свою чергу хворі з кожної групи були розподілені на підгрупи в залежності від товщини КІМ </w:t>
      </w:r>
      <w:r w:rsidR="00347022" w:rsidRPr="007F5722">
        <w:rPr>
          <w:rFonts w:ascii="Times New Roman" w:hAnsi="Times New Roman" w:cs="Times New Roman"/>
          <w:sz w:val="28"/>
          <w:szCs w:val="28"/>
        </w:rPr>
        <w:t xml:space="preserve">ЗСА </w:t>
      </w:r>
      <w:r w:rsidR="00DF48E5" w:rsidRPr="007F5722">
        <w:rPr>
          <w:rFonts w:ascii="Times New Roman" w:hAnsi="Times New Roman" w:cs="Times New Roman"/>
          <w:sz w:val="28"/>
          <w:szCs w:val="28"/>
        </w:rPr>
        <w:t>(таблиця 3.3.1</w:t>
      </w:r>
      <w:r w:rsidR="00670502">
        <w:rPr>
          <w:rFonts w:ascii="Times New Roman" w:hAnsi="Times New Roman" w:cs="Times New Roman"/>
          <w:sz w:val="28"/>
          <w:szCs w:val="28"/>
        </w:rPr>
        <w:t>2</w:t>
      </w:r>
      <w:r w:rsidR="00C009D0" w:rsidRPr="007F5722">
        <w:rPr>
          <w:rFonts w:ascii="Times New Roman" w:hAnsi="Times New Roman" w:cs="Times New Roman"/>
          <w:sz w:val="28"/>
          <w:szCs w:val="28"/>
        </w:rPr>
        <w:t>)</w:t>
      </w:r>
    </w:p>
    <w:p w:rsidR="00DF48E5" w:rsidRPr="007F5722" w:rsidRDefault="00DF48E5" w:rsidP="00670502">
      <w:pPr>
        <w:shd w:val="clear" w:color="auto" w:fill="FFFFFF"/>
        <w:spacing w:after="0" w:line="360" w:lineRule="auto"/>
        <w:rPr>
          <w:rFonts w:ascii="Times New Roman" w:hAnsi="Times New Roman" w:cs="Times New Roman"/>
          <w:sz w:val="28"/>
          <w:szCs w:val="28"/>
        </w:rPr>
      </w:pPr>
    </w:p>
    <w:p w:rsidR="00C009D0" w:rsidRPr="007F5722" w:rsidRDefault="00DF48E5" w:rsidP="00C009D0">
      <w:pPr>
        <w:shd w:val="clear" w:color="auto" w:fill="FFFFFF"/>
        <w:spacing w:after="0" w:line="360" w:lineRule="auto"/>
        <w:ind w:firstLine="709"/>
        <w:jc w:val="right"/>
        <w:rPr>
          <w:rFonts w:ascii="Times New Roman" w:hAnsi="Times New Roman" w:cs="Times New Roman"/>
          <w:sz w:val="28"/>
          <w:szCs w:val="28"/>
        </w:rPr>
      </w:pPr>
      <w:r w:rsidRPr="007F5722">
        <w:rPr>
          <w:rFonts w:ascii="Times New Roman" w:hAnsi="Times New Roman" w:cs="Times New Roman"/>
          <w:sz w:val="28"/>
          <w:szCs w:val="28"/>
        </w:rPr>
        <w:lastRenderedPageBreak/>
        <w:t>Таблиця 3.3.1</w:t>
      </w:r>
      <w:r w:rsidR="00670502">
        <w:rPr>
          <w:rFonts w:ascii="Times New Roman" w:hAnsi="Times New Roman" w:cs="Times New Roman"/>
          <w:sz w:val="28"/>
          <w:szCs w:val="28"/>
        </w:rPr>
        <w:t>2</w:t>
      </w:r>
    </w:p>
    <w:p w:rsidR="00C009D0" w:rsidRPr="007F5722" w:rsidRDefault="00C009D0" w:rsidP="00C009D0">
      <w:pPr>
        <w:shd w:val="clear" w:color="auto" w:fill="FFFFFF"/>
        <w:spacing w:after="0" w:line="360" w:lineRule="auto"/>
        <w:ind w:firstLine="709"/>
        <w:jc w:val="center"/>
        <w:rPr>
          <w:rFonts w:ascii="Times New Roman" w:hAnsi="Times New Roman" w:cs="Times New Roman"/>
          <w:sz w:val="28"/>
          <w:szCs w:val="28"/>
        </w:rPr>
      </w:pPr>
      <w:r w:rsidRPr="007F5722">
        <w:rPr>
          <w:rFonts w:ascii="Times New Roman" w:hAnsi="Times New Roman" w:cs="Times New Roman"/>
          <w:sz w:val="28"/>
          <w:szCs w:val="28"/>
        </w:rPr>
        <w:t xml:space="preserve">Рівень ІЛ-22 в </w:t>
      </w:r>
      <w:r w:rsidR="00670502">
        <w:rPr>
          <w:rFonts w:ascii="Times New Roman" w:hAnsi="Times New Roman" w:cs="Times New Roman"/>
          <w:sz w:val="28"/>
          <w:szCs w:val="28"/>
        </w:rPr>
        <w:t>плазмі</w:t>
      </w:r>
      <w:r w:rsidRPr="007F5722">
        <w:rPr>
          <w:rFonts w:ascii="Times New Roman" w:hAnsi="Times New Roman" w:cs="Times New Roman"/>
          <w:sz w:val="28"/>
          <w:szCs w:val="28"/>
        </w:rPr>
        <w:t xml:space="preserve"> крові хворих на ГХ в залежності від наявності надмірної маси тіла, ожиріння та товщини КІМ ЗСА</w:t>
      </w:r>
    </w:p>
    <w:tbl>
      <w:tblPr>
        <w:tblStyle w:val="a9"/>
        <w:tblW w:w="0" w:type="auto"/>
        <w:tblLook w:val="04A0" w:firstRow="1" w:lastRow="0" w:firstColumn="1" w:lastColumn="0" w:noHBand="0" w:noVBand="1"/>
      </w:tblPr>
      <w:tblGrid>
        <w:gridCol w:w="1884"/>
        <w:gridCol w:w="1865"/>
        <w:gridCol w:w="1865"/>
        <w:gridCol w:w="1865"/>
        <w:gridCol w:w="1866"/>
      </w:tblGrid>
      <w:tr w:rsidR="00C009D0" w:rsidRPr="007F5722" w:rsidTr="00347022">
        <w:tc>
          <w:tcPr>
            <w:tcW w:w="1914" w:type="dxa"/>
            <w:vMerge w:val="restart"/>
            <w:vAlign w:val="center"/>
          </w:tcPr>
          <w:p w:rsidR="00C009D0" w:rsidRPr="007F5722" w:rsidRDefault="00C009D0" w:rsidP="00347022">
            <w:pPr>
              <w:spacing w:after="0" w:line="360" w:lineRule="auto"/>
              <w:jc w:val="center"/>
              <w:rPr>
                <w:rFonts w:ascii="Times New Roman" w:hAnsi="Times New Roman" w:cs="Times New Roman"/>
                <w:sz w:val="28"/>
                <w:szCs w:val="28"/>
              </w:rPr>
            </w:pPr>
            <w:r w:rsidRPr="007F5722">
              <w:rPr>
                <w:rFonts w:ascii="Times New Roman" w:hAnsi="Times New Roman" w:cs="Times New Roman"/>
                <w:sz w:val="28"/>
                <w:szCs w:val="28"/>
              </w:rPr>
              <w:t>Показник</w:t>
            </w:r>
          </w:p>
        </w:tc>
        <w:tc>
          <w:tcPr>
            <w:tcW w:w="3828" w:type="dxa"/>
            <w:gridSpan w:val="2"/>
          </w:tcPr>
          <w:p w:rsidR="00C009D0" w:rsidRPr="007F5722" w:rsidRDefault="00C009D0" w:rsidP="00C009D0">
            <w:pPr>
              <w:spacing w:after="0" w:line="360" w:lineRule="auto"/>
              <w:jc w:val="center"/>
              <w:rPr>
                <w:rFonts w:ascii="Times New Roman" w:hAnsi="Times New Roman" w:cs="Times New Roman"/>
                <w:sz w:val="28"/>
                <w:szCs w:val="28"/>
              </w:rPr>
            </w:pPr>
            <w:r w:rsidRPr="007F5722">
              <w:rPr>
                <w:rFonts w:ascii="Times New Roman" w:hAnsi="Times New Roman" w:cs="Times New Roman"/>
                <w:sz w:val="28"/>
                <w:szCs w:val="28"/>
              </w:rPr>
              <w:t>ГХ з нормальною масою тіла</w:t>
            </w:r>
          </w:p>
        </w:tc>
        <w:tc>
          <w:tcPr>
            <w:tcW w:w="3829" w:type="dxa"/>
            <w:gridSpan w:val="2"/>
          </w:tcPr>
          <w:p w:rsidR="00C009D0" w:rsidRPr="007F5722" w:rsidRDefault="00C009D0" w:rsidP="00C009D0">
            <w:pPr>
              <w:spacing w:after="0" w:line="360" w:lineRule="auto"/>
              <w:jc w:val="center"/>
              <w:rPr>
                <w:rFonts w:ascii="Times New Roman" w:hAnsi="Times New Roman" w:cs="Times New Roman"/>
                <w:sz w:val="28"/>
                <w:szCs w:val="28"/>
              </w:rPr>
            </w:pPr>
            <w:r w:rsidRPr="007F5722">
              <w:rPr>
                <w:rFonts w:ascii="Times New Roman" w:hAnsi="Times New Roman" w:cs="Times New Roman"/>
                <w:sz w:val="28"/>
                <w:szCs w:val="28"/>
              </w:rPr>
              <w:t>ГХ з надмірною масою тіла та ожирінням</w:t>
            </w:r>
          </w:p>
        </w:tc>
      </w:tr>
      <w:tr w:rsidR="00C009D0" w:rsidRPr="007F5722" w:rsidTr="00C009D0">
        <w:tc>
          <w:tcPr>
            <w:tcW w:w="1914" w:type="dxa"/>
            <w:vMerge/>
          </w:tcPr>
          <w:p w:rsidR="00C009D0" w:rsidRPr="007F5722" w:rsidRDefault="00C009D0" w:rsidP="00C009D0">
            <w:pPr>
              <w:spacing w:after="0" w:line="360" w:lineRule="auto"/>
              <w:jc w:val="center"/>
              <w:rPr>
                <w:rFonts w:ascii="Times New Roman" w:hAnsi="Times New Roman" w:cs="Times New Roman"/>
                <w:sz w:val="28"/>
                <w:szCs w:val="28"/>
              </w:rPr>
            </w:pPr>
          </w:p>
        </w:tc>
        <w:tc>
          <w:tcPr>
            <w:tcW w:w="1914" w:type="dxa"/>
          </w:tcPr>
          <w:p w:rsidR="00C009D0" w:rsidRPr="007F5722" w:rsidRDefault="00C009D0" w:rsidP="00C009D0">
            <w:pPr>
              <w:spacing w:after="0" w:line="360" w:lineRule="auto"/>
              <w:jc w:val="center"/>
              <w:rPr>
                <w:rFonts w:ascii="Times New Roman" w:hAnsi="Times New Roman" w:cs="Times New Roman"/>
                <w:sz w:val="28"/>
                <w:szCs w:val="28"/>
              </w:rPr>
            </w:pPr>
            <w:r w:rsidRPr="007F5722">
              <w:rPr>
                <w:rFonts w:ascii="Times New Roman" w:hAnsi="Times New Roman" w:cs="Times New Roman"/>
                <w:sz w:val="28"/>
                <w:szCs w:val="28"/>
              </w:rPr>
              <w:t>КІМ ≥ 0,9 мм</w:t>
            </w:r>
          </w:p>
        </w:tc>
        <w:tc>
          <w:tcPr>
            <w:tcW w:w="1914" w:type="dxa"/>
          </w:tcPr>
          <w:p w:rsidR="00C009D0" w:rsidRPr="007F5722" w:rsidRDefault="00C009D0" w:rsidP="00C009D0">
            <w:pPr>
              <w:spacing w:after="0" w:line="360" w:lineRule="auto"/>
              <w:jc w:val="center"/>
              <w:rPr>
                <w:rFonts w:ascii="Times New Roman" w:hAnsi="Times New Roman" w:cs="Times New Roman"/>
                <w:sz w:val="28"/>
                <w:szCs w:val="28"/>
              </w:rPr>
            </w:pPr>
            <w:r w:rsidRPr="007F5722">
              <w:rPr>
                <w:rFonts w:ascii="Times New Roman" w:hAnsi="Times New Roman" w:cs="Times New Roman"/>
                <w:sz w:val="28"/>
                <w:szCs w:val="28"/>
              </w:rPr>
              <w:t>КІМ &lt; 0,9 мм</w:t>
            </w:r>
          </w:p>
        </w:tc>
        <w:tc>
          <w:tcPr>
            <w:tcW w:w="1914" w:type="dxa"/>
          </w:tcPr>
          <w:p w:rsidR="00C009D0" w:rsidRPr="007F5722" w:rsidRDefault="00C009D0" w:rsidP="00C009D0">
            <w:pPr>
              <w:spacing w:after="0" w:line="360" w:lineRule="auto"/>
              <w:jc w:val="center"/>
              <w:rPr>
                <w:rFonts w:ascii="Times New Roman" w:hAnsi="Times New Roman" w:cs="Times New Roman"/>
                <w:sz w:val="28"/>
                <w:szCs w:val="28"/>
              </w:rPr>
            </w:pPr>
            <w:r w:rsidRPr="007F5722">
              <w:rPr>
                <w:rFonts w:ascii="Times New Roman" w:hAnsi="Times New Roman" w:cs="Times New Roman"/>
                <w:sz w:val="28"/>
                <w:szCs w:val="28"/>
              </w:rPr>
              <w:t>КІМ ≥ 0,9 мм</w:t>
            </w:r>
          </w:p>
        </w:tc>
        <w:tc>
          <w:tcPr>
            <w:tcW w:w="1915" w:type="dxa"/>
          </w:tcPr>
          <w:p w:rsidR="00C009D0" w:rsidRPr="007F5722" w:rsidRDefault="00C009D0" w:rsidP="00C009D0">
            <w:pPr>
              <w:spacing w:after="0" w:line="360" w:lineRule="auto"/>
              <w:jc w:val="center"/>
              <w:rPr>
                <w:rFonts w:ascii="Times New Roman" w:hAnsi="Times New Roman" w:cs="Times New Roman"/>
                <w:sz w:val="28"/>
                <w:szCs w:val="28"/>
              </w:rPr>
            </w:pPr>
            <w:r w:rsidRPr="007F5722">
              <w:rPr>
                <w:rFonts w:ascii="Times New Roman" w:hAnsi="Times New Roman" w:cs="Times New Roman"/>
                <w:sz w:val="28"/>
                <w:szCs w:val="28"/>
              </w:rPr>
              <w:t>КІМ &lt; 0,9 мм</w:t>
            </w:r>
          </w:p>
        </w:tc>
      </w:tr>
      <w:tr w:rsidR="00C009D0" w:rsidRPr="007F5722" w:rsidTr="00C009D0">
        <w:tc>
          <w:tcPr>
            <w:tcW w:w="1914" w:type="dxa"/>
          </w:tcPr>
          <w:p w:rsidR="00C009D0" w:rsidRPr="007F5722" w:rsidRDefault="00C009D0" w:rsidP="00C009D0">
            <w:pPr>
              <w:spacing w:after="0" w:line="360" w:lineRule="auto"/>
              <w:jc w:val="center"/>
              <w:rPr>
                <w:rFonts w:ascii="Times New Roman" w:hAnsi="Times New Roman" w:cs="Times New Roman"/>
                <w:sz w:val="28"/>
                <w:szCs w:val="28"/>
              </w:rPr>
            </w:pPr>
            <w:r w:rsidRPr="007F5722">
              <w:rPr>
                <w:rFonts w:ascii="Times New Roman" w:hAnsi="Times New Roman" w:cs="Times New Roman"/>
                <w:sz w:val="28"/>
                <w:szCs w:val="28"/>
              </w:rPr>
              <w:t>ІЛ-22, пг/мл</w:t>
            </w:r>
          </w:p>
        </w:tc>
        <w:tc>
          <w:tcPr>
            <w:tcW w:w="1914" w:type="dxa"/>
          </w:tcPr>
          <w:p w:rsidR="00C009D0" w:rsidRPr="007F5722" w:rsidRDefault="00C009D0" w:rsidP="00C009D0">
            <w:pPr>
              <w:spacing w:after="0" w:line="360" w:lineRule="auto"/>
              <w:jc w:val="center"/>
              <w:rPr>
                <w:rFonts w:ascii="Times New Roman" w:hAnsi="Times New Roman" w:cs="Times New Roman"/>
                <w:sz w:val="28"/>
                <w:szCs w:val="28"/>
              </w:rPr>
            </w:pPr>
            <w:r w:rsidRPr="007F5722">
              <w:rPr>
                <w:rFonts w:ascii="Times New Roman" w:hAnsi="Times New Roman" w:cs="Times New Roman"/>
                <w:sz w:val="28"/>
                <w:szCs w:val="28"/>
              </w:rPr>
              <w:t>29,95 (23,21; 29,61)</w:t>
            </w:r>
          </w:p>
        </w:tc>
        <w:tc>
          <w:tcPr>
            <w:tcW w:w="1914" w:type="dxa"/>
          </w:tcPr>
          <w:p w:rsidR="00C009D0" w:rsidRPr="007F5722" w:rsidRDefault="00C009D0" w:rsidP="00C009D0">
            <w:pPr>
              <w:spacing w:after="0" w:line="360" w:lineRule="auto"/>
              <w:jc w:val="center"/>
              <w:rPr>
                <w:rFonts w:ascii="Times New Roman" w:hAnsi="Times New Roman" w:cs="Times New Roman"/>
                <w:sz w:val="28"/>
                <w:szCs w:val="28"/>
              </w:rPr>
            </w:pPr>
            <w:r w:rsidRPr="007F5722">
              <w:rPr>
                <w:rFonts w:ascii="Times New Roman" w:hAnsi="Times New Roman" w:cs="Times New Roman"/>
                <w:sz w:val="28"/>
                <w:szCs w:val="28"/>
              </w:rPr>
              <w:t>26,16 (23,01; 30,44)</w:t>
            </w:r>
          </w:p>
        </w:tc>
        <w:tc>
          <w:tcPr>
            <w:tcW w:w="1914" w:type="dxa"/>
          </w:tcPr>
          <w:p w:rsidR="00C009D0" w:rsidRPr="007F5722" w:rsidRDefault="00C009D0" w:rsidP="00C009D0">
            <w:pPr>
              <w:spacing w:after="0" w:line="360" w:lineRule="auto"/>
              <w:jc w:val="center"/>
              <w:rPr>
                <w:rFonts w:ascii="Times New Roman" w:hAnsi="Times New Roman" w:cs="Times New Roman"/>
                <w:sz w:val="28"/>
                <w:szCs w:val="28"/>
              </w:rPr>
            </w:pPr>
            <w:r w:rsidRPr="007F5722">
              <w:rPr>
                <w:rFonts w:ascii="Times New Roman" w:hAnsi="Times New Roman" w:cs="Times New Roman"/>
                <w:sz w:val="28"/>
                <w:szCs w:val="28"/>
              </w:rPr>
              <w:t>32,05 (28,64; 51,64)</w:t>
            </w:r>
          </w:p>
        </w:tc>
        <w:tc>
          <w:tcPr>
            <w:tcW w:w="1915" w:type="dxa"/>
          </w:tcPr>
          <w:p w:rsidR="00C009D0" w:rsidRPr="007F5722" w:rsidRDefault="00C009D0" w:rsidP="00C009D0">
            <w:pPr>
              <w:spacing w:after="0" w:line="360" w:lineRule="auto"/>
              <w:jc w:val="center"/>
              <w:rPr>
                <w:rFonts w:ascii="Times New Roman" w:hAnsi="Times New Roman" w:cs="Times New Roman"/>
                <w:sz w:val="28"/>
                <w:szCs w:val="28"/>
              </w:rPr>
            </w:pPr>
            <w:r w:rsidRPr="007F5722">
              <w:rPr>
                <w:rFonts w:ascii="Times New Roman" w:hAnsi="Times New Roman" w:cs="Times New Roman"/>
                <w:sz w:val="28"/>
                <w:szCs w:val="28"/>
              </w:rPr>
              <w:t>28,49 (</w:t>
            </w:r>
            <w:r w:rsidR="00347022" w:rsidRPr="007F5722">
              <w:rPr>
                <w:rFonts w:ascii="Times New Roman" w:hAnsi="Times New Roman" w:cs="Times New Roman"/>
                <w:sz w:val="28"/>
                <w:szCs w:val="28"/>
              </w:rPr>
              <w:t>26,81; 32,26</w:t>
            </w:r>
            <w:r w:rsidRPr="007F5722">
              <w:rPr>
                <w:rFonts w:ascii="Times New Roman" w:hAnsi="Times New Roman" w:cs="Times New Roman"/>
                <w:sz w:val="28"/>
                <w:szCs w:val="28"/>
              </w:rPr>
              <w:t>)</w:t>
            </w:r>
          </w:p>
        </w:tc>
      </w:tr>
    </w:tbl>
    <w:p w:rsidR="00C009D0" w:rsidRPr="007F5722" w:rsidRDefault="00C009D0" w:rsidP="00C009D0">
      <w:pPr>
        <w:shd w:val="clear" w:color="auto" w:fill="FFFFFF"/>
        <w:spacing w:after="0" w:line="360" w:lineRule="auto"/>
        <w:ind w:firstLine="709"/>
        <w:jc w:val="center"/>
        <w:rPr>
          <w:rFonts w:ascii="Times New Roman" w:hAnsi="Times New Roman" w:cs="Times New Roman"/>
          <w:sz w:val="28"/>
          <w:szCs w:val="28"/>
        </w:rPr>
      </w:pPr>
    </w:p>
    <w:p w:rsidR="00FD6D8E" w:rsidRPr="007F5722" w:rsidRDefault="00347022" w:rsidP="00957F96">
      <w:pPr>
        <w:shd w:val="clear" w:color="auto" w:fill="FFFFFF"/>
        <w:spacing w:after="0" w:line="360" w:lineRule="auto"/>
        <w:ind w:firstLine="709"/>
        <w:jc w:val="both"/>
        <w:rPr>
          <w:rFonts w:ascii="Times New Roman" w:hAnsi="Times New Roman" w:cs="Times New Roman"/>
          <w:sz w:val="28"/>
          <w:szCs w:val="28"/>
        </w:rPr>
      </w:pPr>
      <w:r w:rsidRPr="007F5722">
        <w:rPr>
          <w:rFonts w:ascii="Times New Roman" w:hAnsi="Times New Roman" w:cs="Times New Roman"/>
          <w:sz w:val="28"/>
          <w:szCs w:val="28"/>
        </w:rPr>
        <w:t>Отже</w:t>
      </w:r>
      <w:r w:rsidR="00FD6D8E" w:rsidRPr="007F5722">
        <w:rPr>
          <w:rFonts w:ascii="Times New Roman" w:hAnsi="Times New Roman" w:cs="Times New Roman"/>
          <w:sz w:val="28"/>
          <w:szCs w:val="28"/>
        </w:rPr>
        <w:t xml:space="preserve">, рівень ІЛ-22 у хворих на ГХ з ожирінням при товщині КІМ ≥ 0,9 мм складав 32,05 (28,64; 51,64) пг/мл і був на 12,50% вищим (р&lt;0,05) у порівнянні з таким в пацієнтів, в яких КІМ &lt; 0,9 мм – 28,49 (26,81; 32,26) пг/мл, а у хворих з ізольованою ГХ при товщині КІМ ≥ 0,9 мм концентрація даного цитокіну становила 26,95 (23,21; 29,61) пг/мл і була на 3,02% вищою (р˃0,05) у порівнянні з такою в пацієнтів, в яких КІМ &lt; 0,9 мм – 26,16 (23,01; 30,44) пг/мл. </w:t>
      </w:r>
    </w:p>
    <w:p w:rsidR="00957F96" w:rsidRDefault="00FD6D8E" w:rsidP="00F251A8">
      <w:pPr>
        <w:spacing w:after="0" w:line="360" w:lineRule="auto"/>
        <w:ind w:firstLine="709"/>
        <w:jc w:val="both"/>
        <w:rPr>
          <w:rFonts w:ascii="Times New Roman" w:hAnsi="Times New Roman" w:cs="Times New Roman"/>
          <w:sz w:val="28"/>
          <w:szCs w:val="28"/>
        </w:rPr>
      </w:pPr>
      <w:r w:rsidRPr="007F5722">
        <w:rPr>
          <w:rFonts w:ascii="Times New Roman" w:hAnsi="Times New Roman" w:cs="Times New Roman"/>
          <w:sz w:val="28"/>
          <w:szCs w:val="28"/>
        </w:rPr>
        <w:t>Отримані результати свідчать на користь т</w:t>
      </w:r>
      <w:r w:rsidR="00C368CC">
        <w:rPr>
          <w:rFonts w:ascii="Times New Roman" w:hAnsi="Times New Roman" w:cs="Times New Roman"/>
          <w:sz w:val="28"/>
          <w:szCs w:val="28"/>
        </w:rPr>
        <w:t>ого, що рівень ІЛ-22 в плазмі</w:t>
      </w:r>
      <w:r w:rsidRPr="007F5722">
        <w:rPr>
          <w:rFonts w:ascii="Times New Roman" w:hAnsi="Times New Roman" w:cs="Times New Roman"/>
          <w:sz w:val="28"/>
          <w:szCs w:val="28"/>
        </w:rPr>
        <w:t xml:space="preserve"> крові пов’язаний з більш значним ступенем ураження судинної стінки у хворих на ГХ як з ожирінням, так і без нього. Встановлено позитивний кореляційний зв’язок між </w:t>
      </w:r>
      <w:r w:rsidR="00C368CC">
        <w:rPr>
          <w:rFonts w:ascii="Times New Roman" w:hAnsi="Times New Roman" w:cs="Times New Roman"/>
          <w:sz w:val="28"/>
          <w:szCs w:val="28"/>
        </w:rPr>
        <w:t>плазматичним</w:t>
      </w:r>
      <w:r w:rsidRPr="007F5722">
        <w:rPr>
          <w:rFonts w:ascii="Times New Roman" w:hAnsi="Times New Roman" w:cs="Times New Roman"/>
          <w:sz w:val="28"/>
          <w:szCs w:val="28"/>
        </w:rPr>
        <w:t xml:space="preserve"> рівнем ІЛ-22 й товщиною КІМ при ГХ з ожирінням (R=0,67; р&lt;0,05) і без нього (R=0,39; р&lt;0,05). Більш високі рівні ІЛ-22 у групі хворих на ГХ як з ожирінням, так і без нього на тлі нормальної товщини КІМ у порівнянні з контрольною групою, імовірно свідчить про те, що збільшення ІЛ-22 формує раннє ураження ендотелію судинного русла. До того ж, у загальній кількості хворих (</w:t>
      </w:r>
      <w:r w:rsidRPr="007F5722">
        <w:rPr>
          <w:rFonts w:ascii="Times New Roman" w:hAnsi="Times New Roman" w:cs="Times New Roman"/>
          <w:sz w:val="28"/>
          <w:szCs w:val="28"/>
          <w:lang w:val="en-US"/>
        </w:rPr>
        <w:t>n</w:t>
      </w:r>
      <w:r w:rsidRPr="007F5722">
        <w:rPr>
          <w:rFonts w:ascii="Times New Roman" w:hAnsi="Times New Roman" w:cs="Times New Roman"/>
          <w:sz w:val="28"/>
          <w:szCs w:val="28"/>
        </w:rPr>
        <w:t>=121) рівень ІЛ-22 мав негативну кореляцію з D ЗСА (</w:t>
      </w:r>
      <w:r w:rsidRPr="007F5722">
        <w:rPr>
          <w:rFonts w:ascii="Times New Roman" w:hAnsi="Times New Roman" w:cs="Times New Roman"/>
          <w:sz w:val="28"/>
          <w:szCs w:val="28"/>
          <w:lang w:val="en-US"/>
        </w:rPr>
        <w:t>R</w:t>
      </w:r>
      <w:r w:rsidRPr="007F5722">
        <w:rPr>
          <w:rFonts w:ascii="Times New Roman" w:hAnsi="Times New Roman" w:cs="Times New Roman"/>
          <w:sz w:val="28"/>
          <w:szCs w:val="28"/>
        </w:rPr>
        <w:t>=-0,26; р&lt;0,05), у той же час як кореляційний аналіз у групах хворих не виявив достовірних зв’язків.</w:t>
      </w:r>
    </w:p>
    <w:p w:rsidR="00310757" w:rsidRDefault="00310757" w:rsidP="00F251A8">
      <w:pPr>
        <w:spacing w:after="0" w:line="360" w:lineRule="auto"/>
        <w:ind w:firstLine="709"/>
        <w:jc w:val="both"/>
        <w:rPr>
          <w:rFonts w:ascii="Times New Roman" w:hAnsi="Times New Roman" w:cs="Times New Roman"/>
          <w:sz w:val="28"/>
          <w:szCs w:val="28"/>
        </w:rPr>
      </w:pPr>
    </w:p>
    <w:p w:rsidR="00310757" w:rsidRDefault="00310757" w:rsidP="00F251A8">
      <w:pPr>
        <w:spacing w:after="0" w:line="360" w:lineRule="auto"/>
        <w:ind w:firstLine="709"/>
        <w:jc w:val="both"/>
        <w:rPr>
          <w:rFonts w:ascii="Times New Roman" w:hAnsi="Times New Roman"/>
          <w:sz w:val="28"/>
          <w:szCs w:val="28"/>
        </w:rPr>
      </w:pPr>
      <w:r w:rsidRPr="0013056D">
        <w:rPr>
          <w:rFonts w:ascii="Times New Roman" w:hAnsi="Times New Roman"/>
          <w:sz w:val="28"/>
          <w:szCs w:val="28"/>
        </w:rPr>
        <w:t>Результати, викладені в даному розділі, опубліковані в наступних наукових працях автора</w:t>
      </w:r>
      <w:r>
        <w:rPr>
          <w:rFonts w:ascii="Times New Roman" w:hAnsi="Times New Roman"/>
          <w:sz w:val="28"/>
          <w:szCs w:val="28"/>
        </w:rPr>
        <w:t>:</w:t>
      </w:r>
    </w:p>
    <w:p w:rsidR="00310757" w:rsidRPr="00310757" w:rsidRDefault="00310757" w:rsidP="00310757">
      <w:pPr>
        <w:pStyle w:val="a8"/>
        <w:numPr>
          <w:ilvl w:val="0"/>
          <w:numId w:val="45"/>
        </w:numPr>
        <w:spacing w:after="0" w:line="360" w:lineRule="auto"/>
        <w:jc w:val="both"/>
        <w:rPr>
          <w:rFonts w:ascii="Times New Roman" w:hAnsi="Times New Roman" w:cs="Times New Roman"/>
          <w:sz w:val="28"/>
          <w:szCs w:val="28"/>
        </w:rPr>
      </w:pPr>
      <w:r w:rsidRPr="00645092">
        <w:rPr>
          <w:rFonts w:ascii="Times New Roman" w:hAnsi="Times New Roman"/>
          <w:sz w:val="28"/>
          <w:szCs w:val="28"/>
          <w:lang w:val="en-US"/>
        </w:rPr>
        <w:lastRenderedPageBreak/>
        <w:t>Kysylenko K. The relations between proinflammatory and atherogenic markers and vessels remodeling in patients with hypertensive disease / K. Kysylenko, O. Kovalyova // Inter Collegas. – 2018. – Vol. 5</w:t>
      </w:r>
      <w:r w:rsidRPr="00645092">
        <w:rPr>
          <w:rFonts w:ascii="Times New Roman" w:hAnsi="Times New Roman"/>
          <w:sz w:val="28"/>
          <w:szCs w:val="28"/>
        </w:rPr>
        <w:t>. - №</w:t>
      </w:r>
      <w:r w:rsidRPr="00645092">
        <w:rPr>
          <w:rFonts w:ascii="Times New Roman" w:hAnsi="Times New Roman"/>
          <w:sz w:val="28"/>
          <w:szCs w:val="28"/>
          <w:lang w:val="en-US"/>
        </w:rPr>
        <w:t>3</w:t>
      </w:r>
      <w:r w:rsidRPr="00645092">
        <w:rPr>
          <w:rFonts w:ascii="Times New Roman" w:hAnsi="Times New Roman"/>
          <w:sz w:val="28"/>
          <w:szCs w:val="28"/>
        </w:rPr>
        <w:t>. Р. 111-116.</w:t>
      </w:r>
    </w:p>
    <w:p w:rsidR="00310757" w:rsidRPr="00310757" w:rsidRDefault="00310757" w:rsidP="00310757">
      <w:pPr>
        <w:pStyle w:val="a8"/>
        <w:numPr>
          <w:ilvl w:val="0"/>
          <w:numId w:val="45"/>
        </w:numPr>
        <w:spacing w:after="0" w:line="360" w:lineRule="auto"/>
        <w:jc w:val="both"/>
        <w:rPr>
          <w:rFonts w:ascii="Times New Roman" w:hAnsi="Times New Roman" w:cs="Times New Roman"/>
          <w:sz w:val="28"/>
          <w:szCs w:val="28"/>
        </w:rPr>
      </w:pPr>
      <w:r w:rsidRPr="00BE1C95">
        <w:rPr>
          <w:rFonts w:ascii="Times New Roman" w:eastAsia="Times New Roman" w:hAnsi="Times New Roman"/>
          <w:sz w:val="28"/>
          <w:szCs w:val="28"/>
          <w:lang w:eastAsia="ru-RU"/>
        </w:rPr>
        <w:t>Kysylenko K. Interleukin-22 level and vascular remodeling in patients with hypertension in associated with abdominal obesity</w:t>
      </w:r>
      <w:r w:rsidRPr="00BE1C95">
        <w:rPr>
          <w:rFonts w:ascii="Times New Roman" w:eastAsia="Times New Roman" w:hAnsi="Times New Roman"/>
          <w:b/>
          <w:sz w:val="28"/>
          <w:szCs w:val="28"/>
          <w:lang w:eastAsia="ru-RU"/>
        </w:rPr>
        <w:t xml:space="preserve"> / </w:t>
      </w:r>
      <w:r w:rsidRPr="00BE1C95">
        <w:rPr>
          <w:rFonts w:ascii="Times New Roman" w:eastAsia="Times New Roman" w:hAnsi="Times New Roman"/>
          <w:sz w:val="28"/>
          <w:szCs w:val="28"/>
          <w:lang w:eastAsia="ru-RU"/>
        </w:rPr>
        <w:t>K. Kysylenko, O. Kovalyova // Biological Markers and Guided Therapy. – 2019. – Vol. 6. – № 1. Р. 63-68</w:t>
      </w:r>
      <w:r>
        <w:rPr>
          <w:rFonts w:ascii="Times New Roman" w:eastAsia="Times New Roman" w:hAnsi="Times New Roman"/>
          <w:sz w:val="28"/>
          <w:szCs w:val="28"/>
          <w:lang w:eastAsia="ru-RU"/>
        </w:rPr>
        <w:t>.</w:t>
      </w:r>
    </w:p>
    <w:p w:rsidR="00310757" w:rsidRPr="00310757" w:rsidRDefault="00310757" w:rsidP="00310757">
      <w:pPr>
        <w:pStyle w:val="a8"/>
        <w:numPr>
          <w:ilvl w:val="0"/>
          <w:numId w:val="45"/>
        </w:numPr>
        <w:spacing w:after="0" w:line="360" w:lineRule="auto"/>
        <w:jc w:val="both"/>
        <w:rPr>
          <w:rFonts w:ascii="Times New Roman" w:hAnsi="Times New Roman" w:cs="Times New Roman"/>
          <w:sz w:val="28"/>
          <w:szCs w:val="28"/>
        </w:rPr>
      </w:pPr>
      <w:r>
        <w:rPr>
          <w:rFonts w:ascii="Times New Roman" w:hAnsi="Times New Roman"/>
          <w:sz w:val="28"/>
          <w:szCs w:val="28"/>
        </w:rPr>
        <w:t>Патент на корисну модель № 142161, Україна, МПК G01N 33/48</w:t>
      </w:r>
      <w:r w:rsidRPr="00984589">
        <w:rPr>
          <w:rFonts w:ascii="Times New Roman" w:hAnsi="Times New Roman"/>
          <w:sz w:val="28"/>
          <w:szCs w:val="28"/>
        </w:rPr>
        <w:t xml:space="preserve"> (2006.01). Спосіб</w:t>
      </w:r>
      <w:r>
        <w:rPr>
          <w:rFonts w:ascii="Times New Roman" w:hAnsi="Times New Roman"/>
          <w:sz w:val="28"/>
          <w:szCs w:val="28"/>
        </w:rPr>
        <w:t xml:space="preserve"> діагностики розвитку атеросклеротичного процесу у хворих на гіпертонічну хворобу / К</w:t>
      </w:r>
      <w:r w:rsidRPr="00984589">
        <w:rPr>
          <w:rFonts w:ascii="Times New Roman" w:hAnsi="Times New Roman"/>
          <w:sz w:val="28"/>
          <w:szCs w:val="28"/>
        </w:rPr>
        <w:t xml:space="preserve">. В. </w:t>
      </w:r>
      <w:r>
        <w:rPr>
          <w:rFonts w:ascii="Times New Roman" w:hAnsi="Times New Roman"/>
          <w:sz w:val="28"/>
          <w:szCs w:val="28"/>
        </w:rPr>
        <w:t>Кисиленко, О. М</w:t>
      </w:r>
      <w:r w:rsidRPr="00984589">
        <w:rPr>
          <w:rFonts w:ascii="Times New Roman" w:hAnsi="Times New Roman"/>
          <w:sz w:val="28"/>
          <w:szCs w:val="28"/>
        </w:rPr>
        <w:t>. К</w:t>
      </w:r>
      <w:r>
        <w:rPr>
          <w:rFonts w:ascii="Times New Roman" w:hAnsi="Times New Roman"/>
          <w:sz w:val="28"/>
          <w:szCs w:val="28"/>
        </w:rPr>
        <w:t>овальова</w:t>
      </w:r>
      <w:r w:rsidRPr="00984589">
        <w:rPr>
          <w:rFonts w:ascii="Times New Roman" w:hAnsi="Times New Roman"/>
          <w:sz w:val="28"/>
          <w:szCs w:val="28"/>
        </w:rPr>
        <w:t>; Харківський національний медичний універ</w:t>
      </w:r>
      <w:r>
        <w:rPr>
          <w:rFonts w:ascii="Times New Roman" w:hAnsi="Times New Roman"/>
          <w:sz w:val="28"/>
          <w:szCs w:val="28"/>
        </w:rPr>
        <w:t>ситет. – № u 2019 07697; заявл. 08.07.2019</w:t>
      </w:r>
      <w:r w:rsidRPr="00984589">
        <w:rPr>
          <w:rFonts w:ascii="Times New Roman" w:hAnsi="Times New Roman"/>
          <w:sz w:val="28"/>
          <w:szCs w:val="28"/>
        </w:rPr>
        <w:t xml:space="preserve">; опубл. </w:t>
      </w:r>
      <w:r>
        <w:rPr>
          <w:rFonts w:ascii="Times New Roman" w:hAnsi="Times New Roman"/>
          <w:sz w:val="28"/>
          <w:szCs w:val="28"/>
        </w:rPr>
        <w:t>25.05.2020</w:t>
      </w:r>
      <w:r w:rsidRPr="00984589">
        <w:rPr>
          <w:rFonts w:ascii="Times New Roman" w:hAnsi="Times New Roman"/>
          <w:sz w:val="28"/>
          <w:szCs w:val="28"/>
        </w:rPr>
        <w:t>, Бюл. №1</w:t>
      </w:r>
      <w:r>
        <w:rPr>
          <w:rFonts w:ascii="Times New Roman" w:hAnsi="Times New Roman"/>
          <w:sz w:val="28"/>
          <w:szCs w:val="28"/>
        </w:rPr>
        <w:t>0</w:t>
      </w:r>
      <w:r w:rsidRPr="00984589">
        <w:rPr>
          <w:rFonts w:ascii="Times New Roman" w:hAnsi="Times New Roman"/>
          <w:sz w:val="28"/>
          <w:szCs w:val="28"/>
        </w:rPr>
        <w:t>.</w:t>
      </w:r>
    </w:p>
    <w:p w:rsidR="00957F96" w:rsidRPr="007F5722" w:rsidRDefault="00957F96" w:rsidP="00853077">
      <w:pPr>
        <w:shd w:val="clear" w:color="auto" w:fill="FFFFFF"/>
        <w:spacing w:after="0" w:line="360" w:lineRule="auto"/>
        <w:jc w:val="both"/>
        <w:rPr>
          <w:rFonts w:ascii="Times New Roman" w:eastAsia="Times New Roman" w:hAnsi="Times New Roman" w:cs="Times New Roman"/>
          <w:b/>
          <w:bCs/>
          <w:color w:val="000000"/>
          <w:sz w:val="28"/>
          <w:szCs w:val="28"/>
        </w:rPr>
        <w:sectPr w:rsidR="00957F96" w:rsidRPr="007F5722" w:rsidSect="00E9787A">
          <w:pgSz w:w="11906" w:h="16838"/>
          <w:pgMar w:top="1134" w:right="850" w:bottom="1134" w:left="1701" w:header="708" w:footer="708" w:gutter="0"/>
          <w:cols w:space="708"/>
          <w:docGrid w:linePitch="360"/>
        </w:sectPr>
      </w:pPr>
    </w:p>
    <w:p w:rsidR="003A1552" w:rsidRPr="007F5722" w:rsidRDefault="003A1552" w:rsidP="003A1552">
      <w:pPr>
        <w:spacing w:after="0" w:line="360" w:lineRule="auto"/>
        <w:jc w:val="center"/>
        <w:rPr>
          <w:rFonts w:ascii="Times New Roman" w:hAnsi="Times New Roman" w:cs="Times New Roman"/>
          <w:b/>
          <w:sz w:val="28"/>
        </w:rPr>
      </w:pPr>
      <w:r w:rsidRPr="007F5722">
        <w:rPr>
          <w:rFonts w:ascii="Times New Roman" w:hAnsi="Times New Roman" w:cs="Times New Roman"/>
          <w:b/>
          <w:sz w:val="28"/>
        </w:rPr>
        <w:lastRenderedPageBreak/>
        <w:t>РОЗДІЛ 4</w:t>
      </w:r>
    </w:p>
    <w:p w:rsidR="003A1552" w:rsidRPr="007F5722" w:rsidRDefault="003A1552" w:rsidP="003A1552">
      <w:pPr>
        <w:spacing w:after="0" w:line="360" w:lineRule="auto"/>
        <w:jc w:val="center"/>
        <w:rPr>
          <w:rFonts w:ascii="Times New Roman" w:hAnsi="Times New Roman" w:cs="Times New Roman"/>
          <w:b/>
          <w:sz w:val="28"/>
        </w:rPr>
      </w:pPr>
      <w:r w:rsidRPr="007F5722">
        <w:rPr>
          <w:rFonts w:ascii="Times New Roman" w:hAnsi="Times New Roman" w:cs="Times New Roman"/>
          <w:b/>
          <w:sz w:val="28"/>
        </w:rPr>
        <w:t>АНАЛІЗ ТА УЗАГАЛЬНЕННЯ РЕЗУЛЬТАТІВ ДОСЛІДЖЕННЯ</w:t>
      </w:r>
    </w:p>
    <w:p w:rsidR="003A1552" w:rsidRPr="007F5722" w:rsidRDefault="003A1552" w:rsidP="003A1552">
      <w:pPr>
        <w:spacing w:after="0" w:line="360" w:lineRule="auto"/>
        <w:jc w:val="center"/>
        <w:rPr>
          <w:rFonts w:ascii="Times New Roman" w:hAnsi="Times New Roman" w:cs="Times New Roman"/>
          <w:b/>
          <w:sz w:val="28"/>
        </w:rPr>
      </w:pPr>
    </w:p>
    <w:p w:rsidR="003A1552" w:rsidRPr="007F5722" w:rsidRDefault="003A1552" w:rsidP="003A1552">
      <w:pPr>
        <w:spacing w:after="0" w:line="360" w:lineRule="auto"/>
        <w:jc w:val="both"/>
        <w:rPr>
          <w:rFonts w:ascii="Times New Roman" w:hAnsi="Times New Roman" w:cs="Times New Roman"/>
          <w:sz w:val="28"/>
        </w:rPr>
      </w:pPr>
      <w:r w:rsidRPr="007F5722">
        <w:rPr>
          <w:rFonts w:ascii="Times New Roman" w:hAnsi="Times New Roman" w:cs="Times New Roman"/>
          <w:sz w:val="28"/>
        </w:rPr>
        <w:tab/>
        <w:t xml:space="preserve">Серцево-судинні захворювання залишаються провідною причиною захворюваності та смертності в усьому світі, в тому числі і в Україні. Незважаючи на те, що більшість факторів ризику цих захворювань, таких як надмірна маса тіла та ожиріння, тютюнопаління, чоловіча стать, підвищений рівень артеріального тиску, дисліпідемія та цукровий діабет досить добре відомі, точні механізми розвитку ССЗ залишаються не до кінця зрозумілими. </w:t>
      </w:r>
    </w:p>
    <w:p w:rsidR="003A1552" w:rsidRPr="007F5722" w:rsidRDefault="003A1552" w:rsidP="003A1552">
      <w:pPr>
        <w:spacing w:after="0" w:line="360" w:lineRule="auto"/>
        <w:jc w:val="both"/>
        <w:rPr>
          <w:rFonts w:ascii="Times New Roman" w:hAnsi="Times New Roman" w:cs="Times New Roman"/>
          <w:sz w:val="28"/>
        </w:rPr>
      </w:pPr>
      <w:r w:rsidRPr="007F5722">
        <w:rPr>
          <w:rFonts w:ascii="Times New Roman" w:hAnsi="Times New Roman" w:cs="Times New Roman"/>
          <w:sz w:val="28"/>
        </w:rPr>
        <w:tab/>
        <w:t>Гіпертонічна хвороба посідає провідні місця в структурі ССЗ, є загрозливою причиною інвалідізації та смертності серед працездатного населення [2</w:t>
      </w:r>
      <w:r w:rsidR="00677253" w:rsidRPr="007F5722">
        <w:rPr>
          <w:rFonts w:ascii="Times New Roman" w:hAnsi="Times New Roman" w:cs="Times New Roman"/>
          <w:sz w:val="28"/>
        </w:rPr>
        <w:t xml:space="preserve">09, 210]. </w:t>
      </w:r>
      <w:r w:rsidRPr="007F5722">
        <w:rPr>
          <w:rFonts w:ascii="Times New Roman" w:hAnsi="Times New Roman" w:cs="Times New Roman"/>
          <w:sz w:val="28"/>
        </w:rPr>
        <w:t>Складність проблеми ГХ обумовлена багатофакторністю патогенетичних механізмів її розвитку. Серед них залучення таких органів-мішеней ГХ, як серце та судини з розвитком їх ремоделювання, що є ключовим моментом в контексті незалежного фактору ризику та впливу на клінічний перебіг захво</w:t>
      </w:r>
      <w:r w:rsidR="00677253" w:rsidRPr="007F5722">
        <w:rPr>
          <w:rFonts w:ascii="Times New Roman" w:hAnsi="Times New Roman" w:cs="Times New Roman"/>
          <w:sz w:val="28"/>
        </w:rPr>
        <w:t xml:space="preserve">рювання. </w:t>
      </w:r>
    </w:p>
    <w:p w:rsidR="003A1552" w:rsidRPr="007F5722" w:rsidRDefault="003A1552" w:rsidP="003A1552">
      <w:pPr>
        <w:spacing w:after="0" w:line="360" w:lineRule="auto"/>
        <w:ind w:firstLine="708"/>
        <w:jc w:val="both"/>
        <w:rPr>
          <w:rFonts w:ascii="Times New Roman" w:hAnsi="Times New Roman" w:cs="Times New Roman"/>
          <w:sz w:val="28"/>
        </w:rPr>
      </w:pPr>
      <w:r w:rsidRPr="007F5722">
        <w:rPr>
          <w:rFonts w:ascii="Times New Roman" w:hAnsi="Times New Roman" w:cs="Times New Roman"/>
          <w:sz w:val="28"/>
        </w:rPr>
        <w:t>Ожиріння також вважається фактором ризику кардіальної патології, в тому числі і ГХ. Ожиріння та метаболічні порушення, що з ним асоційовані, є величезною соціально-економічною та клінічною проблемою в усьому світі. Це обумовлено тим, що ожиріння з коморбідностями має руйнівний ефект на серцево-судинну функцію та створює умови, що сприяють розвитку ССЗ. Описано чисельні механізми, через які ожиріння промотує ССЗ, що включають ектопічну депозицію ліпідів, гіперглікемію, розвиток прокоагулянтного стану та системне імунозапалення, маркерами якого є цитокіни [17-21].</w:t>
      </w:r>
    </w:p>
    <w:p w:rsidR="003A1552" w:rsidRPr="007F5722" w:rsidRDefault="003A1552" w:rsidP="003A1552">
      <w:pPr>
        <w:spacing w:after="0" w:line="360" w:lineRule="auto"/>
        <w:ind w:firstLine="708"/>
        <w:contextualSpacing/>
        <w:jc w:val="both"/>
        <w:rPr>
          <w:rFonts w:ascii="Times New Roman" w:hAnsi="Times New Roman"/>
          <w:sz w:val="28"/>
          <w:szCs w:val="28"/>
        </w:rPr>
      </w:pPr>
      <w:r w:rsidRPr="007F5722">
        <w:rPr>
          <w:rFonts w:ascii="Times New Roman" w:hAnsi="Times New Roman"/>
          <w:sz w:val="28"/>
          <w:szCs w:val="28"/>
        </w:rPr>
        <w:t xml:space="preserve">Поряд з ожирінням, важливим фактором ризику в розвитку серцево-судинних подій є порушення ліпідного метаболізму, що характеризується підвищенням рівню ЗХС, ТГ, ХС ЛПНЩ, ХС ЛПДНЩ та зниженням рівню ХС ЛПВЩ натще [7]. Дисліпідемія є визначальним фактором ризику розвитку атеросклеротичного ураження життєво важливих органів. Як свідчать </w:t>
      </w:r>
      <w:r w:rsidRPr="007F5722">
        <w:rPr>
          <w:rFonts w:ascii="Times New Roman" w:hAnsi="Times New Roman"/>
          <w:sz w:val="28"/>
          <w:szCs w:val="28"/>
        </w:rPr>
        <w:lastRenderedPageBreak/>
        <w:t xml:space="preserve">результати досліджень, одним із інформативних маркерів атерогенезу є аполіпопротеїн В. </w:t>
      </w:r>
    </w:p>
    <w:p w:rsidR="003A1552" w:rsidRPr="007F5722" w:rsidRDefault="003A1552" w:rsidP="003A1552">
      <w:pPr>
        <w:spacing w:after="0" w:line="360" w:lineRule="auto"/>
        <w:ind w:firstLine="709"/>
        <w:contextualSpacing/>
        <w:jc w:val="both"/>
        <w:rPr>
          <w:rFonts w:ascii="Times New Roman" w:hAnsi="Times New Roman"/>
          <w:sz w:val="28"/>
          <w:szCs w:val="28"/>
          <w:lang w:eastAsia="uk-UA"/>
        </w:rPr>
      </w:pPr>
      <w:r w:rsidRPr="007F5722">
        <w:rPr>
          <w:rFonts w:ascii="Times New Roman" w:hAnsi="Times New Roman"/>
          <w:sz w:val="28"/>
          <w:szCs w:val="28"/>
        </w:rPr>
        <w:t>Останнім часом активно досліджується роль імунної системи не тільки в патогенезі низки серцево-судинни</w:t>
      </w:r>
      <w:r w:rsidR="0085541A">
        <w:rPr>
          <w:rFonts w:ascii="Times New Roman" w:hAnsi="Times New Roman"/>
          <w:sz w:val="28"/>
          <w:szCs w:val="28"/>
        </w:rPr>
        <w:t>х захворювань, таких</w:t>
      </w:r>
      <w:r w:rsidRPr="007F5722">
        <w:rPr>
          <w:rFonts w:ascii="Times New Roman" w:hAnsi="Times New Roman"/>
          <w:sz w:val="28"/>
          <w:szCs w:val="28"/>
        </w:rPr>
        <w:t xml:space="preserve"> як ГХ, але й в регулюванні метаболізму [11].</w:t>
      </w:r>
      <w:r w:rsidRPr="007F5722">
        <w:rPr>
          <w:rFonts w:ascii="Times New Roman" w:hAnsi="Times New Roman"/>
          <w:sz w:val="28"/>
          <w:szCs w:val="28"/>
          <w:lang w:eastAsia="uk-UA"/>
        </w:rPr>
        <w:t xml:space="preserve"> Так, наразі вивчаються такі меді</w:t>
      </w:r>
      <w:r w:rsidR="00677253" w:rsidRPr="007F5722">
        <w:rPr>
          <w:rFonts w:ascii="Times New Roman" w:hAnsi="Times New Roman"/>
          <w:sz w:val="28"/>
          <w:szCs w:val="28"/>
          <w:lang w:eastAsia="uk-UA"/>
        </w:rPr>
        <w:t>атори імунозапальної відповіді,</w:t>
      </w:r>
      <w:r w:rsidRPr="007F5722">
        <w:rPr>
          <w:rFonts w:ascii="Times New Roman" w:hAnsi="Times New Roman"/>
          <w:sz w:val="28"/>
          <w:szCs w:val="28"/>
          <w:lang w:eastAsia="uk-UA"/>
        </w:rPr>
        <w:t xml:space="preserve"> як інтерлейкіни. Сімейство інтерлейкінів налічує вже близько 40 членів з про- та протизапальною активністю. Одним із відносно нещодавно відкритих інтерлейкінів є ІЛ-22, який є членом субсімейства ІЛ-10. Основними джерелами продукції ІЛ-22 є окремі популяції лімфоцитів, однак невідомими залишаються точні клітинні ресурси цитокіну при захворюваннях у людини. ІЛ-22 активує утворення антибактеріальних та антигрибкових пептидів, хемокінів та цитокінів епітеліальними клітинами та стимулює процеси їх регенерації. Багато ефектів ІЛ-22 потенціюється одночасною дією ІЛ-17 [</w:t>
      </w:r>
      <w:r w:rsidR="00677253" w:rsidRPr="007F5722">
        <w:rPr>
          <w:rFonts w:ascii="Times New Roman" w:hAnsi="Times New Roman"/>
          <w:sz w:val="28"/>
          <w:szCs w:val="28"/>
          <w:lang w:eastAsia="uk-UA"/>
        </w:rPr>
        <w:t>211</w:t>
      </w:r>
      <w:r w:rsidRPr="007F5722">
        <w:rPr>
          <w:rFonts w:ascii="Times New Roman" w:hAnsi="Times New Roman"/>
          <w:sz w:val="28"/>
          <w:szCs w:val="28"/>
          <w:lang w:eastAsia="uk-UA"/>
        </w:rPr>
        <w:t>]. Існують свідчення залучення ІЛ-22 до патогенезу псоріазу, злоякісних новоутворень, IL-22 експресується в широкому масиві тканин, включаючи печінку, легені, шкіру, вилочкової залозу, підшлункову залозу, нирки, шлунково-кишковий тракт, синовіальні тканини, серце, жирову тканина, молочні залози та очі [</w:t>
      </w:r>
      <w:r w:rsidR="00AB113F" w:rsidRPr="007F5722">
        <w:rPr>
          <w:rFonts w:ascii="Times New Roman" w:hAnsi="Times New Roman"/>
          <w:sz w:val="28"/>
          <w:szCs w:val="28"/>
          <w:lang w:eastAsia="uk-UA"/>
        </w:rPr>
        <w:t>29, 62, 212</w:t>
      </w:r>
      <w:r w:rsidR="00811B2F" w:rsidRPr="007F5722">
        <w:rPr>
          <w:rFonts w:ascii="Times New Roman" w:hAnsi="Times New Roman"/>
          <w:sz w:val="28"/>
          <w:szCs w:val="28"/>
          <w:lang w:eastAsia="uk-UA"/>
        </w:rPr>
        <w:t>-220</w:t>
      </w:r>
      <w:r w:rsidRPr="007F5722">
        <w:rPr>
          <w:rFonts w:ascii="Times New Roman" w:hAnsi="Times New Roman"/>
          <w:sz w:val="28"/>
          <w:szCs w:val="28"/>
          <w:lang w:eastAsia="uk-UA"/>
        </w:rPr>
        <w:t xml:space="preserve">]. </w:t>
      </w:r>
    </w:p>
    <w:p w:rsidR="003A1552" w:rsidRPr="007F5722" w:rsidRDefault="003A1552" w:rsidP="003A1552">
      <w:pPr>
        <w:spacing w:after="0" w:line="360" w:lineRule="auto"/>
        <w:ind w:firstLine="709"/>
        <w:contextualSpacing/>
        <w:jc w:val="both"/>
        <w:rPr>
          <w:rFonts w:ascii="Times New Roman" w:hAnsi="Times New Roman"/>
          <w:sz w:val="28"/>
          <w:szCs w:val="28"/>
          <w:lang w:eastAsia="uk-UA"/>
        </w:rPr>
      </w:pPr>
      <w:r w:rsidRPr="007F5722">
        <w:rPr>
          <w:rFonts w:ascii="Times New Roman" w:hAnsi="Times New Roman"/>
          <w:sz w:val="28"/>
          <w:szCs w:val="28"/>
          <w:lang w:eastAsia="uk-UA"/>
        </w:rPr>
        <w:t>Оскільки IL-22 виробляється в місцях запалення, він може бути посередником фізіологічної відповіді на відновлення локального пошкодження тканин, або це може сприяти патофізіологічному запаленню. Є широкі докази того, що IL-22 опосередковує захист та регенерацію епітеліальних тканин на експериментальних моделях, включаючи гепатит, панкреатит, коліти та травматичне ушкодження тимусу [</w:t>
      </w:r>
      <w:r w:rsidR="00811B2F" w:rsidRPr="007F5722">
        <w:rPr>
          <w:rFonts w:ascii="Times New Roman" w:hAnsi="Times New Roman"/>
          <w:sz w:val="28"/>
          <w:szCs w:val="28"/>
          <w:lang w:eastAsia="uk-UA"/>
        </w:rPr>
        <w:t>50, 62, 212, 213, 221</w:t>
      </w:r>
      <w:r w:rsidRPr="007F5722">
        <w:rPr>
          <w:rFonts w:ascii="Times New Roman" w:hAnsi="Times New Roman"/>
          <w:sz w:val="28"/>
          <w:szCs w:val="28"/>
          <w:lang w:eastAsia="uk-UA"/>
        </w:rPr>
        <w:t xml:space="preserve">]. </w:t>
      </w:r>
    </w:p>
    <w:p w:rsidR="003A1552" w:rsidRPr="007F5722" w:rsidRDefault="003A1552" w:rsidP="003A1552">
      <w:pPr>
        <w:spacing w:after="0" w:line="360" w:lineRule="auto"/>
        <w:ind w:firstLine="709"/>
        <w:contextualSpacing/>
        <w:jc w:val="both"/>
        <w:rPr>
          <w:rFonts w:ascii="Times New Roman" w:hAnsi="Times New Roman"/>
          <w:sz w:val="28"/>
          <w:szCs w:val="28"/>
        </w:rPr>
      </w:pPr>
      <w:r w:rsidRPr="007F5722">
        <w:rPr>
          <w:rFonts w:ascii="Times New Roman" w:hAnsi="Times New Roman"/>
          <w:sz w:val="28"/>
          <w:szCs w:val="28"/>
        </w:rPr>
        <w:t xml:space="preserve">Однак, незважаючи на вже проведені експериментальні та клінічні дослідження, залишилася низка питань щодо патогенетичної ролі ІЛ-22 у розвитку дисліпедемії, ремоделюванні серця та судини, що потребує більш детальнішого вивчення з метою розробки методів ранньої діагностики, більш ретельнішої профілактики </w:t>
      </w:r>
      <w:r w:rsidRPr="007F5722">
        <w:rPr>
          <w:rFonts w:ascii="Times New Roman" w:hAnsi="Times New Roman"/>
          <w:sz w:val="28"/>
          <w:szCs w:val="28"/>
          <w:lang w:eastAsia="uk-UA"/>
        </w:rPr>
        <w:t>гіпертонічної хвороби у поєднанні з ожирінням.</w:t>
      </w:r>
    </w:p>
    <w:p w:rsidR="003A1552" w:rsidRPr="007F5722" w:rsidRDefault="003A1552" w:rsidP="003A1552">
      <w:pPr>
        <w:spacing w:after="0" w:line="360" w:lineRule="auto"/>
        <w:ind w:firstLine="709"/>
        <w:contextualSpacing/>
        <w:jc w:val="both"/>
        <w:rPr>
          <w:rFonts w:ascii="Times New Roman" w:hAnsi="Times New Roman"/>
          <w:sz w:val="28"/>
          <w:szCs w:val="28"/>
        </w:rPr>
      </w:pPr>
      <w:r w:rsidRPr="007F5722">
        <w:rPr>
          <w:rFonts w:ascii="Times New Roman" w:hAnsi="Times New Roman" w:cs="Times New Roman"/>
          <w:sz w:val="28"/>
        </w:rPr>
        <w:lastRenderedPageBreak/>
        <w:t>У зв’язку з чим</w:t>
      </w:r>
      <w:r w:rsidRPr="007F5722">
        <w:rPr>
          <w:rFonts w:ascii="Times New Roman" w:hAnsi="Times New Roman"/>
          <w:sz w:val="28"/>
          <w:szCs w:val="28"/>
        </w:rPr>
        <w:t xml:space="preserve">, метою нашого дослідження була </w:t>
      </w:r>
      <w:r w:rsidR="0085541A" w:rsidRPr="0085541A">
        <w:rPr>
          <w:rFonts w:ascii="Times New Roman" w:hAnsi="Times New Roman"/>
          <w:sz w:val="28"/>
          <w:szCs w:val="28"/>
        </w:rPr>
        <w:t>оптимізація ранньої діагностики дисліпідемії та прогнозування предикторів атерогенезу на підставі визначення показників ліпідного профілю натще та постпрандіально, аполіпопротеіну В, плазматичного рівня інтерлейкіну-22 у комплексі з оцінкою структурно-функціональних змін серця та судин у хворих на гіпертонічну хворобу з ожирінням.</w:t>
      </w:r>
    </w:p>
    <w:p w:rsidR="003A1552" w:rsidRPr="007F5722" w:rsidRDefault="003A1552" w:rsidP="003A1552">
      <w:pPr>
        <w:spacing w:after="0" w:line="360" w:lineRule="auto"/>
        <w:ind w:firstLine="709"/>
        <w:contextualSpacing/>
        <w:jc w:val="both"/>
        <w:rPr>
          <w:rFonts w:ascii="Times New Roman" w:hAnsi="Times New Roman"/>
          <w:sz w:val="28"/>
          <w:szCs w:val="28"/>
        </w:rPr>
      </w:pPr>
      <w:r w:rsidRPr="007F5722">
        <w:rPr>
          <w:rFonts w:ascii="Times New Roman" w:hAnsi="Times New Roman"/>
          <w:sz w:val="28"/>
          <w:szCs w:val="28"/>
        </w:rPr>
        <w:t>Для виконання цієї мети визначено наступні задачі дослідження:</w:t>
      </w:r>
    </w:p>
    <w:p w:rsidR="0085541A" w:rsidRDefault="0085541A" w:rsidP="00A94433">
      <w:pPr>
        <w:pStyle w:val="a8"/>
        <w:numPr>
          <w:ilvl w:val="0"/>
          <w:numId w:val="42"/>
        </w:numPr>
        <w:spacing w:after="0" w:line="360" w:lineRule="auto"/>
        <w:ind w:left="0" w:firstLine="709"/>
        <w:jc w:val="both"/>
        <w:rPr>
          <w:rFonts w:ascii="Times New Roman" w:hAnsi="Times New Roman"/>
          <w:sz w:val="28"/>
          <w:szCs w:val="28"/>
        </w:rPr>
      </w:pPr>
      <w:r w:rsidRPr="0085541A">
        <w:rPr>
          <w:rFonts w:ascii="Times New Roman" w:hAnsi="Times New Roman"/>
          <w:sz w:val="28"/>
          <w:szCs w:val="28"/>
        </w:rPr>
        <w:t xml:space="preserve">Дослідити плазматичний рівень інтерлейкіну-22 у пацієнтів на гіпертонічну хворобу залежно від наявності, ступеня та типу ожиріння. </w:t>
      </w:r>
    </w:p>
    <w:p w:rsidR="0085541A" w:rsidRDefault="0085541A" w:rsidP="00A94433">
      <w:pPr>
        <w:pStyle w:val="a8"/>
        <w:numPr>
          <w:ilvl w:val="0"/>
          <w:numId w:val="42"/>
        </w:numPr>
        <w:spacing w:after="0" w:line="360" w:lineRule="auto"/>
        <w:ind w:left="0" w:firstLine="709"/>
        <w:jc w:val="both"/>
        <w:rPr>
          <w:rFonts w:ascii="Times New Roman" w:hAnsi="Times New Roman"/>
          <w:sz w:val="28"/>
          <w:szCs w:val="28"/>
        </w:rPr>
      </w:pPr>
      <w:r w:rsidRPr="0085541A">
        <w:rPr>
          <w:rFonts w:ascii="Times New Roman" w:hAnsi="Times New Roman"/>
          <w:sz w:val="28"/>
          <w:szCs w:val="28"/>
        </w:rPr>
        <w:t>Визначити параметри ліпідного профілю натще та після стандартного жирового навантаження (сурогатного сніданку) і рівень аполіпопротеїну В у хворих на гіпертонічну хворобу в залежності від наявності ожиріння.</w:t>
      </w:r>
    </w:p>
    <w:p w:rsidR="0085541A" w:rsidRDefault="0085541A" w:rsidP="00A94433">
      <w:pPr>
        <w:pStyle w:val="a8"/>
        <w:numPr>
          <w:ilvl w:val="0"/>
          <w:numId w:val="42"/>
        </w:numPr>
        <w:spacing w:after="0" w:line="360" w:lineRule="auto"/>
        <w:ind w:left="0" w:firstLine="709"/>
        <w:jc w:val="both"/>
        <w:rPr>
          <w:rFonts w:ascii="Times New Roman" w:hAnsi="Times New Roman"/>
          <w:sz w:val="28"/>
          <w:szCs w:val="28"/>
        </w:rPr>
      </w:pPr>
      <w:r w:rsidRPr="0085541A">
        <w:rPr>
          <w:rFonts w:ascii="Times New Roman" w:hAnsi="Times New Roman"/>
          <w:sz w:val="28"/>
          <w:szCs w:val="28"/>
        </w:rPr>
        <w:t>Вивчити у плазмі крові вміст прозапального інтерлейкіну-22 у взаємозв’язку з параметрами ліпідного метаболізму та аполіпопротеїну В у хворих на гіпертонічну хворобу з ожирінням.</w:t>
      </w:r>
    </w:p>
    <w:p w:rsidR="0085541A" w:rsidRDefault="0085541A" w:rsidP="00A94433">
      <w:pPr>
        <w:pStyle w:val="a8"/>
        <w:numPr>
          <w:ilvl w:val="0"/>
          <w:numId w:val="42"/>
        </w:numPr>
        <w:spacing w:after="0" w:line="360" w:lineRule="auto"/>
        <w:ind w:left="0" w:firstLine="709"/>
        <w:jc w:val="both"/>
        <w:rPr>
          <w:rFonts w:ascii="Times New Roman" w:hAnsi="Times New Roman"/>
          <w:sz w:val="28"/>
          <w:szCs w:val="28"/>
        </w:rPr>
      </w:pPr>
      <w:r w:rsidRPr="0085541A">
        <w:rPr>
          <w:rFonts w:ascii="Times New Roman" w:hAnsi="Times New Roman"/>
          <w:sz w:val="28"/>
          <w:szCs w:val="28"/>
        </w:rPr>
        <w:t>Проаналізувати структурно-функціональні параметри міокарду лівого шлуночка та визначити особливості ремоделювання міокарду лівого шлуночка у хворих на гіпертонічну хворобу з ожирінням в залежності від рівня інтерлейкіну-22.</w:t>
      </w:r>
    </w:p>
    <w:p w:rsidR="003A1552" w:rsidRPr="00D30CD7" w:rsidRDefault="0085541A" w:rsidP="00A94433">
      <w:pPr>
        <w:pStyle w:val="a8"/>
        <w:numPr>
          <w:ilvl w:val="0"/>
          <w:numId w:val="42"/>
        </w:numPr>
        <w:spacing w:after="0" w:line="360" w:lineRule="auto"/>
        <w:ind w:left="0" w:firstLine="709"/>
        <w:jc w:val="both"/>
        <w:rPr>
          <w:rFonts w:ascii="Times New Roman" w:hAnsi="Times New Roman"/>
          <w:sz w:val="28"/>
          <w:szCs w:val="28"/>
        </w:rPr>
      </w:pPr>
      <w:r w:rsidRPr="0085541A">
        <w:rPr>
          <w:rFonts w:ascii="Times New Roman" w:hAnsi="Times New Roman"/>
          <w:sz w:val="28"/>
          <w:szCs w:val="28"/>
        </w:rPr>
        <w:t>Дослідити екстракраніальні судини та визначити особливості ремоделювання загальних сонних артерій у хворих на гіпертонічну хворобу з ожирінням залежно від рівня інтерлейкіну-22 та аполіпопротеїну В.</w:t>
      </w:r>
    </w:p>
    <w:p w:rsidR="003A1552" w:rsidRPr="007F5722" w:rsidRDefault="003A1552" w:rsidP="003A1552">
      <w:pPr>
        <w:pStyle w:val="Default"/>
        <w:spacing w:line="360" w:lineRule="auto"/>
        <w:ind w:firstLine="709"/>
        <w:jc w:val="both"/>
        <w:rPr>
          <w:rFonts w:ascii="Times New Roman" w:hAnsi="Times New Roman" w:cs="Times New Roman"/>
          <w:sz w:val="28"/>
          <w:szCs w:val="28"/>
          <w:lang w:val="uk-UA"/>
        </w:rPr>
      </w:pPr>
      <w:r w:rsidRPr="007F5722">
        <w:rPr>
          <w:rFonts w:ascii="Times New Roman" w:hAnsi="Times New Roman"/>
          <w:sz w:val="28"/>
          <w:szCs w:val="28"/>
          <w:lang w:val="uk-UA"/>
        </w:rPr>
        <w:t>Дисертація є фрагментом науково-дослідної роботи кафедри пропедевтики внутрішньої медицини №1, основ біоетики та біобезпеки Харківського національного медичного університету МОЗ України «Роль та прогностична концепція глюкометаболічних порушень у хворих на артеріальну гіпертензію та цукровий діабет 2 типу», номер держреєстрації 0113</w:t>
      </w:r>
      <w:r w:rsidRPr="007F5722">
        <w:rPr>
          <w:rFonts w:ascii="Times New Roman" w:hAnsi="Times New Roman"/>
          <w:sz w:val="28"/>
          <w:szCs w:val="28"/>
        </w:rPr>
        <w:t>U</w:t>
      </w:r>
      <w:r w:rsidRPr="007F5722">
        <w:rPr>
          <w:rFonts w:ascii="Times New Roman" w:hAnsi="Times New Roman"/>
          <w:sz w:val="28"/>
          <w:szCs w:val="28"/>
          <w:lang w:val="uk-UA"/>
        </w:rPr>
        <w:t>002269 термін</w:t>
      </w:r>
      <w:r w:rsidR="00D30CD7">
        <w:rPr>
          <w:rFonts w:ascii="Times New Roman" w:hAnsi="Times New Roman"/>
          <w:sz w:val="28"/>
          <w:szCs w:val="28"/>
          <w:lang w:val="uk-UA"/>
        </w:rPr>
        <w:t xml:space="preserve"> виконання</w:t>
      </w:r>
      <w:r w:rsidRPr="007F5722">
        <w:rPr>
          <w:rFonts w:ascii="Times New Roman" w:hAnsi="Times New Roman"/>
          <w:sz w:val="28"/>
          <w:szCs w:val="28"/>
          <w:lang w:val="uk-UA"/>
        </w:rPr>
        <w:t xml:space="preserve">: 01.2013 - 12.2015 рр, «Роль новітніх біомаркерів метаболізму жирової тканини в оцінці серцево-судинного ризику </w:t>
      </w:r>
      <w:r w:rsidRPr="007F5722">
        <w:rPr>
          <w:rFonts w:ascii="Times New Roman" w:hAnsi="Times New Roman"/>
          <w:sz w:val="28"/>
          <w:szCs w:val="28"/>
          <w:lang w:val="uk-UA"/>
        </w:rPr>
        <w:lastRenderedPageBreak/>
        <w:t>у хворих на артеріальну гіпертензію з ожирінням», номер держреєстрації 0116</w:t>
      </w:r>
      <w:r w:rsidRPr="007F5722">
        <w:rPr>
          <w:rFonts w:ascii="Times New Roman" w:hAnsi="Times New Roman"/>
          <w:sz w:val="28"/>
          <w:szCs w:val="28"/>
        </w:rPr>
        <w:t>U</w:t>
      </w:r>
      <w:r w:rsidRPr="007F5722">
        <w:rPr>
          <w:rFonts w:ascii="Times New Roman" w:hAnsi="Times New Roman"/>
          <w:sz w:val="28"/>
          <w:szCs w:val="28"/>
          <w:lang w:val="uk-UA"/>
        </w:rPr>
        <w:t>004988 термін</w:t>
      </w:r>
      <w:r w:rsidR="00D30CD7">
        <w:rPr>
          <w:rFonts w:ascii="Times New Roman" w:hAnsi="Times New Roman"/>
          <w:sz w:val="28"/>
          <w:szCs w:val="28"/>
          <w:lang w:val="uk-UA"/>
        </w:rPr>
        <w:t xml:space="preserve"> виконання</w:t>
      </w:r>
      <w:r w:rsidRPr="007F5722">
        <w:rPr>
          <w:rFonts w:ascii="Times New Roman" w:hAnsi="Times New Roman"/>
          <w:sz w:val="28"/>
          <w:szCs w:val="28"/>
          <w:lang w:val="uk-UA"/>
        </w:rPr>
        <w:t>: 01.2016 - 12.2018 рр.</w:t>
      </w:r>
      <w:r w:rsidRPr="007F5722">
        <w:rPr>
          <w:rFonts w:ascii="Times New Roman" w:hAnsi="Times New Roman"/>
          <w:sz w:val="28"/>
          <w:szCs w:val="28"/>
          <w:lang w:val="uk-UA" w:eastAsia="uk-UA"/>
        </w:rPr>
        <w:t xml:space="preserve"> у рамках даних науково-дослідних робіт кафедри, здобувачем проведено аналіз наукової літератури, патентно-інформаційний пошук, </w:t>
      </w:r>
      <w:r w:rsidRPr="007F5722">
        <w:rPr>
          <w:rFonts w:ascii="Times New Roman" w:hAnsi="Times New Roman" w:cs="Times New Roman"/>
          <w:sz w:val="28"/>
          <w:szCs w:val="28"/>
          <w:lang w:val="uk-UA"/>
        </w:rPr>
        <w:t>клінічне обстеження пацієнтів, статистичну обробку та інтерпретацією отриманих результатів, публікацію наукових праць.</w:t>
      </w:r>
    </w:p>
    <w:p w:rsidR="003A1552" w:rsidRPr="007F5722" w:rsidRDefault="003A1552" w:rsidP="003A1552">
      <w:pPr>
        <w:spacing w:after="0" w:line="360" w:lineRule="auto"/>
        <w:ind w:firstLine="720"/>
        <w:jc w:val="both"/>
        <w:rPr>
          <w:rFonts w:ascii="Times New Roman" w:hAnsi="Times New Roman"/>
          <w:b/>
          <w:sz w:val="28"/>
          <w:szCs w:val="28"/>
        </w:rPr>
      </w:pPr>
      <w:r w:rsidRPr="007F5722">
        <w:rPr>
          <w:rFonts w:ascii="Times New Roman" w:hAnsi="Times New Roman" w:cs="Times New Roman"/>
          <w:sz w:val="28"/>
          <w:szCs w:val="28"/>
        </w:rPr>
        <w:t>Відповідно до мет</w:t>
      </w:r>
      <w:r w:rsidR="00D30CD7">
        <w:rPr>
          <w:rFonts w:ascii="Times New Roman" w:hAnsi="Times New Roman" w:cs="Times New Roman"/>
          <w:sz w:val="28"/>
          <w:szCs w:val="28"/>
        </w:rPr>
        <w:t>и</w:t>
      </w:r>
      <w:r w:rsidRPr="007F5722">
        <w:rPr>
          <w:rFonts w:ascii="Times New Roman" w:hAnsi="Times New Roman" w:cs="Times New Roman"/>
          <w:sz w:val="28"/>
          <w:szCs w:val="28"/>
        </w:rPr>
        <w:t xml:space="preserve"> та задач дослідження </w:t>
      </w:r>
      <w:r w:rsidRPr="007F5722">
        <w:rPr>
          <w:rFonts w:ascii="Times New Roman" w:eastAsia="Times New Roman" w:hAnsi="Times New Roman"/>
          <w:sz w:val="28"/>
          <w:szCs w:val="28"/>
          <w:lang w:eastAsia="ru-RU"/>
        </w:rPr>
        <w:t xml:space="preserve">обстежено </w:t>
      </w:r>
      <w:r w:rsidR="00D30CD7">
        <w:rPr>
          <w:rFonts w:ascii="Times New Roman" w:eastAsia="Times New Roman" w:hAnsi="Times New Roman"/>
          <w:sz w:val="28"/>
          <w:szCs w:val="28"/>
          <w:lang w:eastAsia="ru-RU"/>
        </w:rPr>
        <w:t>133</w:t>
      </w:r>
      <w:r w:rsidRPr="007F5722">
        <w:rPr>
          <w:rFonts w:ascii="Times New Roman" w:eastAsia="Times New Roman" w:hAnsi="Times New Roman"/>
          <w:sz w:val="28"/>
          <w:szCs w:val="28"/>
          <w:lang w:eastAsia="ru-RU"/>
        </w:rPr>
        <w:t xml:space="preserve"> особи (</w:t>
      </w:r>
      <w:r w:rsidR="00D30CD7">
        <w:rPr>
          <w:rFonts w:ascii="Times New Roman" w:eastAsia="Times New Roman" w:hAnsi="Times New Roman"/>
          <w:sz w:val="28"/>
          <w:szCs w:val="28"/>
          <w:lang w:eastAsia="ru-RU"/>
        </w:rPr>
        <w:t>50</w:t>
      </w:r>
      <w:r w:rsidRPr="007F5722">
        <w:rPr>
          <w:rFonts w:ascii="Times New Roman" w:eastAsia="Times New Roman" w:hAnsi="Times New Roman"/>
          <w:sz w:val="28"/>
          <w:szCs w:val="28"/>
          <w:lang w:eastAsia="ru-RU"/>
        </w:rPr>
        <w:t xml:space="preserve"> чоловіків та </w:t>
      </w:r>
      <w:r w:rsidR="00D30CD7">
        <w:rPr>
          <w:rFonts w:ascii="Times New Roman" w:eastAsia="Times New Roman" w:hAnsi="Times New Roman"/>
          <w:sz w:val="28"/>
          <w:szCs w:val="28"/>
          <w:lang w:eastAsia="ru-RU"/>
        </w:rPr>
        <w:t>83</w:t>
      </w:r>
      <w:r w:rsidRPr="007F5722">
        <w:rPr>
          <w:rFonts w:ascii="Times New Roman" w:eastAsia="Times New Roman" w:hAnsi="Times New Roman"/>
          <w:sz w:val="28"/>
          <w:szCs w:val="28"/>
          <w:lang w:eastAsia="ru-RU"/>
        </w:rPr>
        <w:t xml:space="preserve"> жін</w:t>
      </w:r>
      <w:r w:rsidR="00D30CD7">
        <w:rPr>
          <w:rFonts w:ascii="Times New Roman" w:eastAsia="Times New Roman" w:hAnsi="Times New Roman"/>
          <w:sz w:val="28"/>
          <w:szCs w:val="28"/>
          <w:lang w:eastAsia="ru-RU"/>
        </w:rPr>
        <w:t>ки</w:t>
      </w:r>
      <w:r w:rsidRPr="007F5722">
        <w:rPr>
          <w:rFonts w:ascii="Times New Roman" w:eastAsia="Times New Roman" w:hAnsi="Times New Roman"/>
          <w:sz w:val="28"/>
          <w:szCs w:val="28"/>
          <w:lang w:eastAsia="ru-RU"/>
        </w:rPr>
        <w:t xml:space="preserve"> у віці від 41,0 до 78,0 років), з них </w:t>
      </w:r>
      <w:r w:rsidR="00D30CD7">
        <w:rPr>
          <w:rFonts w:ascii="Times New Roman" w:eastAsia="Times New Roman" w:hAnsi="Times New Roman"/>
          <w:sz w:val="28"/>
          <w:szCs w:val="28"/>
          <w:lang w:eastAsia="ru-RU"/>
        </w:rPr>
        <w:t>121</w:t>
      </w:r>
      <w:r w:rsidRPr="007F5722">
        <w:rPr>
          <w:rFonts w:ascii="Times New Roman" w:eastAsia="Times New Roman" w:hAnsi="Times New Roman"/>
          <w:sz w:val="28"/>
          <w:szCs w:val="28"/>
          <w:lang w:eastAsia="ru-RU"/>
        </w:rPr>
        <w:t xml:space="preserve"> хвори</w:t>
      </w:r>
      <w:r w:rsidR="00D30CD7">
        <w:rPr>
          <w:rFonts w:ascii="Times New Roman" w:eastAsia="Times New Roman" w:hAnsi="Times New Roman"/>
          <w:sz w:val="28"/>
          <w:szCs w:val="28"/>
          <w:lang w:eastAsia="ru-RU"/>
        </w:rPr>
        <w:t>й</w:t>
      </w:r>
      <w:r w:rsidRPr="007F5722">
        <w:rPr>
          <w:rFonts w:ascii="Times New Roman" w:eastAsia="Times New Roman" w:hAnsi="Times New Roman"/>
          <w:sz w:val="28"/>
          <w:szCs w:val="28"/>
          <w:lang w:eastAsia="ru-RU"/>
        </w:rPr>
        <w:t xml:space="preserve"> на ГХ і 12 практично здорових осіб, які проходили обстеження в терапевтичному відділенні КЗОЗ «Харківська міська клінічна лікарня № 11» </w:t>
      </w:r>
      <w:r w:rsidRPr="007F5722">
        <w:rPr>
          <w:rFonts w:ascii="Times New Roman" w:hAnsi="Times New Roman"/>
          <w:sz w:val="28"/>
          <w:szCs w:val="28"/>
        </w:rPr>
        <w:t>- клінічної бази кафедри пропедевтики внутрішньої медицини № 1, основ біоетики та біобезпеки ХНМУ</w:t>
      </w:r>
      <w:r w:rsidRPr="007F5722">
        <w:rPr>
          <w:rFonts w:ascii="Times New Roman" w:eastAsia="Times New Roman" w:hAnsi="Times New Roman"/>
          <w:sz w:val="28"/>
          <w:szCs w:val="28"/>
          <w:lang w:eastAsia="ru-RU"/>
        </w:rPr>
        <w:t>.</w:t>
      </w:r>
    </w:p>
    <w:p w:rsidR="003A1552" w:rsidRPr="007F5722" w:rsidRDefault="003A1552" w:rsidP="003A1552">
      <w:pPr>
        <w:spacing w:after="0" w:line="360" w:lineRule="auto"/>
        <w:ind w:firstLine="709"/>
        <w:contextualSpacing/>
        <w:jc w:val="both"/>
        <w:rPr>
          <w:rFonts w:ascii="Times New Roman" w:eastAsia="Times New Roman" w:hAnsi="Times New Roman"/>
          <w:sz w:val="28"/>
          <w:szCs w:val="28"/>
          <w:lang w:eastAsia="ru-RU"/>
        </w:rPr>
      </w:pPr>
      <w:r w:rsidRPr="007F5722">
        <w:rPr>
          <w:rFonts w:ascii="Times New Roman" w:eastAsia="Times New Roman" w:hAnsi="Times New Roman"/>
          <w:sz w:val="28"/>
          <w:szCs w:val="28"/>
          <w:lang w:eastAsia="ru-RU"/>
        </w:rPr>
        <w:t xml:space="preserve">Верифікацію діаґнозу ГХ проводили на підставі переглянутих рекомендацій Європейського товариства гіпертензії (ESH) щодо діаґностики та лікування артеріальної гіпертензії (2013) </w:t>
      </w:r>
      <w:r w:rsidR="00811B2F" w:rsidRPr="007F5722">
        <w:rPr>
          <w:rFonts w:ascii="Times New Roman" w:eastAsia="Times New Roman" w:hAnsi="Times New Roman"/>
          <w:sz w:val="28"/>
          <w:szCs w:val="28"/>
          <w:lang w:eastAsia="ru-RU"/>
        </w:rPr>
        <w:t>[189</w:t>
      </w:r>
      <w:r w:rsidRPr="007F5722">
        <w:rPr>
          <w:rFonts w:ascii="Times New Roman" w:eastAsia="Times New Roman" w:hAnsi="Times New Roman"/>
          <w:sz w:val="28"/>
          <w:szCs w:val="28"/>
          <w:lang w:eastAsia="ru-RU"/>
        </w:rPr>
        <w:t xml:space="preserve">]. </w:t>
      </w:r>
      <w:r w:rsidRPr="007F5722">
        <w:rPr>
          <w:rFonts w:ascii="Times New Roman" w:hAnsi="Times New Roman"/>
          <w:sz w:val="28"/>
          <w:szCs w:val="28"/>
        </w:rPr>
        <w:t xml:space="preserve">Наявність надмірної маси тіла або ожиріння встановлювалась згідно класифікації Всесвітньої орґанізації охорони здоров’я (ВООЗ, 2006) </w:t>
      </w:r>
      <w:r w:rsidR="00811B2F" w:rsidRPr="007F5722">
        <w:rPr>
          <w:rFonts w:ascii="Times New Roman" w:hAnsi="Times New Roman"/>
          <w:sz w:val="28"/>
          <w:szCs w:val="28"/>
        </w:rPr>
        <w:t>[190</w:t>
      </w:r>
      <w:r w:rsidRPr="007F5722">
        <w:rPr>
          <w:rFonts w:ascii="Times New Roman" w:hAnsi="Times New Roman"/>
          <w:sz w:val="28"/>
          <w:szCs w:val="28"/>
        </w:rPr>
        <w:t>].</w:t>
      </w:r>
    </w:p>
    <w:p w:rsidR="003A1552" w:rsidRPr="007F5722" w:rsidRDefault="003A1552" w:rsidP="003A1552">
      <w:pPr>
        <w:spacing w:after="0" w:line="360" w:lineRule="auto"/>
        <w:ind w:firstLine="709"/>
        <w:contextualSpacing/>
        <w:jc w:val="both"/>
        <w:rPr>
          <w:rFonts w:ascii="Times New Roman" w:hAnsi="Times New Roman"/>
          <w:sz w:val="28"/>
          <w:szCs w:val="28"/>
        </w:rPr>
      </w:pPr>
      <w:r w:rsidRPr="007F5722">
        <w:rPr>
          <w:rFonts w:ascii="Times New Roman" w:hAnsi="Times New Roman"/>
          <w:sz w:val="28"/>
          <w:szCs w:val="28"/>
        </w:rPr>
        <w:t>Критеріями виключення хворих із дослідження були: симптоматичний характер артеріальної гіпертензії; наявні хвороби щитоподібної залози; аутоімунні захворювання; онколоґічні хвороби; загострення хронічних запальних процесів чи наявність гострих запальних захворювань; гострий інфаркт міокарда чи інсульт, гостра ліво- чи правошлуночкова недостатність; травматичні ушкодження центральної нервової системи; супутні психічні захворювання, а також дифузні захворювання сполучної тканини.</w:t>
      </w:r>
    </w:p>
    <w:p w:rsidR="003A1552" w:rsidRPr="007F5722" w:rsidRDefault="003A1552" w:rsidP="006D3ADB">
      <w:pPr>
        <w:spacing w:after="0" w:line="360" w:lineRule="auto"/>
        <w:ind w:firstLine="708"/>
        <w:jc w:val="both"/>
        <w:rPr>
          <w:rFonts w:ascii="Times New Roman" w:hAnsi="Times New Roman"/>
          <w:sz w:val="28"/>
          <w:szCs w:val="28"/>
        </w:rPr>
      </w:pPr>
      <w:r w:rsidRPr="007F5722">
        <w:rPr>
          <w:rFonts w:ascii="Times New Roman" w:hAnsi="Times New Roman"/>
          <w:sz w:val="28"/>
          <w:szCs w:val="28"/>
        </w:rPr>
        <w:t xml:space="preserve">Дослідження виконувалися з інформованої згоди пацієнтів та відповідають етичним нормам відповідно до діючого в Україні законодавства: Закону України «Про лікарські засоби», 1996, ст. 7, 8, 12, принципів ІСН GСP (2008 р.), наказу МОЗ України № 690 від 23.09.2009 «Про затвердження Правил проведення клінічних випробувань та експертизи матеріалів клінічних </w:t>
      </w:r>
      <w:r w:rsidRPr="007F5722">
        <w:rPr>
          <w:rFonts w:ascii="Times New Roman" w:hAnsi="Times New Roman"/>
          <w:sz w:val="28"/>
          <w:szCs w:val="28"/>
        </w:rPr>
        <w:lastRenderedPageBreak/>
        <w:t>випробувань і Типового положення про комісію з питань етики»,  зі змінами  і доповненнями.</w:t>
      </w:r>
    </w:p>
    <w:p w:rsidR="003A1552" w:rsidRPr="007F5722" w:rsidRDefault="003A1552" w:rsidP="006D3ADB">
      <w:pPr>
        <w:pStyle w:val="a8"/>
        <w:spacing w:after="0" w:line="360" w:lineRule="auto"/>
        <w:ind w:left="0" w:firstLine="708"/>
        <w:jc w:val="both"/>
        <w:rPr>
          <w:rFonts w:ascii="Times New Roman" w:hAnsi="Times New Roman"/>
          <w:sz w:val="28"/>
          <w:szCs w:val="28"/>
        </w:rPr>
      </w:pPr>
      <w:r w:rsidRPr="007F5722">
        <w:rPr>
          <w:rFonts w:ascii="Times New Roman" w:hAnsi="Times New Roman"/>
          <w:sz w:val="28"/>
          <w:szCs w:val="28"/>
        </w:rPr>
        <w:t>Всім х</w:t>
      </w:r>
      <w:r w:rsidR="00D30CD7">
        <w:rPr>
          <w:rFonts w:ascii="Times New Roman" w:hAnsi="Times New Roman"/>
          <w:sz w:val="28"/>
          <w:szCs w:val="28"/>
        </w:rPr>
        <w:t>ворим були проведені стандартні</w:t>
      </w:r>
      <w:r w:rsidRPr="007F5722">
        <w:rPr>
          <w:rFonts w:ascii="Times New Roman" w:hAnsi="Times New Roman"/>
          <w:sz w:val="28"/>
          <w:szCs w:val="28"/>
        </w:rPr>
        <w:t xml:space="preserve"> мет</w:t>
      </w:r>
      <w:r w:rsidR="00D30CD7">
        <w:rPr>
          <w:rFonts w:ascii="Times New Roman" w:hAnsi="Times New Roman"/>
          <w:sz w:val="28"/>
          <w:szCs w:val="28"/>
        </w:rPr>
        <w:t xml:space="preserve">оди дослідження, регламентовані протоколами надання </w:t>
      </w:r>
      <w:r w:rsidRPr="007F5722">
        <w:rPr>
          <w:rFonts w:ascii="Times New Roman" w:hAnsi="Times New Roman"/>
          <w:sz w:val="28"/>
          <w:szCs w:val="28"/>
        </w:rPr>
        <w:t>медичних послуг, що затверджені МОЗ України, щодо обстеження хворих на гіпертонічну хворобу.</w:t>
      </w:r>
    </w:p>
    <w:p w:rsidR="003A1552" w:rsidRPr="007F5722" w:rsidRDefault="003A1552" w:rsidP="003A1552">
      <w:pPr>
        <w:spacing w:after="0" w:line="360" w:lineRule="auto"/>
        <w:ind w:firstLine="709"/>
        <w:contextualSpacing/>
        <w:jc w:val="both"/>
        <w:rPr>
          <w:rFonts w:ascii="Times New Roman" w:hAnsi="Times New Roman"/>
          <w:sz w:val="28"/>
          <w:szCs w:val="28"/>
        </w:rPr>
      </w:pPr>
      <w:r w:rsidRPr="007F5722">
        <w:rPr>
          <w:rFonts w:ascii="Times New Roman" w:hAnsi="Times New Roman"/>
          <w:sz w:val="28"/>
          <w:szCs w:val="28"/>
        </w:rPr>
        <w:t>Кров на біохімічні та імуноферментні дослідження забирали із кубітальної вени вранці натще. Визначення показників ліпідного обміну: ЗХС, Т</w:t>
      </w:r>
      <w:r w:rsidR="00D30CD7">
        <w:rPr>
          <w:rFonts w:ascii="Times New Roman" w:hAnsi="Times New Roman"/>
          <w:sz w:val="28"/>
          <w:szCs w:val="28"/>
        </w:rPr>
        <w:t>Г</w:t>
      </w:r>
      <w:r w:rsidRPr="007F5722">
        <w:rPr>
          <w:rFonts w:ascii="Times New Roman" w:hAnsi="Times New Roman"/>
          <w:sz w:val="28"/>
          <w:szCs w:val="28"/>
        </w:rPr>
        <w:t>, холестерину ліпопротеїдів високої щільності (ХС ЛПВЩ) в плазмі крові натще проводилося ферментативним методом з використанням стандартних наборів з подальшим розрахунком холестерину ліпопротеїдів низької щільності (ХС ЛПНЩ) за формулою W.T. Friedewald: ХС ЛПНЩ = ЗХС – (ХС ЛПВЩ + ТҐ/2,22); холестерину ліпопротеїдів дуже низької щільності (ХС ЛПДНЩ) - за формулою: ХС ЛПДНЩ = ТҐ/2,2; коефіцієнту атероґенності (КА) - за формулою: КА = (ЗХС – ХС ЛПВЩ)/ХС ЛПВЩ; та ХС не – ЛПВЩ, який розраховувався за формулою ХС не-ЛПВЩ = ЗХС – ХС ЛПВЩ. В низці міжнародних рекомендацій з діа</w:t>
      </w:r>
      <w:r w:rsidR="00D30CD7">
        <w:rPr>
          <w:rFonts w:ascii="Times New Roman" w:hAnsi="Times New Roman"/>
          <w:sz w:val="28"/>
          <w:szCs w:val="28"/>
        </w:rPr>
        <w:t>г</w:t>
      </w:r>
      <w:r w:rsidRPr="007F5722">
        <w:rPr>
          <w:rFonts w:ascii="Times New Roman" w:hAnsi="Times New Roman"/>
          <w:sz w:val="28"/>
          <w:szCs w:val="28"/>
        </w:rPr>
        <w:t xml:space="preserve">ностики та лікування порушень ліпідного </w:t>
      </w:r>
      <w:r w:rsidR="00D30CD7">
        <w:rPr>
          <w:rFonts w:ascii="Times New Roman" w:hAnsi="Times New Roman"/>
          <w:sz w:val="28"/>
          <w:szCs w:val="28"/>
        </w:rPr>
        <w:t>профілю</w:t>
      </w:r>
      <w:r w:rsidRPr="007F5722">
        <w:rPr>
          <w:rFonts w:ascii="Times New Roman" w:hAnsi="Times New Roman"/>
          <w:sz w:val="28"/>
          <w:szCs w:val="28"/>
        </w:rPr>
        <w:t>, на додаток до визначення вмісту ХС ЛПНЩ пропонується альтернативний показник – ХС не-ЛПВЩ. Цей параметр враховує усі атероґенні ліпопротеїди крові, в тому числі і частки, багаті на Т</w:t>
      </w:r>
      <w:r w:rsidR="00D30CD7">
        <w:rPr>
          <w:rFonts w:ascii="Times New Roman" w:hAnsi="Times New Roman"/>
          <w:sz w:val="28"/>
          <w:szCs w:val="28"/>
        </w:rPr>
        <w:t>Г</w:t>
      </w:r>
      <w:r w:rsidRPr="007F5722">
        <w:rPr>
          <w:rFonts w:ascii="Times New Roman" w:hAnsi="Times New Roman"/>
          <w:sz w:val="28"/>
          <w:szCs w:val="28"/>
        </w:rPr>
        <w:t>. Згідно думки експертів, цей показник краще відображує якість контролю, аніж тільки вміст ХС ЛПНЩ .</w:t>
      </w:r>
    </w:p>
    <w:p w:rsidR="003A1552" w:rsidRPr="007F5722" w:rsidRDefault="003A1552" w:rsidP="003A1552">
      <w:pPr>
        <w:spacing w:after="0" w:line="360" w:lineRule="auto"/>
        <w:ind w:firstLine="709"/>
        <w:contextualSpacing/>
        <w:jc w:val="both"/>
        <w:rPr>
          <w:rFonts w:ascii="Times New Roman" w:hAnsi="Times New Roman"/>
          <w:sz w:val="28"/>
          <w:szCs w:val="28"/>
        </w:rPr>
      </w:pPr>
      <w:r w:rsidRPr="007F5722">
        <w:rPr>
          <w:rFonts w:ascii="Times New Roman" w:hAnsi="Times New Roman"/>
          <w:sz w:val="28"/>
          <w:szCs w:val="28"/>
        </w:rPr>
        <w:t xml:space="preserve">Показники ліпідного </w:t>
      </w:r>
      <w:r w:rsidR="00D30CD7">
        <w:rPr>
          <w:rFonts w:ascii="Times New Roman" w:hAnsi="Times New Roman"/>
          <w:sz w:val="28"/>
          <w:szCs w:val="28"/>
        </w:rPr>
        <w:t>спектру</w:t>
      </w:r>
      <w:r w:rsidRPr="007F5722">
        <w:rPr>
          <w:rFonts w:ascii="Times New Roman" w:hAnsi="Times New Roman"/>
          <w:sz w:val="28"/>
          <w:szCs w:val="28"/>
        </w:rPr>
        <w:t xml:space="preserve"> вивчали не тільки натще, а також постпрандіально через 6 годин після жирового навантаження (ЖН) згідно модифікованої методики </w:t>
      </w:r>
      <w:r w:rsidRPr="007F5722">
        <w:rPr>
          <w:rFonts w:ascii="Times New Roman" w:hAnsi="Times New Roman"/>
          <w:sz w:val="28"/>
          <w:szCs w:val="28"/>
          <w:lang w:val="en-US"/>
        </w:rPr>
        <w:t>J</w:t>
      </w:r>
      <w:r w:rsidRPr="007F5722">
        <w:rPr>
          <w:rFonts w:ascii="Times New Roman" w:hAnsi="Times New Roman"/>
          <w:sz w:val="28"/>
          <w:szCs w:val="28"/>
        </w:rPr>
        <w:t xml:space="preserve">. </w:t>
      </w:r>
      <w:r w:rsidRPr="007F5722">
        <w:rPr>
          <w:rFonts w:ascii="Times New Roman" w:hAnsi="Times New Roman"/>
          <w:sz w:val="28"/>
          <w:szCs w:val="28"/>
          <w:lang w:val="en-US"/>
        </w:rPr>
        <w:t>R</w:t>
      </w:r>
      <w:r w:rsidRPr="007F5722">
        <w:rPr>
          <w:rFonts w:ascii="Times New Roman" w:hAnsi="Times New Roman"/>
          <w:sz w:val="28"/>
          <w:szCs w:val="28"/>
        </w:rPr>
        <w:t xml:space="preserve">. </w:t>
      </w:r>
      <w:r w:rsidRPr="007F5722">
        <w:rPr>
          <w:rFonts w:ascii="Times New Roman" w:hAnsi="Times New Roman"/>
          <w:sz w:val="28"/>
          <w:szCs w:val="28"/>
          <w:lang w:val="en-US"/>
        </w:rPr>
        <w:t>Patsch</w:t>
      </w:r>
      <w:r w:rsidR="00D30CD7">
        <w:rPr>
          <w:rFonts w:ascii="Times New Roman" w:hAnsi="Times New Roman"/>
          <w:sz w:val="28"/>
          <w:szCs w:val="28"/>
        </w:rPr>
        <w:t xml:space="preserve"> </w:t>
      </w:r>
      <w:r w:rsidRPr="007F5722">
        <w:rPr>
          <w:rFonts w:ascii="Times New Roman" w:hAnsi="Times New Roman"/>
          <w:sz w:val="28"/>
          <w:szCs w:val="28"/>
        </w:rPr>
        <w:t>– вживання натщесерце 20,0% вершків в середн</w:t>
      </w:r>
      <w:r w:rsidR="00811B2F" w:rsidRPr="007F5722">
        <w:rPr>
          <w:rFonts w:ascii="Times New Roman" w:hAnsi="Times New Roman"/>
          <w:sz w:val="28"/>
          <w:szCs w:val="28"/>
        </w:rPr>
        <w:t>ьому 644,58±16,25 г (з розрахунку 65,0 г</w:t>
      </w:r>
      <w:r w:rsidRPr="007F5722">
        <w:rPr>
          <w:rFonts w:ascii="Times New Roman" w:hAnsi="Times New Roman"/>
          <w:sz w:val="28"/>
          <w:szCs w:val="28"/>
        </w:rPr>
        <w:t xml:space="preserve"> емульґованого жиру на 1,0 м</w:t>
      </w:r>
      <w:r w:rsidRPr="007F5722">
        <w:rPr>
          <w:rFonts w:ascii="Times New Roman" w:hAnsi="Times New Roman"/>
          <w:sz w:val="28"/>
          <w:szCs w:val="28"/>
          <w:vertAlign w:val="superscript"/>
        </w:rPr>
        <w:t>2</w:t>
      </w:r>
      <w:r w:rsidR="00811B2F" w:rsidRPr="007F5722">
        <w:rPr>
          <w:rFonts w:ascii="Times New Roman" w:hAnsi="Times New Roman"/>
          <w:sz w:val="28"/>
          <w:szCs w:val="28"/>
        </w:rPr>
        <w:t xml:space="preserve"> поверхні тіла) з 50,0 г</w:t>
      </w:r>
      <w:r w:rsidRPr="007F5722">
        <w:rPr>
          <w:rFonts w:ascii="Times New Roman" w:hAnsi="Times New Roman"/>
          <w:sz w:val="28"/>
          <w:szCs w:val="28"/>
        </w:rPr>
        <w:t xml:space="preserve"> білого хліба, калорійність близько 1300,0 ккал. У нашій роботі постпрандіальні показники визначали саме через 6 годин, тому що цей період є найінформативнішим. Пр</w:t>
      </w:r>
      <w:r w:rsidR="00811B2F" w:rsidRPr="007F5722">
        <w:rPr>
          <w:rFonts w:ascii="Times New Roman" w:hAnsi="Times New Roman"/>
          <w:sz w:val="28"/>
          <w:szCs w:val="28"/>
        </w:rPr>
        <w:t>иріст ТГ</w:t>
      </w:r>
      <w:r w:rsidRPr="007F5722">
        <w:rPr>
          <w:rFonts w:ascii="Times New Roman" w:hAnsi="Times New Roman"/>
          <w:sz w:val="28"/>
          <w:szCs w:val="28"/>
        </w:rPr>
        <w:t>, ХС ЛПНЩ у ранню постпрандіальну фазу є фізіол</w:t>
      </w:r>
      <w:r w:rsidR="008B65F1">
        <w:rPr>
          <w:rFonts w:ascii="Times New Roman" w:hAnsi="Times New Roman"/>
          <w:sz w:val="28"/>
          <w:szCs w:val="28"/>
        </w:rPr>
        <w:t>ог</w:t>
      </w:r>
      <w:r w:rsidRPr="007F5722">
        <w:rPr>
          <w:rFonts w:ascii="Times New Roman" w:hAnsi="Times New Roman"/>
          <w:sz w:val="28"/>
          <w:szCs w:val="28"/>
        </w:rPr>
        <w:t>ічним і супроводжується досить швидкою нормалізацією показників ліпідного спектру у здорових осіб.</w:t>
      </w:r>
    </w:p>
    <w:p w:rsidR="003A1552" w:rsidRPr="007F5722" w:rsidRDefault="003A1552" w:rsidP="003A1552">
      <w:pPr>
        <w:spacing w:after="0" w:line="360" w:lineRule="auto"/>
        <w:ind w:firstLine="709"/>
        <w:contextualSpacing/>
        <w:jc w:val="both"/>
        <w:rPr>
          <w:rFonts w:ascii="Times New Roman" w:hAnsi="Times New Roman"/>
          <w:sz w:val="28"/>
          <w:szCs w:val="28"/>
        </w:rPr>
      </w:pPr>
      <w:r w:rsidRPr="007F5722">
        <w:rPr>
          <w:rFonts w:ascii="Times New Roman" w:hAnsi="Times New Roman"/>
          <w:sz w:val="28"/>
          <w:szCs w:val="28"/>
        </w:rPr>
        <w:lastRenderedPageBreak/>
        <w:t xml:space="preserve">Визначення </w:t>
      </w:r>
      <w:r w:rsidRPr="007F5722">
        <w:rPr>
          <w:rFonts w:ascii="Times New Roman" w:hAnsi="Times New Roman"/>
          <w:spacing w:val="-6"/>
          <w:sz w:val="28"/>
          <w:szCs w:val="28"/>
        </w:rPr>
        <w:t xml:space="preserve">вмісту </w:t>
      </w:r>
      <w:r w:rsidRPr="007F5722">
        <w:rPr>
          <w:rFonts w:ascii="Times New Roman" w:hAnsi="Times New Roman"/>
          <w:sz w:val="28"/>
          <w:szCs w:val="28"/>
        </w:rPr>
        <w:t xml:space="preserve">аполіпопротеїну В (Апо В) визначали імуноферментним методом з використанням набору </w:t>
      </w:r>
      <w:r w:rsidRPr="007F5722">
        <w:rPr>
          <w:rFonts w:ascii="Times New Roman" w:hAnsi="Times New Roman"/>
          <w:bCs/>
          <w:color w:val="000000"/>
          <w:sz w:val="28"/>
          <w:szCs w:val="28"/>
        </w:rPr>
        <w:t>Assay Max® Human Apolipoprotein B ELISA Kit</w:t>
      </w:r>
      <w:r w:rsidRPr="007F5722">
        <w:rPr>
          <w:rFonts w:ascii="Times New Roman" w:hAnsi="Times New Roman"/>
          <w:sz w:val="28"/>
          <w:szCs w:val="28"/>
        </w:rPr>
        <w:t>.</w:t>
      </w:r>
    </w:p>
    <w:p w:rsidR="003A1552" w:rsidRPr="007F5722" w:rsidRDefault="003A1552" w:rsidP="003A1552">
      <w:pPr>
        <w:spacing w:after="0" w:line="360" w:lineRule="auto"/>
        <w:ind w:firstLine="709"/>
        <w:contextualSpacing/>
        <w:jc w:val="both"/>
        <w:rPr>
          <w:rFonts w:ascii="Times New Roman" w:hAnsi="Times New Roman"/>
          <w:sz w:val="28"/>
          <w:szCs w:val="28"/>
        </w:rPr>
      </w:pPr>
      <w:r w:rsidRPr="007F5722">
        <w:rPr>
          <w:rFonts w:ascii="Times New Roman" w:hAnsi="Times New Roman"/>
          <w:sz w:val="28"/>
          <w:szCs w:val="28"/>
        </w:rPr>
        <w:t xml:space="preserve">Дослідження </w:t>
      </w:r>
      <w:r w:rsidRPr="007F5722">
        <w:rPr>
          <w:rFonts w:ascii="Times New Roman" w:hAnsi="Times New Roman"/>
          <w:spacing w:val="-6"/>
          <w:sz w:val="28"/>
          <w:szCs w:val="28"/>
        </w:rPr>
        <w:t>ІЛ-22 у плазмі</w:t>
      </w:r>
      <w:r w:rsidRPr="007F5722">
        <w:rPr>
          <w:rFonts w:ascii="Times New Roman" w:hAnsi="Times New Roman"/>
          <w:color w:val="000000"/>
          <w:sz w:val="28"/>
          <w:szCs w:val="28"/>
        </w:rPr>
        <w:t xml:space="preserve"> крові</w:t>
      </w:r>
      <w:r w:rsidRPr="007F5722">
        <w:rPr>
          <w:rFonts w:ascii="Times New Roman" w:hAnsi="Times New Roman"/>
          <w:sz w:val="28"/>
          <w:szCs w:val="28"/>
        </w:rPr>
        <w:t xml:space="preserve"> проводили імуноферментним методом із застосуванням набору </w:t>
      </w:r>
      <w:r w:rsidRPr="007F5722">
        <w:rPr>
          <w:rFonts w:ascii="Times New Roman" w:hAnsi="Times New Roman"/>
          <w:sz w:val="28"/>
          <w:szCs w:val="28"/>
          <w:lang w:val="en-US"/>
        </w:rPr>
        <w:t>Bender</w:t>
      </w:r>
      <w:r w:rsidRPr="007F5722">
        <w:rPr>
          <w:rFonts w:ascii="Times New Roman" w:hAnsi="Times New Roman"/>
          <w:sz w:val="28"/>
          <w:szCs w:val="28"/>
        </w:rPr>
        <w:t xml:space="preserve"> </w:t>
      </w:r>
      <w:r w:rsidRPr="007F5722">
        <w:rPr>
          <w:rFonts w:ascii="Times New Roman" w:hAnsi="Times New Roman"/>
          <w:sz w:val="28"/>
          <w:szCs w:val="28"/>
          <w:lang w:val="en-US"/>
        </w:rPr>
        <w:t>Medsystems</w:t>
      </w:r>
      <w:r w:rsidRPr="007F5722">
        <w:rPr>
          <w:rFonts w:ascii="Times New Roman" w:hAnsi="Times New Roman"/>
          <w:sz w:val="28"/>
          <w:szCs w:val="28"/>
        </w:rPr>
        <w:t>® Human IL-22 Platinum ELISA.</w:t>
      </w:r>
    </w:p>
    <w:p w:rsidR="003A1552" w:rsidRPr="007F5722" w:rsidRDefault="003A1552" w:rsidP="003A1552">
      <w:pPr>
        <w:spacing w:after="0" w:line="360" w:lineRule="auto"/>
        <w:ind w:firstLine="709"/>
        <w:contextualSpacing/>
        <w:jc w:val="both"/>
        <w:rPr>
          <w:rFonts w:ascii="Times New Roman" w:hAnsi="Times New Roman"/>
          <w:sz w:val="28"/>
          <w:szCs w:val="28"/>
        </w:rPr>
      </w:pPr>
      <w:r w:rsidRPr="007F5722">
        <w:rPr>
          <w:rFonts w:ascii="Times New Roman" w:hAnsi="Times New Roman"/>
          <w:sz w:val="28"/>
          <w:szCs w:val="28"/>
        </w:rPr>
        <w:t>Статистичний аналіз отриманих результатів проводили методами непараметричної статистики. У вибірках з непараметричним розподілом даних результати представлені у вигляді Ме (Q</w:t>
      </w:r>
      <w:r w:rsidRPr="007F5722">
        <w:rPr>
          <w:rFonts w:ascii="Times New Roman" w:hAnsi="Times New Roman"/>
          <w:sz w:val="28"/>
          <w:szCs w:val="28"/>
          <w:vertAlign w:val="subscript"/>
        </w:rPr>
        <w:t>25</w:t>
      </w:r>
      <w:r w:rsidRPr="007F5722">
        <w:rPr>
          <w:rFonts w:ascii="Times New Roman" w:hAnsi="Times New Roman"/>
          <w:sz w:val="28"/>
          <w:szCs w:val="28"/>
        </w:rPr>
        <w:t>;Q</w:t>
      </w:r>
      <w:r w:rsidRPr="007F5722">
        <w:rPr>
          <w:rFonts w:ascii="Times New Roman" w:hAnsi="Times New Roman"/>
          <w:sz w:val="28"/>
          <w:szCs w:val="28"/>
          <w:vertAlign w:val="subscript"/>
        </w:rPr>
        <w:t>75</w:t>
      </w:r>
      <w:r w:rsidRPr="007F5722">
        <w:rPr>
          <w:rFonts w:ascii="Times New Roman" w:hAnsi="Times New Roman"/>
          <w:sz w:val="28"/>
          <w:szCs w:val="28"/>
        </w:rPr>
        <w:t>), де Ме - медіана (50-й процентіль), Q</w:t>
      </w:r>
      <w:r w:rsidRPr="007F5722">
        <w:rPr>
          <w:rFonts w:ascii="Times New Roman" w:hAnsi="Times New Roman"/>
          <w:sz w:val="28"/>
          <w:szCs w:val="28"/>
          <w:vertAlign w:val="subscript"/>
        </w:rPr>
        <w:t>25</w:t>
      </w:r>
      <w:r w:rsidRPr="007F5722">
        <w:rPr>
          <w:rFonts w:ascii="Times New Roman" w:hAnsi="Times New Roman"/>
          <w:sz w:val="28"/>
          <w:szCs w:val="28"/>
        </w:rPr>
        <w:t xml:space="preserve"> та Q</w:t>
      </w:r>
      <w:r w:rsidRPr="007F5722">
        <w:rPr>
          <w:rFonts w:ascii="Times New Roman" w:hAnsi="Times New Roman"/>
          <w:sz w:val="28"/>
          <w:szCs w:val="28"/>
          <w:vertAlign w:val="subscript"/>
        </w:rPr>
        <w:t>75</w:t>
      </w:r>
      <w:r w:rsidRPr="007F5722">
        <w:rPr>
          <w:rFonts w:ascii="Times New Roman" w:hAnsi="Times New Roman"/>
          <w:sz w:val="28"/>
          <w:szCs w:val="28"/>
        </w:rPr>
        <w:t xml:space="preserve"> - 25-й і 75-й процентілі відповідно. Для порівняння результатів використовували</w:t>
      </w:r>
      <w:r w:rsidR="008B65F1">
        <w:rPr>
          <w:rFonts w:ascii="Times New Roman" w:hAnsi="Times New Roman"/>
          <w:sz w:val="28"/>
          <w:szCs w:val="28"/>
        </w:rPr>
        <w:t xml:space="preserve"> критерій Манна- </w:t>
      </w:r>
      <w:r w:rsidRPr="007F5722">
        <w:rPr>
          <w:rFonts w:ascii="Times New Roman" w:hAnsi="Times New Roman"/>
          <w:sz w:val="28"/>
          <w:szCs w:val="28"/>
        </w:rPr>
        <w:t xml:space="preserve">Уїтні, критерій Ф. Вілкоксона, </w:t>
      </w:r>
      <w:r w:rsidR="008B65F1">
        <w:rPr>
          <w:rFonts w:ascii="Times New Roman" w:hAnsi="Times New Roman"/>
          <w:sz w:val="28"/>
          <w:szCs w:val="28"/>
        </w:rPr>
        <w:t xml:space="preserve">ранговий дисперсійний аналіз Краскела- </w:t>
      </w:r>
      <w:r w:rsidRPr="007F5722">
        <w:rPr>
          <w:rFonts w:ascii="Times New Roman" w:hAnsi="Times New Roman"/>
          <w:sz w:val="28"/>
          <w:szCs w:val="28"/>
        </w:rPr>
        <w:t>Уолліса. Для оцінки міри залежності використовували кое</w:t>
      </w:r>
      <w:r w:rsidR="008B65F1">
        <w:rPr>
          <w:rFonts w:ascii="Times New Roman" w:hAnsi="Times New Roman"/>
          <w:sz w:val="28"/>
          <w:szCs w:val="28"/>
        </w:rPr>
        <w:t xml:space="preserve">фіцієнт ранґової кореляції </w:t>
      </w:r>
      <w:r w:rsidRPr="007F5722">
        <w:rPr>
          <w:rFonts w:ascii="Times New Roman" w:hAnsi="Times New Roman"/>
          <w:sz w:val="28"/>
          <w:szCs w:val="28"/>
        </w:rPr>
        <w:t>Спірмена. Нульову гіпотезу відкидали за достовірності (р&lt;0,05).</w:t>
      </w:r>
    </w:p>
    <w:p w:rsidR="003A1552" w:rsidRPr="007F5722" w:rsidRDefault="003A1552" w:rsidP="003A1552">
      <w:pPr>
        <w:pStyle w:val="a8"/>
        <w:spacing w:after="0" w:line="360" w:lineRule="auto"/>
        <w:ind w:left="0" w:firstLine="709"/>
        <w:jc w:val="both"/>
        <w:rPr>
          <w:rFonts w:ascii="Times New Roman" w:hAnsi="Times New Roman"/>
          <w:sz w:val="28"/>
          <w:szCs w:val="28"/>
        </w:rPr>
      </w:pPr>
      <w:r w:rsidRPr="007F5722">
        <w:rPr>
          <w:rFonts w:ascii="Times New Roman" w:hAnsi="Times New Roman"/>
          <w:sz w:val="28"/>
          <w:szCs w:val="28"/>
        </w:rPr>
        <w:t>Методи дослідження використовувалися з дотриманням прав людини, відповідно до діючого в Україні законодавства, відповідають міжнародним етичним вимогам і не порушують етичних норм у науці та стандартів проведення біомедичних досліджень.</w:t>
      </w:r>
    </w:p>
    <w:p w:rsidR="003A1552" w:rsidRPr="007F5722" w:rsidRDefault="003A1552" w:rsidP="003A1552">
      <w:pPr>
        <w:spacing w:after="0" w:line="360" w:lineRule="auto"/>
        <w:ind w:firstLine="567"/>
        <w:jc w:val="both"/>
        <w:rPr>
          <w:rFonts w:ascii="Times New Roman" w:hAnsi="Times New Roman"/>
          <w:sz w:val="28"/>
          <w:szCs w:val="28"/>
        </w:rPr>
      </w:pPr>
      <w:r w:rsidRPr="007F5722">
        <w:rPr>
          <w:rFonts w:ascii="Times New Roman" w:hAnsi="Times New Roman"/>
          <w:sz w:val="28"/>
          <w:szCs w:val="28"/>
        </w:rPr>
        <w:t xml:space="preserve">Результати вже проведених досліджень свідчать про те, що активність ІЛ-22 зростає при низці хронічних захворювань і він є медіатором чи то прозапальної, чи то протективної відповіді при різноманітних патофізіологічних станах </w:t>
      </w:r>
      <w:r w:rsidR="00811B2F" w:rsidRPr="007F5722">
        <w:rPr>
          <w:rFonts w:ascii="Times New Roman" w:hAnsi="Times New Roman"/>
          <w:sz w:val="28"/>
          <w:szCs w:val="28"/>
        </w:rPr>
        <w:t>[222, 223</w:t>
      </w:r>
      <w:r w:rsidRPr="007F5722">
        <w:rPr>
          <w:rFonts w:ascii="Times New Roman" w:hAnsi="Times New Roman"/>
          <w:sz w:val="28"/>
          <w:szCs w:val="28"/>
        </w:rPr>
        <w:t xml:space="preserve">]. Це залежить </w:t>
      </w:r>
      <w:r w:rsidR="008B65F1">
        <w:rPr>
          <w:rFonts w:ascii="Times New Roman" w:hAnsi="Times New Roman"/>
          <w:sz w:val="28"/>
          <w:szCs w:val="28"/>
        </w:rPr>
        <w:t xml:space="preserve">від </w:t>
      </w:r>
      <w:r w:rsidRPr="007F5722">
        <w:rPr>
          <w:rFonts w:ascii="Times New Roman" w:hAnsi="Times New Roman"/>
          <w:sz w:val="28"/>
          <w:szCs w:val="28"/>
        </w:rPr>
        <w:t>специфічного запального мікрооточення</w:t>
      </w:r>
      <w:r w:rsidR="008B65F1">
        <w:rPr>
          <w:rFonts w:ascii="Times New Roman" w:hAnsi="Times New Roman"/>
          <w:sz w:val="28"/>
          <w:szCs w:val="28"/>
        </w:rPr>
        <w:t>,</w:t>
      </w:r>
      <w:r w:rsidRPr="007F5722">
        <w:rPr>
          <w:rFonts w:ascii="Times New Roman" w:hAnsi="Times New Roman"/>
          <w:sz w:val="28"/>
          <w:szCs w:val="28"/>
        </w:rPr>
        <w:t xml:space="preserve"> в експериментальних моделях міокардиту його дія протективна [</w:t>
      </w:r>
      <w:r w:rsidR="00DF53BC" w:rsidRPr="007F5722">
        <w:rPr>
          <w:rFonts w:ascii="Times New Roman" w:hAnsi="Times New Roman"/>
          <w:sz w:val="28"/>
          <w:szCs w:val="28"/>
        </w:rPr>
        <w:t>38, 52, 219</w:t>
      </w:r>
      <w:r w:rsidRPr="007F5722">
        <w:rPr>
          <w:rFonts w:ascii="Times New Roman" w:hAnsi="Times New Roman"/>
          <w:sz w:val="28"/>
          <w:szCs w:val="28"/>
        </w:rPr>
        <w:t xml:space="preserve">], тоді як, при атеросклерозі – патогенетична [37]. Щодо гіпертензії, то отримано експериментальні дані про те, що ІЛ-22 посилює запальну відповідь, індукує ендотеліальну дисфункцію та промотує підвищення рівня артеріального тиску у ангіотензин </w:t>
      </w:r>
      <w:r w:rsidRPr="007F5722">
        <w:rPr>
          <w:rFonts w:ascii="Times New Roman" w:hAnsi="Times New Roman"/>
          <w:sz w:val="28"/>
          <w:szCs w:val="28"/>
          <w:lang w:val="en-US"/>
        </w:rPr>
        <w:t>II</w:t>
      </w:r>
      <w:r w:rsidRPr="007F5722">
        <w:rPr>
          <w:rFonts w:ascii="Times New Roman" w:hAnsi="Times New Roman"/>
          <w:sz w:val="28"/>
          <w:szCs w:val="28"/>
        </w:rPr>
        <w:t xml:space="preserve"> – індукованій гіпертензії у мишей. Отримані нами дані співпадають з результатами невеликого дослідження, у якому виявлено достовірне підвищення рівню ІЛ-22 у </w:t>
      </w:r>
      <w:r w:rsidR="008B65F1">
        <w:rPr>
          <w:rFonts w:ascii="Times New Roman" w:hAnsi="Times New Roman"/>
          <w:sz w:val="28"/>
          <w:szCs w:val="28"/>
        </w:rPr>
        <w:t>плазмі</w:t>
      </w:r>
      <w:r w:rsidRPr="007F5722">
        <w:rPr>
          <w:rFonts w:ascii="Times New Roman" w:hAnsi="Times New Roman"/>
          <w:sz w:val="28"/>
          <w:szCs w:val="28"/>
        </w:rPr>
        <w:t xml:space="preserve"> крові пацієнтів з вперше виявленою ГХ порівняно з особами, артеріальний тиск, яких був у межах норми. Крім того, було виявлено прямі </w:t>
      </w:r>
      <w:r w:rsidRPr="007F5722">
        <w:rPr>
          <w:rFonts w:ascii="Times New Roman" w:hAnsi="Times New Roman"/>
          <w:sz w:val="28"/>
          <w:szCs w:val="28"/>
        </w:rPr>
        <w:lastRenderedPageBreak/>
        <w:t>достовірні кореляцій зв’язки між рівнем ІЛ-22 та рівнем САТ та ДАТ, що може бути підтвердженням щільного взаємозв’язку між ІЛ-22 та гіпертензією [54</w:t>
      </w:r>
      <w:r w:rsidR="007C5A04" w:rsidRPr="007F5722">
        <w:rPr>
          <w:rFonts w:ascii="Times New Roman" w:hAnsi="Times New Roman"/>
          <w:sz w:val="28"/>
          <w:szCs w:val="28"/>
        </w:rPr>
        <w:t>].</w:t>
      </w:r>
    </w:p>
    <w:p w:rsidR="003A1552" w:rsidRPr="007F5722" w:rsidRDefault="003A1552" w:rsidP="003A1552">
      <w:pPr>
        <w:spacing w:after="0" w:line="360" w:lineRule="auto"/>
        <w:ind w:firstLine="567"/>
        <w:jc w:val="both"/>
        <w:rPr>
          <w:rFonts w:ascii="Times New Roman" w:hAnsi="Times New Roman"/>
          <w:sz w:val="28"/>
          <w:szCs w:val="28"/>
        </w:rPr>
      </w:pPr>
      <w:r w:rsidRPr="007F5722">
        <w:rPr>
          <w:rFonts w:ascii="Times New Roman" w:hAnsi="Times New Roman"/>
          <w:sz w:val="28"/>
          <w:szCs w:val="28"/>
        </w:rPr>
        <w:t>Так, у нашому дослідженні ми проаналізували рівень ІЛ-22 у хворих на ГХ порівняно з відносно здоровими особами групи контролю та залежно від маси тіла пацієнтів. Нами встановлено, що рівень цього цитокіну у гіпертензивних пацієнтів</w:t>
      </w:r>
      <w:r w:rsidR="008B65F1" w:rsidRPr="008B65F1">
        <w:rPr>
          <w:rFonts w:ascii="Times New Roman" w:hAnsi="Times New Roman"/>
          <w:sz w:val="28"/>
          <w:szCs w:val="28"/>
        </w:rPr>
        <w:t xml:space="preserve"> </w:t>
      </w:r>
      <w:r w:rsidR="008B65F1" w:rsidRPr="007F5722">
        <w:rPr>
          <w:rFonts w:ascii="Times New Roman" w:hAnsi="Times New Roman"/>
          <w:sz w:val="28"/>
          <w:szCs w:val="28"/>
        </w:rPr>
        <w:t>(28,88 (25,50; 87,68) пг/мл)</w:t>
      </w:r>
      <w:r w:rsidRPr="007F5722">
        <w:rPr>
          <w:rFonts w:ascii="Times New Roman" w:hAnsi="Times New Roman"/>
          <w:sz w:val="28"/>
          <w:szCs w:val="28"/>
        </w:rPr>
        <w:t xml:space="preserve"> статистично достовірно перевищував рівень нормотензивних осіб контрольної </w:t>
      </w:r>
      <w:r w:rsidR="009D747B" w:rsidRPr="007F5722">
        <w:rPr>
          <w:rFonts w:ascii="Times New Roman" w:hAnsi="Times New Roman"/>
          <w:sz w:val="28"/>
          <w:szCs w:val="28"/>
        </w:rPr>
        <w:t xml:space="preserve">групи </w:t>
      </w:r>
      <w:r w:rsidR="008B65F1" w:rsidRPr="007F5722">
        <w:rPr>
          <w:rFonts w:ascii="Times New Roman" w:hAnsi="Times New Roman"/>
          <w:sz w:val="28"/>
          <w:szCs w:val="28"/>
        </w:rPr>
        <w:t xml:space="preserve">(19,81 (18,77; 20,15) пг/мл) </w:t>
      </w:r>
      <w:r w:rsidRPr="007F5722">
        <w:rPr>
          <w:rFonts w:ascii="Times New Roman" w:hAnsi="Times New Roman"/>
          <w:sz w:val="28"/>
          <w:szCs w:val="28"/>
        </w:rPr>
        <w:t xml:space="preserve">(Рис. 4.1). </w:t>
      </w:r>
    </w:p>
    <w:p w:rsidR="003A1552" w:rsidRPr="007F5722" w:rsidRDefault="003A1552" w:rsidP="00B42020">
      <w:pPr>
        <w:spacing w:after="0" w:line="360" w:lineRule="auto"/>
        <w:ind w:firstLine="567"/>
        <w:jc w:val="center"/>
        <w:rPr>
          <w:rFonts w:ascii="Times New Roman" w:hAnsi="Times New Roman"/>
          <w:sz w:val="28"/>
          <w:szCs w:val="28"/>
        </w:rPr>
      </w:pPr>
      <w:r w:rsidRPr="007F5722">
        <w:rPr>
          <w:noProof/>
          <w:lang w:val="ru-RU" w:eastAsia="ru-RU"/>
        </w:rPr>
        <w:drawing>
          <wp:inline distT="0" distB="0" distL="0" distR="0">
            <wp:extent cx="4114800" cy="2169795"/>
            <wp:effectExtent l="0" t="0" r="0" b="190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A1552" w:rsidRPr="008B65F1" w:rsidRDefault="003A1552" w:rsidP="008B65F1">
      <w:pPr>
        <w:spacing w:after="0" w:line="360" w:lineRule="auto"/>
        <w:ind w:firstLine="567"/>
        <w:jc w:val="both"/>
        <w:rPr>
          <w:rFonts w:ascii="Times New Roman" w:hAnsi="Times New Roman"/>
          <w:sz w:val="28"/>
          <w:szCs w:val="28"/>
        </w:rPr>
      </w:pPr>
      <w:r w:rsidRPr="007F5722">
        <w:rPr>
          <w:rFonts w:ascii="Times New Roman" w:hAnsi="Times New Roman"/>
          <w:sz w:val="28"/>
          <w:szCs w:val="28"/>
        </w:rPr>
        <w:t xml:space="preserve">Рис. 4.1. Рівень ІЛ-22 у </w:t>
      </w:r>
      <w:r w:rsidR="008B65F1">
        <w:rPr>
          <w:rFonts w:ascii="Times New Roman" w:hAnsi="Times New Roman"/>
          <w:sz w:val="28"/>
          <w:szCs w:val="28"/>
        </w:rPr>
        <w:t>плазмі</w:t>
      </w:r>
      <w:r w:rsidRPr="007F5722">
        <w:rPr>
          <w:rFonts w:ascii="Times New Roman" w:hAnsi="Times New Roman"/>
          <w:sz w:val="28"/>
          <w:szCs w:val="28"/>
        </w:rPr>
        <w:t xml:space="preserve"> крові осіб контрольної групи та групи хворих на ГХ.</w:t>
      </w:r>
    </w:p>
    <w:p w:rsidR="003A1552" w:rsidRPr="007F5722" w:rsidRDefault="003A1552" w:rsidP="003A1552">
      <w:pPr>
        <w:spacing w:after="0" w:line="360" w:lineRule="auto"/>
        <w:ind w:firstLine="567"/>
        <w:jc w:val="both"/>
        <w:rPr>
          <w:rFonts w:ascii="Times New Roman" w:hAnsi="Times New Roman"/>
          <w:sz w:val="28"/>
          <w:szCs w:val="28"/>
        </w:rPr>
      </w:pPr>
      <w:r w:rsidRPr="007F5722">
        <w:rPr>
          <w:rFonts w:ascii="Times New Roman" w:hAnsi="Times New Roman" w:cs="Times New Roman"/>
          <w:sz w:val="28"/>
        </w:rPr>
        <w:t>Імунозапальна відповідь, медіаторами якої є цитокіни, це спільна патогенетична ланка ГХ та ожиріння. Ожиріння впливає на продукцію в адипозній тканині про- та протизапальних цитокінів, які призводять до розвитку метаболічних та кардіоваскулярних захворювань [158-160]. Так наприклад, в</w:t>
      </w:r>
      <w:r w:rsidRPr="007F5722">
        <w:rPr>
          <w:rFonts w:ascii="Times New Roman" w:hAnsi="Times New Roman"/>
          <w:sz w:val="28"/>
          <w:szCs w:val="28"/>
        </w:rPr>
        <w:t>ченими Квінслендського університету проводилось дослідження впливу прозапального цитокіну – ІЛ-22 на метаболічні порушення. Було встановлено, що ІЛ-22 приймає участь у захисті β-клітин підшлункової залози від оксидативного стресу у експерименті на мишах. Так, ін</w:t>
      </w:r>
      <w:r w:rsidR="008B65F1">
        <w:rPr>
          <w:rFonts w:ascii="Times New Roman" w:hAnsi="Times New Roman"/>
          <w:sz w:val="28"/>
          <w:szCs w:val="28"/>
        </w:rPr>
        <w:t>’єкції</w:t>
      </w:r>
      <w:r w:rsidRPr="007F5722">
        <w:rPr>
          <w:rFonts w:ascii="Times New Roman" w:hAnsi="Times New Roman"/>
          <w:sz w:val="28"/>
          <w:szCs w:val="28"/>
        </w:rPr>
        <w:t xml:space="preserve"> ІЛ-22 мишам з цукровим діабетом 2 типу дали позитивний результат – у них відновилася робота β-клітин підшлункової залози, нормалізувався рівень цукру у крові і навіть відновилась чутливість клітин і тканин до інсуліну. Також у цьому дослідженні було встановлено, що тварини, яким вводився екзогенний ІЛ-22, </w:t>
      </w:r>
      <w:r w:rsidRPr="007F5722">
        <w:rPr>
          <w:rFonts w:ascii="Times New Roman" w:hAnsi="Times New Roman"/>
          <w:sz w:val="28"/>
          <w:szCs w:val="28"/>
        </w:rPr>
        <w:lastRenderedPageBreak/>
        <w:t xml:space="preserve">втрачали надлишкову масу тіла, але механізм цього явища залишається доки не ясним [11]. В інших експериментальних дослідженнях показано, що ендогенний ІЛ-22 не впливає на розвиток метаболічних порушень у піддослідних тварин </w:t>
      </w:r>
      <w:r w:rsidR="00DF53BC" w:rsidRPr="007F5722">
        <w:rPr>
          <w:rFonts w:ascii="Times New Roman" w:hAnsi="Times New Roman"/>
          <w:sz w:val="28"/>
          <w:szCs w:val="28"/>
        </w:rPr>
        <w:t>[224</w:t>
      </w:r>
      <w:r w:rsidRPr="007F5722">
        <w:rPr>
          <w:rFonts w:ascii="Times New Roman" w:hAnsi="Times New Roman"/>
          <w:sz w:val="28"/>
          <w:szCs w:val="28"/>
        </w:rPr>
        <w:t>]. Результати, що отримано у дослідженнях за участю людини дещо різняться з експериментальними даними.</w:t>
      </w:r>
    </w:p>
    <w:p w:rsidR="003A1552" w:rsidRPr="007F5722" w:rsidRDefault="003A1552" w:rsidP="003A1552">
      <w:pPr>
        <w:spacing w:after="0" w:line="360" w:lineRule="auto"/>
        <w:ind w:firstLine="567"/>
        <w:jc w:val="both"/>
        <w:rPr>
          <w:rFonts w:ascii="Times New Roman" w:hAnsi="Times New Roman"/>
          <w:sz w:val="28"/>
          <w:szCs w:val="28"/>
        </w:rPr>
      </w:pPr>
      <w:r w:rsidRPr="007F5722">
        <w:rPr>
          <w:rFonts w:ascii="Times New Roman" w:hAnsi="Times New Roman"/>
          <w:sz w:val="28"/>
          <w:szCs w:val="28"/>
        </w:rPr>
        <w:t xml:space="preserve"> Так, ми отримали дані, що підтверджують </w:t>
      </w:r>
      <w:r w:rsidR="00D86414">
        <w:rPr>
          <w:rFonts w:ascii="Times New Roman" w:hAnsi="Times New Roman"/>
          <w:sz w:val="28"/>
          <w:szCs w:val="28"/>
        </w:rPr>
        <w:t>асоціацію</w:t>
      </w:r>
      <w:r w:rsidRPr="007F5722">
        <w:rPr>
          <w:rFonts w:ascii="Times New Roman" w:hAnsi="Times New Roman"/>
          <w:sz w:val="28"/>
          <w:szCs w:val="28"/>
        </w:rPr>
        <w:t xml:space="preserve"> ІЛ-22 </w:t>
      </w:r>
      <w:r w:rsidR="00D86414">
        <w:rPr>
          <w:rFonts w:ascii="Times New Roman" w:hAnsi="Times New Roman"/>
          <w:sz w:val="28"/>
          <w:szCs w:val="28"/>
        </w:rPr>
        <w:t>з</w:t>
      </w:r>
      <w:r w:rsidRPr="007F5722">
        <w:rPr>
          <w:rFonts w:ascii="Times New Roman" w:hAnsi="Times New Roman"/>
          <w:sz w:val="28"/>
          <w:szCs w:val="28"/>
        </w:rPr>
        <w:t xml:space="preserve"> ожиріння</w:t>
      </w:r>
      <w:r w:rsidR="00D86414">
        <w:rPr>
          <w:rFonts w:ascii="Times New Roman" w:hAnsi="Times New Roman"/>
          <w:sz w:val="28"/>
          <w:szCs w:val="28"/>
        </w:rPr>
        <w:t>м</w:t>
      </w:r>
      <w:r w:rsidRPr="007F5722">
        <w:rPr>
          <w:rFonts w:ascii="Times New Roman" w:hAnsi="Times New Roman"/>
          <w:sz w:val="28"/>
          <w:szCs w:val="28"/>
        </w:rPr>
        <w:t xml:space="preserve"> у хворих на ГХ. При розподілі пацієнтів залежно від маси тіла з’ясовано максимальний вміст цитокіну у хворих на ГХ з супутнім ожирінням 1-3 ступеня (40,05 (35,23; 53,02) пг/мл) порівняно з хворими з надмірною масою тіла (28,64 (27,49; 28,94) пг/мл; </w:t>
      </w:r>
      <w:r w:rsidRPr="007F5722">
        <w:rPr>
          <w:rFonts w:ascii="Times New Roman" w:hAnsi="Times New Roman"/>
          <w:sz w:val="28"/>
          <w:szCs w:val="28"/>
          <w:lang w:val="en-US"/>
        </w:rPr>
        <w:t>p</w:t>
      </w:r>
      <w:r w:rsidRPr="007F5722">
        <w:rPr>
          <w:rFonts w:ascii="Times New Roman" w:hAnsi="Times New Roman"/>
          <w:sz w:val="28"/>
          <w:szCs w:val="28"/>
        </w:rPr>
        <w:t xml:space="preserve">&lt;0,05) та нормальною масою тіла (23,14 (22,47; 23,76) пг/мл; </w:t>
      </w:r>
      <w:r w:rsidRPr="007F5722">
        <w:rPr>
          <w:rFonts w:ascii="Times New Roman" w:hAnsi="Times New Roman"/>
          <w:sz w:val="28"/>
          <w:szCs w:val="28"/>
          <w:lang w:val="en-US"/>
        </w:rPr>
        <w:t>p</w:t>
      </w:r>
      <w:r w:rsidRPr="007F5722">
        <w:rPr>
          <w:rFonts w:ascii="Times New Roman" w:hAnsi="Times New Roman"/>
          <w:sz w:val="28"/>
          <w:szCs w:val="28"/>
        </w:rPr>
        <w:t xml:space="preserve">&lt;0,05) (Рис. 4.2). При цьому, у всіх цих групах пацієнтів рівень ІЛ-22 достовірно перевищував значення контрольної групи. </w:t>
      </w:r>
    </w:p>
    <w:p w:rsidR="003A1552" w:rsidRPr="007F5722" w:rsidRDefault="003A1552" w:rsidP="00B42020">
      <w:pPr>
        <w:spacing w:after="0" w:line="360" w:lineRule="auto"/>
        <w:ind w:firstLine="567"/>
        <w:jc w:val="center"/>
        <w:rPr>
          <w:rFonts w:ascii="Times New Roman" w:hAnsi="Times New Roman"/>
          <w:sz w:val="28"/>
          <w:szCs w:val="28"/>
        </w:rPr>
      </w:pPr>
      <w:r w:rsidRPr="007F5722">
        <w:rPr>
          <w:noProof/>
          <w:lang w:val="ru-RU" w:eastAsia="ru-RU"/>
        </w:rPr>
        <w:drawing>
          <wp:inline distT="0" distB="0" distL="0" distR="0">
            <wp:extent cx="3566160" cy="1859280"/>
            <wp:effectExtent l="0" t="0" r="15240"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A1552" w:rsidRPr="007F5722" w:rsidRDefault="003A1552" w:rsidP="003A1552">
      <w:pPr>
        <w:spacing w:after="0" w:line="360" w:lineRule="auto"/>
        <w:ind w:firstLine="567"/>
        <w:jc w:val="both"/>
        <w:rPr>
          <w:rFonts w:ascii="Times New Roman" w:hAnsi="Times New Roman"/>
          <w:sz w:val="28"/>
          <w:szCs w:val="28"/>
        </w:rPr>
      </w:pPr>
      <w:r w:rsidRPr="007F5722">
        <w:rPr>
          <w:rFonts w:ascii="Times New Roman" w:hAnsi="Times New Roman"/>
          <w:sz w:val="28"/>
          <w:szCs w:val="28"/>
        </w:rPr>
        <w:t xml:space="preserve">Рис. 4.2. Рівень ІЛ-22 у </w:t>
      </w:r>
      <w:r w:rsidR="00D86414">
        <w:rPr>
          <w:rFonts w:ascii="Times New Roman" w:hAnsi="Times New Roman"/>
          <w:sz w:val="28"/>
          <w:szCs w:val="28"/>
        </w:rPr>
        <w:t>плазм</w:t>
      </w:r>
      <w:r w:rsidRPr="007F5722">
        <w:rPr>
          <w:rFonts w:ascii="Times New Roman" w:hAnsi="Times New Roman"/>
          <w:sz w:val="28"/>
          <w:szCs w:val="28"/>
        </w:rPr>
        <w:t>і крові хворих на ГХ залежно від маси тіла.</w:t>
      </w:r>
    </w:p>
    <w:p w:rsidR="003A1552" w:rsidRPr="007F5722" w:rsidRDefault="003A1552" w:rsidP="003A1552">
      <w:pPr>
        <w:spacing w:after="0" w:line="360" w:lineRule="auto"/>
        <w:ind w:firstLine="567"/>
        <w:jc w:val="both"/>
        <w:rPr>
          <w:rFonts w:ascii="Times New Roman" w:hAnsi="Times New Roman"/>
          <w:sz w:val="28"/>
          <w:szCs w:val="28"/>
        </w:rPr>
      </w:pPr>
      <w:r w:rsidRPr="007F5722">
        <w:rPr>
          <w:rFonts w:ascii="Times New Roman" w:hAnsi="Times New Roman"/>
          <w:sz w:val="28"/>
          <w:szCs w:val="28"/>
        </w:rPr>
        <w:t>Проведений кореляційний аналіз в групах пацієнтів на ГХ, розділених залежно від маси тіла показав наявність статистично достовірних взаємозв’язків між ІЛ-22 та антропометричними й гемодинамічними показниками лише в групі хворих на ГХ з супутнім ожирінням 1-3 ступеня. Так, мав місце прямий середньої сили зв’язок між ІЛ-22 та такими показниками периферичної гемодинаміки, як рівень САТ (</w:t>
      </w:r>
      <w:r w:rsidRPr="007F5722">
        <w:rPr>
          <w:rFonts w:ascii="Times New Roman" w:hAnsi="Times New Roman"/>
          <w:sz w:val="28"/>
          <w:szCs w:val="28"/>
          <w:lang w:val="en-US"/>
        </w:rPr>
        <w:t>R</w:t>
      </w:r>
      <w:r w:rsidRPr="007F5722">
        <w:rPr>
          <w:rFonts w:ascii="Times New Roman" w:hAnsi="Times New Roman"/>
          <w:sz w:val="28"/>
          <w:szCs w:val="28"/>
        </w:rPr>
        <w:t xml:space="preserve"> = 0,4553; </w:t>
      </w:r>
      <w:r w:rsidRPr="007F5722">
        <w:rPr>
          <w:rFonts w:ascii="Times New Roman" w:hAnsi="Times New Roman"/>
          <w:sz w:val="28"/>
          <w:szCs w:val="28"/>
          <w:lang w:val="en-US"/>
        </w:rPr>
        <w:t>p</w:t>
      </w:r>
      <w:r w:rsidRPr="007F5722">
        <w:rPr>
          <w:rFonts w:ascii="Times New Roman" w:hAnsi="Times New Roman"/>
          <w:sz w:val="28"/>
          <w:szCs w:val="28"/>
        </w:rPr>
        <w:t>&lt;0,006) і значення ПАТ (</w:t>
      </w:r>
      <w:r w:rsidRPr="007F5722">
        <w:rPr>
          <w:rFonts w:ascii="Times New Roman" w:hAnsi="Times New Roman"/>
          <w:sz w:val="28"/>
          <w:szCs w:val="28"/>
          <w:lang w:val="en-US"/>
        </w:rPr>
        <w:t>R</w:t>
      </w:r>
      <w:r w:rsidRPr="007F5722">
        <w:rPr>
          <w:rFonts w:ascii="Times New Roman" w:hAnsi="Times New Roman"/>
          <w:sz w:val="28"/>
          <w:szCs w:val="28"/>
        </w:rPr>
        <w:t xml:space="preserve"> = 0,3990; </w:t>
      </w:r>
      <w:r w:rsidRPr="007F5722">
        <w:rPr>
          <w:rFonts w:ascii="Times New Roman" w:hAnsi="Times New Roman"/>
          <w:sz w:val="28"/>
          <w:szCs w:val="28"/>
          <w:lang w:val="en-US"/>
        </w:rPr>
        <w:t>p</w:t>
      </w:r>
      <w:r w:rsidRPr="007F5722">
        <w:rPr>
          <w:rFonts w:ascii="Times New Roman" w:hAnsi="Times New Roman"/>
          <w:sz w:val="28"/>
          <w:szCs w:val="28"/>
        </w:rPr>
        <w:t>&lt;0,021), що може вважатися підтвердженням залучення ІЛ-22 до підвищення рівня АТ. Крім того, прямі сильні статистично достовірні взаємозв’язки між ІЛ-22 та такими антропометричними показниками, як маса тіла (</w:t>
      </w:r>
      <w:r w:rsidRPr="007F5722">
        <w:rPr>
          <w:rFonts w:ascii="Times New Roman" w:hAnsi="Times New Roman"/>
          <w:sz w:val="28"/>
          <w:szCs w:val="28"/>
          <w:lang w:val="en-US"/>
        </w:rPr>
        <w:t>R</w:t>
      </w:r>
      <w:r w:rsidRPr="007F5722">
        <w:rPr>
          <w:rFonts w:ascii="Times New Roman" w:hAnsi="Times New Roman"/>
          <w:sz w:val="28"/>
          <w:szCs w:val="28"/>
        </w:rPr>
        <w:t xml:space="preserve"> = 0,6553; </w:t>
      </w:r>
      <w:r w:rsidRPr="007F5722">
        <w:rPr>
          <w:rFonts w:ascii="Times New Roman" w:hAnsi="Times New Roman"/>
          <w:sz w:val="28"/>
          <w:szCs w:val="28"/>
          <w:lang w:val="en-US"/>
        </w:rPr>
        <w:t>p</w:t>
      </w:r>
      <w:r w:rsidRPr="007F5722">
        <w:rPr>
          <w:rFonts w:ascii="Times New Roman" w:hAnsi="Times New Roman"/>
          <w:sz w:val="28"/>
          <w:szCs w:val="28"/>
        </w:rPr>
        <w:t>&lt;0,0001), ІМТ (</w:t>
      </w:r>
      <w:r w:rsidRPr="007F5722">
        <w:rPr>
          <w:rFonts w:ascii="Times New Roman" w:hAnsi="Times New Roman"/>
          <w:sz w:val="28"/>
          <w:szCs w:val="28"/>
          <w:lang w:val="en-US"/>
        </w:rPr>
        <w:t>R</w:t>
      </w:r>
      <w:r w:rsidRPr="007F5722">
        <w:rPr>
          <w:rFonts w:ascii="Times New Roman" w:hAnsi="Times New Roman"/>
          <w:sz w:val="28"/>
          <w:szCs w:val="28"/>
        </w:rPr>
        <w:t xml:space="preserve"> = 0,6798; </w:t>
      </w:r>
      <w:r w:rsidRPr="007F5722">
        <w:rPr>
          <w:rFonts w:ascii="Times New Roman" w:hAnsi="Times New Roman"/>
          <w:sz w:val="28"/>
          <w:szCs w:val="28"/>
          <w:lang w:val="en-US"/>
        </w:rPr>
        <w:t>p</w:t>
      </w:r>
      <w:r w:rsidR="00D86414">
        <w:rPr>
          <w:rFonts w:ascii="Times New Roman" w:hAnsi="Times New Roman"/>
          <w:sz w:val="28"/>
          <w:szCs w:val="28"/>
        </w:rPr>
        <w:t xml:space="preserve">&lt;0,0001), </w:t>
      </w:r>
      <w:r w:rsidRPr="007F5722">
        <w:rPr>
          <w:rFonts w:ascii="Times New Roman" w:hAnsi="Times New Roman"/>
          <w:sz w:val="28"/>
          <w:szCs w:val="28"/>
        </w:rPr>
        <w:lastRenderedPageBreak/>
        <w:t>(</w:t>
      </w:r>
      <w:r w:rsidRPr="007F5722">
        <w:rPr>
          <w:rFonts w:ascii="Times New Roman" w:hAnsi="Times New Roman"/>
          <w:sz w:val="28"/>
          <w:szCs w:val="28"/>
          <w:lang w:val="en-US"/>
        </w:rPr>
        <w:t>R</w:t>
      </w:r>
      <w:r w:rsidRPr="007F5722">
        <w:rPr>
          <w:rFonts w:ascii="Times New Roman" w:hAnsi="Times New Roman"/>
          <w:sz w:val="28"/>
          <w:szCs w:val="28"/>
        </w:rPr>
        <w:t xml:space="preserve"> = 0,5268; </w:t>
      </w:r>
      <w:r w:rsidRPr="007F5722">
        <w:rPr>
          <w:rFonts w:ascii="Times New Roman" w:hAnsi="Times New Roman"/>
          <w:sz w:val="28"/>
          <w:szCs w:val="28"/>
          <w:lang w:val="en-US"/>
        </w:rPr>
        <w:t>p</w:t>
      </w:r>
      <w:r w:rsidRPr="007F5722">
        <w:rPr>
          <w:rFonts w:ascii="Times New Roman" w:hAnsi="Times New Roman"/>
          <w:sz w:val="28"/>
          <w:szCs w:val="28"/>
        </w:rPr>
        <w:t>&lt;0,002) та співвідношення ОТ/ОС (</w:t>
      </w:r>
      <w:r w:rsidRPr="007F5722">
        <w:rPr>
          <w:rFonts w:ascii="Times New Roman" w:hAnsi="Times New Roman"/>
          <w:sz w:val="28"/>
          <w:szCs w:val="28"/>
          <w:lang w:val="en-US"/>
        </w:rPr>
        <w:t>R</w:t>
      </w:r>
      <w:r w:rsidRPr="007F5722">
        <w:rPr>
          <w:rFonts w:ascii="Times New Roman" w:hAnsi="Times New Roman"/>
          <w:sz w:val="28"/>
          <w:szCs w:val="28"/>
        </w:rPr>
        <w:t xml:space="preserve"> = 0,6113; </w:t>
      </w:r>
      <w:r w:rsidRPr="007F5722">
        <w:rPr>
          <w:rFonts w:ascii="Times New Roman" w:hAnsi="Times New Roman"/>
          <w:sz w:val="28"/>
          <w:szCs w:val="28"/>
          <w:lang w:val="en-US"/>
        </w:rPr>
        <w:t>p</w:t>
      </w:r>
      <w:r w:rsidRPr="007F5722">
        <w:rPr>
          <w:rFonts w:ascii="Times New Roman" w:hAnsi="Times New Roman"/>
          <w:sz w:val="28"/>
          <w:szCs w:val="28"/>
        </w:rPr>
        <w:t>&lt;0,0001) можуть свідчити про взаємозв’язок між підвищенням рівня ІЛ-22 та розвитк</w:t>
      </w:r>
      <w:r w:rsidR="007C5A04" w:rsidRPr="007F5722">
        <w:rPr>
          <w:rFonts w:ascii="Times New Roman" w:hAnsi="Times New Roman"/>
          <w:sz w:val="28"/>
          <w:szCs w:val="28"/>
        </w:rPr>
        <w:t>ом ожиріння у хворих на ГХ.</w:t>
      </w:r>
    </w:p>
    <w:p w:rsidR="003A1552" w:rsidRPr="007F5722" w:rsidRDefault="003A1552" w:rsidP="003A1552">
      <w:pPr>
        <w:spacing w:after="0" w:line="360" w:lineRule="auto"/>
        <w:ind w:firstLine="567"/>
        <w:jc w:val="both"/>
        <w:rPr>
          <w:rFonts w:ascii="Times New Roman" w:hAnsi="Times New Roman"/>
          <w:sz w:val="28"/>
          <w:szCs w:val="28"/>
        </w:rPr>
      </w:pPr>
      <w:r w:rsidRPr="007F5722">
        <w:rPr>
          <w:rFonts w:ascii="Times New Roman" w:hAnsi="Times New Roman"/>
          <w:sz w:val="28"/>
          <w:szCs w:val="28"/>
        </w:rPr>
        <w:t>З метою підтвердження залучення ІЛ-22 до підвищення рівня АТ, зростання маси тіла та розвитку ожиріння ми розділили хворих на ГХ на більш однорідні за рівнем ІЛ-22 тертілі: 1</w:t>
      </w:r>
      <w:r w:rsidRPr="007F5722">
        <w:rPr>
          <w:rFonts w:ascii="Times New Roman" w:eastAsia="Times New Roman" w:hAnsi="Times New Roman" w:cs="Times New Roman"/>
          <w:color w:val="000000"/>
          <w:sz w:val="28"/>
          <w:szCs w:val="28"/>
        </w:rPr>
        <w:t>-й тертіль – 20,23 - 27,40 пг/мл; 2-й тертіль – 27,49 - 31,51 пг/мл; 3-й тертіль – 31,61 - 54,93 пг/мл. Нами виявлено пряму залежність між зростанням рівню цитокіну та показниками рівню АТ, тривалості захворювання і антропометрич</w:t>
      </w:r>
      <w:r w:rsidR="00D86414">
        <w:rPr>
          <w:rFonts w:ascii="Times New Roman" w:eastAsia="Times New Roman" w:hAnsi="Times New Roman" w:cs="Times New Roman"/>
          <w:color w:val="000000"/>
          <w:sz w:val="28"/>
          <w:szCs w:val="28"/>
        </w:rPr>
        <w:t xml:space="preserve">ними показниками хворих на ГХ. </w:t>
      </w:r>
      <w:r w:rsidRPr="007F5722">
        <w:rPr>
          <w:rFonts w:ascii="Times New Roman" w:eastAsia="Times New Roman" w:hAnsi="Times New Roman" w:cs="Times New Roman"/>
          <w:color w:val="000000"/>
          <w:sz w:val="28"/>
          <w:szCs w:val="28"/>
        </w:rPr>
        <w:t>Достовірні відмінності виявлено щодо рівню САТ та ПАТ (Рис. 4.3).</w:t>
      </w:r>
    </w:p>
    <w:p w:rsidR="003A1552" w:rsidRPr="007F5722" w:rsidRDefault="003A1552" w:rsidP="00B42020">
      <w:pPr>
        <w:spacing w:after="0" w:line="360" w:lineRule="auto"/>
        <w:ind w:firstLine="567"/>
        <w:jc w:val="center"/>
        <w:rPr>
          <w:rFonts w:ascii="Times New Roman" w:hAnsi="Times New Roman"/>
          <w:sz w:val="28"/>
          <w:szCs w:val="28"/>
        </w:rPr>
      </w:pPr>
      <w:r w:rsidRPr="007F5722">
        <w:rPr>
          <w:noProof/>
          <w:lang w:val="ru-RU" w:eastAsia="ru-RU"/>
        </w:rPr>
        <w:drawing>
          <wp:inline distT="0" distB="0" distL="0" distR="0">
            <wp:extent cx="3703320" cy="2080260"/>
            <wp:effectExtent l="0" t="0" r="11430" b="152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A1552" w:rsidRPr="007F5722" w:rsidRDefault="003A1552" w:rsidP="003A1552">
      <w:pPr>
        <w:spacing w:after="0" w:line="360" w:lineRule="auto"/>
        <w:ind w:firstLine="567"/>
        <w:jc w:val="both"/>
        <w:rPr>
          <w:rFonts w:ascii="Times New Roman" w:hAnsi="Times New Roman"/>
          <w:sz w:val="28"/>
          <w:szCs w:val="28"/>
        </w:rPr>
      </w:pPr>
      <w:r w:rsidRPr="007F5722">
        <w:rPr>
          <w:rFonts w:ascii="Times New Roman" w:hAnsi="Times New Roman"/>
          <w:sz w:val="28"/>
          <w:szCs w:val="28"/>
        </w:rPr>
        <w:t>Рис. 4.3. Рівень САТ та ПАТ залежно від вмісту ІЛ-22 у хворих на ГХ.</w:t>
      </w:r>
    </w:p>
    <w:p w:rsidR="003A1552" w:rsidRPr="007F5722" w:rsidRDefault="003A1552" w:rsidP="003A1552">
      <w:pPr>
        <w:spacing w:after="0" w:line="360" w:lineRule="auto"/>
        <w:ind w:firstLine="567"/>
        <w:jc w:val="both"/>
        <w:rPr>
          <w:rFonts w:ascii="Times New Roman" w:hAnsi="Times New Roman"/>
          <w:sz w:val="28"/>
          <w:szCs w:val="28"/>
        </w:rPr>
      </w:pPr>
    </w:p>
    <w:p w:rsidR="003A1552" w:rsidRPr="007F5722" w:rsidRDefault="003A1552" w:rsidP="003A1552">
      <w:pPr>
        <w:spacing w:after="0" w:line="360" w:lineRule="auto"/>
        <w:ind w:firstLine="567"/>
        <w:jc w:val="both"/>
        <w:rPr>
          <w:rFonts w:ascii="Times New Roman" w:hAnsi="Times New Roman"/>
          <w:sz w:val="28"/>
          <w:szCs w:val="28"/>
        </w:rPr>
      </w:pPr>
      <w:r w:rsidRPr="007F5722">
        <w:rPr>
          <w:rFonts w:ascii="Times New Roman" w:hAnsi="Times New Roman"/>
          <w:sz w:val="28"/>
          <w:szCs w:val="28"/>
        </w:rPr>
        <w:t xml:space="preserve">Тривалість захворювання, також, була більшою при вищих значеннях ІЛ-22. Так, у 1-му тертілі вона становила 5 (2;7) років, у 2-му – 10 (6;14) років, та у </w:t>
      </w:r>
      <w:r w:rsidR="00D86414">
        <w:rPr>
          <w:rFonts w:ascii="Times New Roman" w:hAnsi="Times New Roman"/>
          <w:sz w:val="28"/>
          <w:szCs w:val="28"/>
        </w:rPr>
        <w:t xml:space="preserve">3-му – </w:t>
      </w:r>
      <w:r w:rsidRPr="007F5722">
        <w:rPr>
          <w:rFonts w:ascii="Times New Roman" w:hAnsi="Times New Roman"/>
          <w:sz w:val="28"/>
          <w:szCs w:val="28"/>
        </w:rPr>
        <w:t>17 (11;20) років (</w:t>
      </w:r>
      <w:r w:rsidRPr="007F5722">
        <w:rPr>
          <w:rFonts w:ascii="Times New Roman" w:hAnsi="Times New Roman"/>
          <w:sz w:val="28"/>
          <w:szCs w:val="28"/>
          <w:lang w:val="en-US"/>
        </w:rPr>
        <w:t>p</w:t>
      </w:r>
      <w:r w:rsidR="00D86414">
        <w:rPr>
          <w:rFonts w:ascii="Times New Roman" w:hAnsi="Times New Roman"/>
          <w:sz w:val="28"/>
          <w:szCs w:val="28"/>
        </w:rPr>
        <w:t xml:space="preserve">&lt;0,05 у всіх випадках). </w:t>
      </w:r>
      <w:r w:rsidRPr="007F5722">
        <w:rPr>
          <w:rFonts w:ascii="Times New Roman" w:hAnsi="Times New Roman"/>
          <w:sz w:val="28"/>
          <w:szCs w:val="28"/>
        </w:rPr>
        <w:t xml:space="preserve">Ще одним підтвердженням впливу ІЛ-22 на розвиток ожиріння можуть вважатися отримані нами дані щодо зростання значень антропометричних показників: маса тіла, ІМТ, ОТ, ОС, індексу ОТ/ОС паралельно збільшенню </w:t>
      </w:r>
      <w:r w:rsidR="00D86414">
        <w:rPr>
          <w:rFonts w:ascii="Times New Roman" w:hAnsi="Times New Roman"/>
          <w:sz w:val="28"/>
          <w:szCs w:val="28"/>
        </w:rPr>
        <w:t>плазматичного</w:t>
      </w:r>
      <w:r w:rsidRPr="007F5722">
        <w:rPr>
          <w:rFonts w:ascii="Times New Roman" w:hAnsi="Times New Roman"/>
          <w:sz w:val="28"/>
          <w:szCs w:val="28"/>
        </w:rPr>
        <w:t xml:space="preserve"> вмісту ІЛ-22 у хворих на ГХ. Відмінності значення ІМТ у хворих на ГХ, розділених на тертілі залежно від рівню ІЛ-22 у </w:t>
      </w:r>
      <w:r w:rsidR="00D86414">
        <w:rPr>
          <w:rFonts w:ascii="Times New Roman" w:hAnsi="Times New Roman"/>
          <w:sz w:val="28"/>
          <w:szCs w:val="28"/>
        </w:rPr>
        <w:t>плазмі</w:t>
      </w:r>
      <w:r w:rsidRPr="007F5722">
        <w:rPr>
          <w:rFonts w:ascii="Times New Roman" w:hAnsi="Times New Roman"/>
          <w:sz w:val="28"/>
          <w:szCs w:val="28"/>
        </w:rPr>
        <w:t xml:space="preserve"> крові графічно відображено на рис. 4.4.  </w:t>
      </w:r>
    </w:p>
    <w:p w:rsidR="003A1552" w:rsidRPr="007F5722" w:rsidRDefault="003A1552" w:rsidP="00B42020">
      <w:pPr>
        <w:spacing w:after="0" w:line="360" w:lineRule="auto"/>
        <w:ind w:firstLine="567"/>
        <w:jc w:val="center"/>
        <w:rPr>
          <w:rFonts w:ascii="Times New Roman" w:hAnsi="Times New Roman"/>
          <w:sz w:val="28"/>
          <w:szCs w:val="28"/>
          <w:lang w:val="en-US"/>
        </w:rPr>
      </w:pPr>
      <w:r w:rsidRPr="007F5722">
        <w:rPr>
          <w:noProof/>
          <w:lang w:val="ru-RU" w:eastAsia="ru-RU"/>
        </w:rPr>
        <w:lastRenderedPageBreak/>
        <w:drawing>
          <wp:inline distT="0" distB="0" distL="0" distR="0">
            <wp:extent cx="3901440" cy="1920240"/>
            <wp:effectExtent l="0" t="0" r="3810" b="381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3A1552" w:rsidRPr="007F5722" w:rsidRDefault="00D86414" w:rsidP="003A1552">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Рис. 4.4. Значення ІМТ </w:t>
      </w:r>
      <w:r w:rsidR="003A1552" w:rsidRPr="007F5722">
        <w:rPr>
          <w:rFonts w:ascii="Times New Roman" w:hAnsi="Times New Roman"/>
          <w:sz w:val="28"/>
          <w:szCs w:val="28"/>
        </w:rPr>
        <w:t>залежно від вмісту ІЛ-22 у хворих на ГХ.</w:t>
      </w:r>
    </w:p>
    <w:p w:rsidR="003A1552" w:rsidRPr="007F5722" w:rsidRDefault="003A1552" w:rsidP="003A1552">
      <w:pPr>
        <w:spacing w:after="0" w:line="360" w:lineRule="auto"/>
        <w:ind w:firstLine="567"/>
        <w:jc w:val="both"/>
        <w:rPr>
          <w:rFonts w:ascii="Times New Roman" w:hAnsi="Times New Roman"/>
          <w:sz w:val="28"/>
          <w:szCs w:val="28"/>
        </w:rPr>
      </w:pPr>
    </w:p>
    <w:p w:rsidR="003A1552" w:rsidRPr="007F5722" w:rsidRDefault="0048469B" w:rsidP="003A1552">
      <w:pPr>
        <w:spacing w:after="0" w:line="360" w:lineRule="auto"/>
        <w:ind w:firstLine="567"/>
        <w:jc w:val="both"/>
        <w:rPr>
          <w:rFonts w:ascii="Times New Roman" w:hAnsi="Times New Roman"/>
          <w:sz w:val="28"/>
          <w:szCs w:val="28"/>
        </w:rPr>
      </w:pPr>
      <w:r w:rsidRPr="007F5722">
        <w:rPr>
          <w:noProof/>
          <w:lang w:val="ru-RU" w:eastAsia="ru-RU"/>
        </w:rPr>
        <w:drawing>
          <wp:anchor distT="0" distB="0" distL="114300" distR="114300" simplePos="0" relativeHeight="251655680" behindDoc="0" locked="0" layoutInCell="1" allowOverlap="1" wp14:anchorId="76045361" wp14:editId="1EFF9B8A">
            <wp:simplePos x="0" y="0"/>
            <wp:positionH relativeFrom="margin">
              <wp:align>right</wp:align>
            </wp:positionH>
            <wp:positionV relativeFrom="paragraph">
              <wp:posOffset>2814320</wp:posOffset>
            </wp:positionV>
            <wp:extent cx="2674620" cy="1714500"/>
            <wp:effectExtent l="0" t="0" r="11430" b="0"/>
            <wp:wrapNone/>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margin">
              <wp14:pctWidth>0</wp14:pctWidth>
            </wp14:sizeRelH>
            <wp14:sizeRelV relativeFrom="margin">
              <wp14:pctHeight>0</wp14:pctHeight>
            </wp14:sizeRelV>
          </wp:anchor>
        </w:drawing>
      </w:r>
      <w:r w:rsidRPr="007F5722">
        <w:rPr>
          <w:noProof/>
          <w:lang w:val="ru-RU" w:eastAsia="ru-RU"/>
        </w:rPr>
        <w:drawing>
          <wp:anchor distT="0" distB="0" distL="114300" distR="114300" simplePos="0" relativeHeight="251658752" behindDoc="1" locked="0" layoutInCell="1" allowOverlap="1" wp14:anchorId="77BD62BA" wp14:editId="37817F9E">
            <wp:simplePos x="0" y="0"/>
            <wp:positionH relativeFrom="margin">
              <wp:align>left</wp:align>
            </wp:positionH>
            <wp:positionV relativeFrom="paragraph">
              <wp:posOffset>2966720</wp:posOffset>
            </wp:positionV>
            <wp:extent cx="2895600" cy="1455420"/>
            <wp:effectExtent l="0" t="0" r="0" b="11430"/>
            <wp:wrapNone/>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H relativeFrom="margin">
              <wp14:pctWidth>0</wp14:pctWidth>
            </wp14:sizeRelH>
            <wp14:sizeRelV relativeFrom="margin">
              <wp14:pctHeight>0</wp14:pctHeight>
            </wp14:sizeRelV>
          </wp:anchor>
        </w:drawing>
      </w:r>
      <w:r w:rsidR="003A1552" w:rsidRPr="007F5722">
        <w:rPr>
          <w:rFonts w:ascii="Times New Roman" w:hAnsi="Times New Roman"/>
          <w:sz w:val="28"/>
          <w:szCs w:val="28"/>
        </w:rPr>
        <w:t>Для більш детального вивчення ролі ІЛ-22 у формуванні ожиріння у кожному тертілі ми проаналізували показники маси тіла пацієнтів. В результаті нами встановлено, що у 1-му тертілі з мінімальним значеннями ІЛ-22 переважали пацієнти з нормальною масою тіла (62,96%), надмірну масу тіла мали 29,63%, та лише у 7,41 % відзначено наявність ожиріння 1 ступеня. У 2-му тертілі у більшості хворих на ГХ встановлено надмірну масу тіла та 14,8% мали ожиріння 1 ступеня. У хворих 3-го тертілю з максимальними значеннями ІЛ-22 виявлено лише ожиріння, причому 1-го та 2-го ступеня у рівній кількості – а саме у 44,5% випадках, та 11% хворих мали ожи</w:t>
      </w:r>
      <w:r w:rsidR="007C5A04" w:rsidRPr="007F5722">
        <w:rPr>
          <w:rFonts w:ascii="Times New Roman" w:hAnsi="Times New Roman"/>
          <w:sz w:val="28"/>
          <w:szCs w:val="28"/>
        </w:rPr>
        <w:t>ріння 3-го ступеня (Рис. 4.5).</w:t>
      </w:r>
    </w:p>
    <w:p w:rsidR="003A1552" w:rsidRPr="007F5722" w:rsidRDefault="003A1552" w:rsidP="003A1552">
      <w:pPr>
        <w:spacing w:after="0" w:line="360" w:lineRule="auto"/>
        <w:ind w:firstLine="567"/>
        <w:jc w:val="both"/>
        <w:rPr>
          <w:rFonts w:ascii="Times New Roman" w:hAnsi="Times New Roman"/>
          <w:sz w:val="28"/>
          <w:szCs w:val="28"/>
        </w:rPr>
      </w:pPr>
    </w:p>
    <w:p w:rsidR="003A1552" w:rsidRPr="007F5722" w:rsidRDefault="003A1552" w:rsidP="003A1552">
      <w:pPr>
        <w:spacing w:after="0" w:line="360" w:lineRule="auto"/>
        <w:ind w:firstLine="567"/>
        <w:jc w:val="both"/>
        <w:rPr>
          <w:rFonts w:ascii="Times New Roman" w:hAnsi="Times New Roman"/>
          <w:sz w:val="28"/>
          <w:szCs w:val="28"/>
        </w:rPr>
      </w:pPr>
    </w:p>
    <w:p w:rsidR="003A1552" w:rsidRDefault="003A1552" w:rsidP="003A1552">
      <w:pPr>
        <w:spacing w:after="0" w:line="360" w:lineRule="auto"/>
        <w:ind w:firstLine="567"/>
        <w:jc w:val="both"/>
        <w:rPr>
          <w:rFonts w:ascii="Times New Roman" w:hAnsi="Times New Roman"/>
          <w:sz w:val="28"/>
          <w:szCs w:val="28"/>
        </w:rPr>
      </w:pPr>
    </w:p>
    <w:p w:rsidR="00D86414" w:rsidRPr="007F5722" w:rsidRDefault="00D86414" w:rsidP="003A1552">
      <w:pPr>
        <w:spacing w:after="0" w:line="360" w:lineRule="auto"/>
        <w:ind w:firstLine="567"/>
        <w:jc w:val="both"/>
        <w:rPr>
          <w:rFonts w:ascii="Times New Roman" w:hAnsi="Times New Roman"/>
          <w:sz w:val="28"/>
          <w:szCs w:val="28"/>
        </w:rPr>
      </w:pPr>
    </w:p>
    <w:p w:rsidR="003A1552" w:rsidRPr="007F5722" w:rsidRDefault="00A94433" w:rsidP="003A1552">
      <w:pPr>
        <w:spacing w:after="0" w:line="360" w:lineRule="auto"/>
        <w:ind w:firstLine="567"/>
        <w:jc w:val="both"/>
        <w:rPr>
          <w:rFonts w:ascii="Times New Roman" w:hAnsi="Times New Roman"/>
          <w:sz w:val="28"/>
          <w:szCs w:val="28"/>
        </w:rPr>
      </w:pPr>
      <w:r w:rsidRPr="007F5722">
        <w:rPr>
          <w:noProof/>
          <w:lang w:val="ru-RU" w:eastAsia="ru-RU"/>
        </w:rPr>
        <w:drawing>
          <wp:anchor distT="0" distB="0" distL="114300" distR="114300" simplePos="0" relativeHeight="251659776" behindDoc="0" locked="0" layoutInCell="1" allowOverlap="1" wp14:anchorId="354C0BC0" wp14:editId="416B9EBD">
            <wp:simplePos x="0" y="0"/>
            <wp:positionH relativeFrom="margin">
              <wp:posOffset>702945</wp:posOffset>
            </wp:positionH>
            <wp:positionV relativeFrom="paragraph">
              <wp:posOffset>120650</wp:posOffset>
            </wp:positionV>
            <wp:extent cx="3535680" cy="1661160"/>
            <wp:effectExtent l="0" t="0" r="7620" b="15240"/>
            <wp:wrapNone/>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14:sizeRelH relativeFrom="margin">
              <wp14:pctWidth>0</wp14:pctWidth>
            </wp14:sizeRelH>
            <wp14:sizeRelV relativeFrom="margin">
              <wp14:pctHeight>0</wp14:pctHeight>
            </wp14:sizeRelV>
          </wp:anchor>
        </w:drawing>
      </w:r>
    </w:p>
    <w:p w:rsidR="003A1552" w:rsidRPr="007F5722" w:rsidRDefault="003A1552" w:rsidP="003A1552">
      <w:pPr>
        <w:spacing w:after="0" w:line="360" w:lineRule="auto"/>
        <w:ind w:firstLine="567"/>
        <w:jc w:val="both"/>
        <w:rPr>
          <w:rFonts w:ascii="Times New Roman" w:hAnsi="Times New Roman"/>
          <w:sz w:val="28"/>
          <w:szCs w:val="28"/>
        </w:rPr>
      </w:pPr>
    </w:p>
    <w:p w:rsidR="003A1552" w:rsidRPr="007F5722" w:rsidRDefault="003A1552" w:rsidP="003A1552">
      <w:pPr>
        <w:spacing w:after="0" w:line="360" w:lineRule="auto"/>
        <w:ind w:firstLine="567"/>
        <w:jc w:val="both"/>
        <w:rPr>
          <w:rFonts w:ascii="Times New Roman" w:hAnsi="Times New Roman"/>
          <w:sz w:val="28"/>
          <w:szCs w:val="28"/>
        </w:rPr>
      </w:pPr>
    </w:p>
    <w:p w:rsidR="003A1552" w:rsidRPr="007F5722" w:rsidRDefault="003A1552" w:rsidP="003A1552">
      <w:pPr>
        <w:spacing w:after="0" w:line="360" w:lineRule="auto"/>
        <w:ind w:firstLine="567"/>
        <w:jc w:val="both"/>
        <w:rPr>
          <w:rFonts w:ascii="Times New Roman" w:hAnsi="Times New Roman"/>
          <w:sz w:val="28"/>
          <w:szCs w:val="28"/>
        </w:rPr>
      </w:pPr>
    </w:p>
    <w:p w:rsidR="003A1552" w:rsidRPr="007F5722" w:rsidRDefault="003A1552" w:rsidP="003A1552">
      <w:pPr>
        <w:spacing w:after="0" w:line="360" w:lineRule="auto"/>
        <w:ind w:firstLine="567"/>
        <w:jc w:val="both"/>
        <w:rPr>
          <w:rFonts w:ascii="Times New Roman" w:hAnsi="Times New Roman"/>
          <w:sz w:val="28"/>
          <w:szCs w:val="28"/>
        </w:rPr>
      </w:pPr>
    </w:p>
    <w:p w:rsidR="003A1552" w:rsidRPr="007F5722" w:rsidRDefault="003A1552" w:rsidP="00D86414">
      <w:pPr>
        <w:spacing w:after="0" w:line="360" w:lineRule="auto"/>
        <w:jc w:val="both"/>
        <w:rPr>
          <w:rFonts w:ascii="Times New Roman" w:hAnsi="Times New Roman"/>
          <w:sz w:val="28"/>
          <w:szCs w:val="28"/>
        </w:rPr>
      </w:pPr>
    </w:p>
    <w:p w:rsidR="003A1552" w:rsidRPr="007F5722" w:rsidRDefault="003A1552" w:rsidP="00D86414">
      <w:pPr>
        <w:spacing w:after="0" w:line="360" w:lineRule="auto"/>
        <w:ind w:firstLine="567"/>
        <w:jc w:val="both"/>
        <w:rPr>
          <w:rFonts w:ascii="Times New Roman" w:hAnsi="Times New Roman"/>
          <w:sz w:val="28"/>
          <w:szCs w:val="28"/>
        </w:rPr>
      </w:pPr>
      <w:r w:rsidRPr="007F5722">
        <w:rPr>
          <w:rFonts w:ascii="Times New Roman" w:hAnsi="Times New Roman"/>
          <w:sz w:val="28"/>
          <w:szCs w:val="28"/>
        </w:rPr>
        <w:t>Рис. 4.5. Маса тіла хвори</w:t>
      </w:r>
      <w:r w:rsidR="00D86414">
        <w:rPr>
          <w:rFonts w:ascii="Times New Roman" w:hAnsi="Times New Roman"/>
          <w:sz w:val="28"/>
          <w:szCs w:val="28"/>
        </w:rPr>
        <w:t>х на ГХ залежно від рівня ІЛ-22</w:t>
      </w:r>
    </w:p>
    <w:p w:rsidR="003A1552" w:rsidRPr="007F5722" w:rsidRDefault="003A1552" w:rsidP="003A1552">
      <w:pPr>
        <w:spacing w:after="0" w:line="360" w:lineRule="auto"/>
        <w:ind w:firstLine="567"/>
        <w:jc w:val="both"/>
        <w:rPr>
          <w:rFonts w:ascii="Times New Roman" w:hAnsi="Times New Roman"/>
          <w:sz w:val="28"/>
          <w:szCs w:val="28"/>
        </w:rPr>
      </w:pPr>
      <w:r w:rsidRPr="007F5722">
        <w:rPr>
          <w:rFonts w:ascii="Times New Roman" w:hAnsi="Times New Roman"/>
          <w:sz w:val="28"/>
          <w:szCs w:val="28"/>
        </w:rPr>
        <w:lastRenderedPageBreak/>
        <w:t xml:space="preserve">Таким чином, нами встановлено, що пацієнти на ГХ з мінімальним рівнем ІЛ-22 у </w:t>
      </w:r>
      <w:r w:rsidR="00D86414">
        <w:rPr>
          <w:rFonts w:ascii="Times New Roman" w:hAnsi="Times New Roman"/>
          <w:sz w:val="28"/>
          <w:szCs w:val="28"/>
        </w:rPr>
        <w:t>плазмі</w:t>
      </w:r>
      <w:r w:rsidRPr="007F5722">
        <w:rPr>
          <w:rFonts w:ascii="Times New Roman" w:hAnsi="Times New Roman"/>
          <w:sz w:val="28"/>
          <w:szCs w:val="28"/>
        </w:rPr>
        <w:t xml:space="preserve"> крові переважно мали нормальну масу тіла, з середніми значеннями цитокіну – надмірну масу тіла, тоді як у хворих з максимальним вмістом ІЛ-22 виявлено лише наявність ожиріння.</w:t>
      </w:r>
    </w:p>
    <w:p w:rsidR="003A1552" w:rsidRPr="007F5722" w:rsidRDefault="003A1552" w:rsidP="003A1552">
      <w:pPr>
        <w:spacing w:after="0" w:line="360" w:lineRule="auto"/>
        <w:ind w:firstLine="567"/>
        <w:jc w:val="both"/>
        <w:rPr>
          <w:rFonts w:ascii="Times New Roman" w:hAnsi="Times New Roman"/>
          <w:sz w:val="28"/>
          <w:szCs w:val="28"/>
        </w:rPr>
      </w:pPr>
      <w:r w:rsidRPr="007F5722">
        <w:rPr>
          <w:rFonts w:ascii="Times New Roman" w:hAnsi="Times New Roman"/>
          <w:sz w:val="28"/>
          <w:szCs w:val="28"/>
        </w:rPr>
        <w:t>Дані експериментальних досліджень щодо впливу ІЛ-22 на розвиток ожиріння та загалом метаболічних порушень дещо різняться. Так, при дослідженнях за участю експериментальних тварин було показано, що ендогенний ІЛ-22 не впливає на формування абдомінального ожиріння. У іншому дослідженні продемонстровано, що введення екзогенного ІЛ-22 мишам з ожирінням спроможне покращити метаболічний профіль, а саме знижувалась маса тіла, зменшувався рівень глюкози крові, інтолерантність до глюкози та інсулінорезистентність у мишей, яких годували 8 тижнів дієтою з високим вмістом жирів. Ці ефекти залежали від дози ІЛ-22 та тривалості метаболічних захворювань [</w:t>
      </w:r>
      <w:r w:rsidR="00DF53BC" w:rsidRPr="007F5722">
        <w:rPr>
          <w:rFonts w:ascii="Times New Roman" w:hAnsi="Times New Roman"/>
          <w:sz w:val="28"/>
          <w:szCs w:val="28"/>
        </w:rPr>
        <w:t>11, 224</w:t>
      </w:r>
      <w:r w:rsidR="007C5A04" w:rsidRPr="007F5722">
        <w:rPr>
          <w:rFonts w:ascii="Times New Roman" w:hAnsi="Times New Roman"/>
          <w:sz w:val="28"/>
          <w:szCs w:val="28"/>
        </w:rPr>
        <w:t>].</w:t>
      </w:r>
    </w:p>
    <w:p w:rsidR="003A1552" w:rsidRPr="007F5722" w:rsidRDefault="003A1552" w:rsidP="003A1552">
      <w:pPr>
        <w:spacing w:after="0" w:line="360" w:lineRule="auto"/>
        <w:jc w:val="both"/>
        <w:rPr>
          <w:rFonts w:ascii="Times New Roman" w:hAnsi="Times New Roman"/>
          <w:sz w:val="28"/>
          <w:szCs w:val="28"/>
        </w:rPr>
      </w:pPr>
      <w:r w:rsidRPr="007F5722">
        <w:rPr>
          <w:rFonts w:ascii="Times New Roman" w:hAnsi="Times New Roman"/>
          <w:sz w:val="28"/>
          <w:szCs w:val="28"/>
        </w:rPr>
        <w:tab/>
        <w:t xml:space="preserve">При дослідженнях за участю людини отримано протилежні дані. Показано зростання таких клітин–продуцентів ІЛ-22, як </w:t>
      </w:r>
      <w:r w:rsidRPr="007F5722">
        <w:rPr>
          <w:rFonts w:ascii="Times New Roman" w:hAnsi="Times New Roman"/>
          <w:sz w:val="28"/>
          <w:szCs w:val="28"/>
          <w:lang w:val="en-US"/>
        </w:rPr>
        <w:t>Th</w:t>
      </w:r>
      <w:r w:rsidR="00DF53BC" w:rsidRPr="007F5722">
        <w:rPr>
          <w:rFonts w:ascii="Times New Roman" w:hAnsi="Times New Roman"/>
          <w:sz w:val="28"/>
          <w:szCs w:val="28"/>
        </w:rPr>
        <w:t xml:space="preserve">-клітини у </w:t>
      </w:r>
      <w:r w:rsidRPr="007F5722">
        <w:rPr>
          <w:rFonts w:ascii="Times New Roman" w:hAnsi="Times New Roman"/>
          <w:sz w:val="28"/>
          <w:szCs w:val="28"/>
        </w:rPr>
        <w:t xml:space="preserve">пацієнтів на ЦД 2 типу. Більш того, виявлено зростання кількості </w:t>
      </w:r>
      <w:r w:rsidRPr="007F5722">
        <w:rPr>
          <w:rFonts w:ascii="Times New Roman" w:hAnsi="Times New Roman"/>
          <w:sz w:val="28"/>
          <w:szCs w:val="28"/>
          <w:lang w:val="en-US"/>
        </w:rPr>
        <w:t>CD</w:t>
      </w:r>
      <w:r w:rsidRPr="007F5722">
        <w:rPr>
          <w:rFonts w:ascii="Times New Roman" w:hAnsi="Times New Roman"/>
          <w:sz w:val="28"/>
          <w:szCs w:val="28"/>
        </w:rPr>
        <w:t xml:space="preserve">4 + </w:t>
      </w:r>
      <w:r w:rsidRPr="007F5722">
        <w:rPr>
          <w:rFonts w:ascii="Times New Roman" w:hAnsi="Times New Roman"/>
          <w:sz w:val="28"/>
          <w:szCs w:val="28"/>
          <w:lang w:val="en-US"/>
        </w:rPr>
        <w:t>T</w:t>
      </w:r>
      <w:r w:rsidRPr="007F5722">
        <w:rPr>
          <w:rFonts w:ascii="Times New Roman" w:hAnsi="Times New Roman"/>
          <w:sz w:val="28"/>
          <w:szCs w:val="28"/>
        </w:rPr>
        <w:t xml:space="preserve"> клітин, які продукують ІЛ-22 у адипозній тканині. Відомо, що ІЛ-1</w:t>
      </w:r>
      <w:r w:rsidRPr="007F5722">
        <w:rPr>
          <w:rFonts w:ascii="Times New Roman" w:hAnsi="Times New Roman" w:cs="Times New Roman"/>
          <w:sz w:val="28"/>
          <w:szCs w:val="28"/>
        </w:rPr>
        <w:t>β</w:t>
      </w:r>
      <w:r w:rsidRPr="007F5722">
        <w:rPr>
          <w:rFonts w:ascii="Times New Roman" w:hAnsi="Times New Roman"/>
          <w:sz w:val="28"/>
          <w:szCs w:val="28"/>
        </w:rPr>
        <w:t xml:space="preserve"> присутній у білій адипозній тканині людини. Цей цитокін є промотором продукції ІЛ-22 </w:t>
      </w:r>
      <w:r w:rsidRPr="007F5722">
        <w:rPr>
          <w:rFonts w:ascii="Times New Roman" w:hAnsi="Times New Roman"/>
          <w:sz w:val="28"/>
          <w:szCs w:val="28"/>
          <w:lang w:val="en-US"/>
        </w:rPr>
        <w:t>CD</w:t>
      </w:r>
      <w:r w:rsidRPr="007F5722">
        <w:rPr>
          <w:rFonts w:ascii="Times New Roman" w:hAnsi="Times New Roman"/>
          <w:sz w:val="28"/>
          <w:szCs w:val="28"/>
        </w:rPr>
        <w:t xml:space="preserve">4 + </w:t>
      </w:r>
      <w:r w:rsidRPr="007F5722">
        <w:rPr>
          <w:rFonts w:ascii="Times New Roman" w:hAnsi="Times New Roman"/>
          <w:sz w:val="28"/>
          <w:szCs w:val="28"/>
          <w:lang w:val="en-US"/>
        </w:rPr>
        <w:t>T</w:t>
      </w:r>
      <w:r w:rsidRPr="007F5722">
        <w:rPr>
          <w:rFonts w:ascii="Times New Roman" w:hAnsi="Times New Roman"/>
          <w:sz w:val="28"/>
          <w:szCs w:val="28"/>
        </w:rPr>
        <w:t xml:space="preserve"> клітинами, що може пояснити зростання рівню ІЛ-22 при ЦД 2 типу та абдомінальному ожирінні [65-67]. </w:t>
      </w:r>
    </w:p>
    <w:p w:rsidR="003A1552" w:rsidRPr="007F5722" w:rsidRDefault="003A1552" w:rsidP="003A1552">
      <w:pPr>
        <w:spacing w:after="0" w:line="360" w:lineRule="auto"/>
        <w:jc w:val="both"/>
        <w:rPr>
          <w:rFonts w:ascii="Times New Roman" w:eastAsia="Times New Roman" w:hAnsi="Times New Roman" w:cs="Times New Roman"/>
          <w:color w:val="000000"/>
          <w:sz w:val="28"/>
          <w:szCs w:val="28"/>
        </w:rPr>
      </w:pPr>
      <w:r w:rsidRPr="007F5722">
        <w:rPr>
          <w:rFonts w:ascii="Times New Roman" w:hAnsi="Times New Roman"/>
          <w:sz w:val="28"/>
          <w:szCs w:val="28"/>
        </w:rPr>
        <w:tab/>
        <w:t xml:space="preserve">У нашому дослідженні отримано подібні результати. Ми виявили, що чим більший рівень ІЛ-22 у </w:t>
      </w:r>
      <w:r w:rsidR="00794E07">
        <w:rPr>
          <w:rFonts w:ascii="Times New Roman" w:hAnsi="Times New Roman"/>
          <w:sz w:val="28"/>
          <w:szCs w:val="28"/>
        </w:rPr>
        <w:t xml:space="preserve">плазмі </w:t>
      </w:r>
      <w:r w:rsidRPr="007F5722">
        <w:rPr>
          <w:rFonts w:ascii="Times New Roman" w:hAnsi="Times New Roman"/>
          <w:sz w:val="28"/>
          <w:szCs w:val="28"/>
        </w:rPr>
        <w:t>крові, тим більший відсоток хворих, що мають абдомінальний тип ожиріння. Так наприклад, у пацієнтів 1-го тертілю це лише 25,9%, у пацієнтів 2-тертілю – 59,3%, та у пацієнтів 3-го тертілю відсоток наявності АО становив 74,1%. Проведений кореляційний аналіз підтвердив достовірний взаємозв’язок між рівнем ІЛ-22 та всіма антропометричними показниками:</w:t>
      </w:r>
      <w:r w:rsidRPr="007F5722">
        <w:rPr>
          <w:rFonts w:ascii="Times New Roman" w:eastAsia="Times New Roman" w:hAnsi="Times New Roman" w:cs="Times New Roman"/>
          <w:color w:val="000000"/>
          <w:sz w:val="28"/>
          <w:szCs w:val="28"/>
        </w:rPr>
        <w:t xml:space="preserve"> масою тіла (R=0,64; р&lt;0,05), ІМТ (R=0,75; р&lt;0,05), ОТ (R=0,48; р&lt;0,05), ОС (R=0,39; р&lt;0,05) та співвідношенням ОТ/ОС </w:t>
      </w:r>
      <w:r w:rsidRPr="007F5722">
        <w:rPr>
          <w:rFonts w:ascii="Times New Roman" w:eastAsia="Times New Roman" w:hAnsi="Times New Roman" w:cs="Times New Roman"/>
          <w:color w:val="000000"/>
          <w:sz w:val="28"/>
          <w:szCs w:val="28"/>
        </w:rPr>
        <w:lastRenderedPageBreak/>
        <w:t xml:space="preserve">у пацієнтів на ГХ 3-го тертілю з максимальними значеннями ІЛ-22. Тоді, як у 1-му та 2-му тертілі достовірних взаємозв’язків не виявлено. </w:t>
      </w:r>
    </w:p>
    <w:p w:rsidR="003A1552" w:rsidRPr="007F5722" w:rsidRDefault="003A1552" w:rsidP="003A1552">
      <w:pPr>
        <w:spacing w:after="0" w:line="360" w:lineRule="auto"/>
        <w:jc w:val="both"/>
        <w:rPr>
          <w:rFonts w:ascii="Times New Roman" w:hAnsi="Times New Roman"/>
          <w:sz w:val="28"/>
          <w:szCs w:val="28"/>
        </w:rPr>
      </w:pPr>
      <w:r w:rsidRPr="007F5722">
        <w:rPr>
          <w:rFonts w:ascii="Times New Roman" w:eastAsia="Times New Roman" w:hAnsi="Times New Roman" w:cs="Times New Roman"/>
          <w:color w:val="000000"/>
          <w:sz w:val="28"/>
          <w:szCs w:val="28"/>
        </w:rPr>
        <w:tab/>
        <w:t>Для більш детального вивчення впливу ІЛ-22 на розвиток А</w:t>
      </w:r>
      <w:r w:rsidR="00794E07">
        <w:rPr>
          <w:rFonts w:ascii="Times New Roman" w:eastAsia="Times New Roman" w:hAnsi="Times New Roman" w:cs="Times New Roman"/>
          <w:color w:val="000000"/>
          <w:sz w:val="28"/>
          <w:szCs w:val="28"/>
        </w:rPr>
        <w:t xml:space="preserve">О ми проаналізували його рівень </w:t>
      </w:r>
      <w:r w:rsidRPr="007F5722">
        <w:rPr>
          <w:rFonts w:ascii="Times New Roman" w:eastAsia="Times New Roman" w:hAnsi="Times New Roman" w:cs="Times New Roman"/>
          <w:color w:val="000000"/>
          <w:sz w:val="28"/>
          <w:szCs w:val="28"/>
        </w:rPr>
        <w:t xml:space="preserve">у хворих на ГХ, розділених на групи залежно від наявності АО. В результаті встановлено, достовірно вищі значення рівню ІЛ-22 у </w:t>
      </w:r>
      <w:r w:rsidR="00794E07">
        <w:rPr>
          <w:rFonts w:ascii="Times New Roman" w:eastAsia="Times New Roman" w:hAnsi="Times New Roman" w:cs="Times New Roman"/>
          <w:color w:val="000000"/>
          <w:sz w:val="28"/>
          <w:szCs w:val="28"/>
        </w:rPr>
        <w:t>плазмі</w:t>
      </w:r>
      <w:r w:rsidRPr="007F5722">
        <w:rPr>
          <w:rFonts w:ascii="Times New Roman" w:eastAsia="Times New Roman" w:hAnsi="Times New Roman" w:cs="Times New Roman"/>
          <w:color w:val="000000"/>
          <w:sz w:val="28"/>
          <w:szCs w:val="28"/>
        </w:rPr>
        <w:t xml:space="preserve"> крові хворих на ГХ з наявним АО порівняно з хворими на ГХ з відсутнім АО та контрольною групою. Крім того, мали місце гендерні відмінності рівню цитокіну, що узгоджуються з літературними даними про переважне зростання рівня ІЛ-22 у чоловіків хворих на ІХС та ЦД 2 типу </w:t>
      </w:r>
      <w:r w:rsidRPr="007F5722">
        <w:rPr>
          <w:rFonts w:ascii="Times New Roman" w:hAnsi="Times New Roman" w:cs="Times New Roman"/>
          <w:sz w:val="28"/>
          <w:szCs w:val="28"/>
        </w:rPr>
        <w:t>[</w:t>
      </w:r>
      <w:r w:rsidR="00810BCF" w:rsidRPr="007F5722">
        <w:rPr>
          <w:rFonts w:ascii="Times New Roman" w:hAnsi="Times New Roman" w:cs="Times New Roman"/>
          <w:sz w:val="28"/>
          <w:szCs w:val="28"/>
        </w:rPr>
        <w:t>202</w:t>
      </w:r>
      <w:r w:rsidRPr="007F5722">
        <w:rPr>
          <w:rFonts w:ascii="Times New Roman" w:hAnsi="Times New Roman" w:cs="Times New Roman"/>
          <w:sz w:val="28"/>
          <w:szCs w:val="28"/>
        </w:rPr>
        <w:t xml:space="preserve">]. За нашими даними </w:t>
      </w:r>
      <w:r w:rsidRPr="007F5722">
        <w:rPr>
          <w:rFonts w:ascii="Times New Roman" w:eastAsia="Times New Roman" w:hAnsi="Times New Roman" w:cs="Times New Roman"/>
          <w:color w:val="000000"/>
          <w:sz w:val="28"/>
          <w:szCs w:val="28"/>
        </w:rPr>
        <w:t xml:space="preserve">рівень ІЛ-22 у </w:t>
      </w:r>
      <w:r w:rsidR="00794E07">
        <w:rPr>
          <w:rFonts w:ascii="Times New Roman" w:eastAsia="Times New Roman" w:hAnsi="Times New Roman" w:cs="Times New Roman"/>
          <w:color w:val="000000"/>
          <w:sz w:val="28"/>
          <w:szCs w:val="28"/>
        </w:rPr>
        <w:t>плазмі</w:t>
      </w:r>
      <w:r w:rsidRPr="007F5722">
        <w:rPr>
          <w:rFonts w:ascii="Times New Roman" w:eastAsia="Times New Roman" w:hAnsi="Times New Roman" w:cs="Times New Roman"/>
          <w:color w:val="000000"/>
          <w:sz w:val="28"/>
          <w:szCs w:val="28"/>
        </w:rPr>
        <w:t xml:space="preserve"> крові, також, був достовірно вищим у чоловіків порівняно з жінками у всіх гру</w:t>
      </w:r>
      <w:r w:rsidR="007C5A04" w:rsidRPr="007F5722">
        <w:rPr>
          <w:rFonts w:ascii="Times New Roman" w:eastAsia="Times New Roman" w:hAnsi="Times New Roman" w:cs="Times New Roman"/>
          <w:color w:val="000000"/>
          <w:sz w:val="28"/>
          <w:szCs w:val="28"/>
        </w:rPr>
        <w:t>пах порівняння (Рис. 4.6).</w:t>
      </w:r>
    </w:p>
    <w:p w:rsidR="003A1552" w:rsidRPr="007F5722" w:rsidRDefault="003A1552" w:rsidP="00B42020">
      <w:pPr>
        <w:spacing w:after="0" w:line="360" w:lineRule="auto"/>
        <w:jc w:val="center"/>
        <w:rPr>
          <w:rFonts w:ascii="Times New Roman" w:hAnsi="Times New Roman"/>
          <w:sz w:val="28"/>
          <w:szCs w:val="28"/>
        </w:rPr>
      </w:pPr>
      <w:r w:rsidRPr="007F5722">
        <w:rPr>
          <w:noProof/>
          <w:lang w:val="ru-RU" w:eastAsia="ru-RU"/>
        </w:rPr>
        <w:drawing>
          <wp:inline distT="0" distB="0" distL="0" distR="0" wp14:anchorId="4397B895" wp14:editId="2E910585">
            <wp:extent cx="3802380" cy="1927860"/>
            <wp:effectExtent l="0" t="0" r="7620" b="1524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3A1552" w:rsidRPr="007F5722" w:rsidRDefault="003A1552" w:rsidP="003A1552">
      <w:pPr>
        <w:spacing w:after="0" w:line="360" w:lineRule="auto"/>
        <w:jc w:val="both"/>
        <w:rPr>
          <w:rFonts w:ascii="Times New Roman" w:hAnsi="Times New Roman"/>
          <w:sz w:val="28"/>
          <w:szCs w:val="28"/>
        </w:rPr>
      </w:pPr>
      <w:r w:rsidRPr="007F5722">
        <w:rPr>
          <w:rFonts w:ascii="Times New Roman" w:hAnsi="Times New Roman"/>
          <w:sz w:val="28"/>
          <w:szCs w:val="28"/>
        </w:rPr>
        <w:t xml:space="preserve">Рис. 4.6. Рівень ІЛ-22 у пацієнтів на ГХ залежно від супутнього АО та у осіб контрольної групи. </w:t>
      </w:r>
    </w:p>
    <w:p w:rsidR="003A1552" w:rsidRPr="007F5722" w:rsidRDefault="003A1552" w:rsidP="003A1552">
      <w:pPr>
        <w:spacing w:after="0" w:line="360" w:lineRule="auto"/>
        <w:jc w:val="both"/>
        <w:rPr>
          <w:rFonts w:ascii="Times New Roman" w:hAnsi="Times New Roman"/>
          <w:sz w:val="28"/>
          <w:szCs w:val="28"/>
        </w:rPr>
      </w:pPr>
    </w:p>
    <w:p w:rsidR="003A1552" w:rsidRPr="007F5722" w:rsidRDefault="003A1552" w:rsidP="003A1552">
      <w:pPr>
        <w:spacing w:after="0" w:line="360" w:lineRule="auto"/>
        <w:jc w:val="both"/>
        <w:rPr>
          <w:rFonts w:ascii="Times New Roman" w:hAnsi="Times New Roman"/>
          <w:sz w:val="28"/>
          <w:szCs w:val="28"/>
        </w:rPr>
      </w:pPr>
      <w:r w:rsidRPr="007F5722">
        <w:rPr>
          <w:rFonts w:ascii="Times New Roman" w:hAnsi="Times New Roman"/>
          <w:sz w:val="28"/>
          <w:szCs w:val="28"/>
        </w:rPr>
        <w:tab/>
        <w:t>Існують свідчення того, що ІЛ-22 може бути медіатором чи то прозапальної, чи то протективної відповіді при різноманітних патологічних станах [</w:t>
      </w:r>
      <w:r w:rsidR="00810BCF" w:rsidRPr="007F5722">
        <w:rPr>
          <w:rFonts w:ascii="Times New Roman" w:hAnsi="Times New Roman"/>
          <w:sz w:val="28"/>
          <w:szCs w:val="28"/>
        </w:rPr>
        <w:t>223</w:t>
      </w:r>
      <w:r w:rsidRPr="007F5722">
        <w:rPr>
          <w:rFonts w:ascii="Times New Roman" w:hAnsi="Times New Roman"/>
          <w:sz w:val="28"/>
          <w:szCs w:val="28"/>
        </w:rPr>
        <w:t>]. ІЛ-22 призводить до порушення біології адипозної тканини у пацієнтів з ЦД 2 типу, частково за рахунок зростання локальної продукції ІЛ-1</w:t>
      </w:r>
      <w:r w:rsidRPr="007F5722">
        <w:rPr>
          <w:rFonts w:ascii="Times New Roman" w:hAnsi="Times New Roman" w:cs="Times New Roman"/>
          <w:sz w:val="28"/>
          <w:szCs w:val="28"/>
        </w:rPr>
        <w:t xml:space="preserve">β </w:t>
      </w:r>
      <w:r w:rsidRPr="007F5722">
        <w:rPr>
          <w:rFonts w:ascii="Times New Roman" w:hAnsi="Times New Roman"/>
          <w:sz w:val="28"/>
          <w:szCs w:val="28"/>
        </w:rPr>
        <w:t xml:space="preserve">[67]. </w:t>
      </w:r>
      <w:r w:rsidRPr="007F5722">
        <w:rPr>
          <w:rFonts w:ascii="Times New Roman" w:hAnsi="Times New Roman" w:cs="Times New Roman"/>
          <w:sz w:val="28"/>
          <w:szCs w:val="28"/>
        </w:rPr>
        <w:t xml:space="preserve">Крім того, </w:t>
      </w:r>
      <w:r w:rsidRPr="007F5722">
        <w:rPr>
          <w:rFonts w:ascii="Times New Roman" w:hAnsi="Times New Roman"/>
          <w:sz w:val="28"/>
          <w:szCs w:val="28"/>
        </w:rPr>
        <w:t>ІЛ-1</w:t>
      </w:r>
      <w:r w:rsidRPr="007F5722">
        <w:rPr>
          <w:rFonts w:ascii="Times New Roman" w:hAnsi="Times New Roman" w:cs="Times New Roman"/>
          <w:sz w:val="28"/>
          <w:szCs w:val="28"/>
        </w:rPr>
        <w:t>β, ІЛ-17 та ІЛ-22 можуть промотувати антиадипогенну відповідь та інсулінорезистентність в адипоцитах, що може призводити до розвитку ЦД 2 типу у пацієнтів з ожирінням</w:t>
      </w:r>
      <w:r w:rsidRPr="007F5722">
        <w:rPr>
          <w:rFonts w:ascii="Times New Roman" w:hAnsi="Times New Roman"/>
          <w:sz w:val="28"/>
          <w:szCs w:val="28"/>
        </w:rPr>
        <w:t xml:space="preserve"> [63,65]. У інших дослідженнях встановлено, що високий рівень ІЛ-22 підвищує чутливість до інсуліну у печінці, м’язах та адипозній тканині, а також покращує процеси засвоєння </w:t>
      </w:r>
      <w:r w:rsidRPr="007F5722">
        <w:rPr>
          <w:rFonts w:ascii="Times New Roman" w:hAnsi="Times New Roman"/>
          <w:sz w:val="28"/>
          <w:szCs w:val="28"/>
        </w:rPr>
        <w:lastRenderedPageBreak/>
        <w:t>глюкози</w:t>
      </w:r>
      <w:r w:rsidR="007C5A04" w:rsidRPr="007F5722">
        <w:rPr>
          <w:rFonts w:ascii="Times New Roman" w:hAnsi="Times New Roman"/>
          <w:sz w:val="28"/>
          <w:szCs w:val="28"/>
        </w:rPr>
        <w:t xml:space="preserve"> коричневою адипозною тканиною </w:t>
      </w:r>
      <w:r w:rsidRPr="007F5722">
        <w:rPr>
          <w:rFonts w:ascii="Times New Roman" w:hAnsi="Times New Roman"/>
          <w:sz w:val="28"/>
          <w:szCs w:val="28"/>
        </w:rPr>
        <w:t>[63, 69</w:t>
      </w:r>
      <w:r w:rsidR="007C5A04" w:rsidRPr="007F5722">
        <w:rPr>
          <w:rFonts w:ascii="Times New Roman" w:hAnsi="Times New Roman"/>
          <w:sz w:val="28"/>
          <w:szCs w:val="28"/>
        </w:rPr>
        <w:t xml:space="preserve">]. </w:t>
      </w:r>
      <w:r w:rsidRPr="007F5722">
        <w:rPr>
          <w:rFonts w:ascii="Times New Roman" w:hAnsi="Times New Roman"/>
          <w:sz w:val="28"/>
          <w:szCs w:val="28"/>
        </w:rPr>
        <w:t xml:space="preserve">У дослідженні на мишах з надлишковою масою тіла було встановлено вплив ІЛ-22 на метаболічні процеси, у тому числі на ліпідний обмін у печінці та жировій тканині [11]. </w:t>
      </w:r>
    </w:p>
    <w:p w:rsidR="003A1552" w:rsidRPr="007F5722" w:rsidRDefault="003A1552" w:rsidP="003A1552">
      <w:pPr>
        <w:spacing w:after="0" w:line="360" w:lineRule="auto"/>
        <w:ind w:firstLine="708"/>
        <w:contextualSpacing/>
        <w:jc w:val="both"/>
        <w:rPr>
          <w:rFonts w:ascii="Times New Roman" w:hAnsi="Times New Roman"/>
          <w:sz w:val="28"/>
          <w:szCs w:val="28"/>
        </w:rPr>
      </w:pPr>
      <w:r w:rsidRPr="007F5722">
        <w:rPr>
          <w:rFonts w:ascii="Times New Roman" w:hAnsi="Times New Roman" w:cs="Times New Roman"/>
          <w:sz w:val="28"/>
          <w:szCs w:val="28"/>
        </w:rPr>
        <w:t xml:space="preserve">В результаті аналізу показників ліпідного </w:t>
      </w:r>
      <w:r w:rsidR="00794E07">
        <w:rPr>
          <w:rFonts w:ascii="Times New Roman" w:hAnsi="Times New Roman" w:cs="Times New Roman"/>
          <w:sz w:val="28"/>
          <w:szCs w:val="28"/>
        </w:rPr>
        <w:t>профілю</w:t>
      </w:r>
      <w:r w:rsidRPr="007F5722">
        <w:rPr>
          <w:rFonts w:ascii="Times New Roman" w:hAnsi="Times New Roman" w:cs="Times New Roman"/>
          <w:sz w:val="28"/>
          <w:szCs w:val="28"/>
        </w:rPr>
        <w:t xml:space="preserve"> в нашому дослідженні у хворих на гіпертонічну хворобу виявлено базальну гіперхолестеринемію у 37,9% випадках, гіпертриґліцеридемію – 10,3%, гіпоальфахолестеринемію </w:t>
      </w:r>
      <w:r w:rsidRPr="007F5722">
        <w:rPr>
          <w:rFonts w:ascii="Times New Roman" w:eastAsia="Times New Roman" w:hAnsi="Times New Roman" w:cs="Times New Roman"/>
          <w:color w:val="000000"/>
          <w:sz w:val="28"/>
          <w:szCs w:val="28"/>
        </w:rPr>
        <w:t>мали 27,6 % хворих (з них 87,5 % жінки та 12,5 % чоловіки)</w:t>
      </w:r>
      <w:r w:rsidRPr="007F5722">
        <w:rPr>
          <w:rFonts w:ascii="Times New Roman" w:hAnsi="Times New Roman" w:cs="Times New Roman"/>
          <w:sz w:val="28"/>
          <w:szCs w:val="28"/>
        </w:rPr>
        <w:t xml:space="preserve">, збільшення вмісту холестерину ліпопротеїдів низької щільності – 27,6%. Однак, за даними досліджень близько </w:t>
      </w:r>
      <w:r w:rsidRPr="007F5722">
        <w:rPr>
          <w:rFonts w:ascii="Times New Roman" w:hAnsi="Times New Roman"/>
          <w:sz w:val="28"/>
          <w:szCs w:val="28"/>
        </w:rPr>
        <w:t>30% пацієнтів, в яких є клінічно виражений атеросклероз, мають показники атерогенних фракцій ліпідів та ліпопротеїнів у межах норми [84]. На сьогоднішній день відомо, що після вживання жирної їжі навіть у здорових людей розвивається постпрандіальна ліпемія, яка визначається, головним чином, підвищенням рівня ТГ у сироватці крові. У хворих на ішемічну хворобу серця (ІХС) у відповідь на жирове навантаження розвивається феномен постпрандіальної гіперліпемії, який характеризується більш вираженим кількісним та часовим зсувами у ліпідному профілі крові. Це також підтверджують результати проведених клінічних досліджень, що демонструють участь постпрандіальної гіперліпемії у розвитку і прогресуванні атеросклерозу та ІХС [88-89]. Атерогенність постпрандальної гіперліпемії зумовлена підвищеним утворенням в кишківнику хіломікронів, багатих на ТГ, і накопиченням у кровотоці після їх ліполізу ремнантів. Харчові жирові навантаження є важливою складовою повсякденного життя людини. Залежно від об</w:t>
      </w:r>
      <w:r w:rsidR="00794E07">
        <w:rPr>
          <w:rFonts w:ascii="Times New Roman" w:hAnsi="Times New Roman"/>
          <w:sz w:val="28"/>
          <w:szCs w:val="28"/>
        </w:rPr>
        <w:t>’</w:t>
      </w:r>
      <w:r w:rsidRPr="007F5722">
        <w:rPr>
          <w:rFonts w:ascii="Times New Roman" w:hAnsi="Times New Roman"/>
          <w:sz w:val="28"/>
          <w:szCs w:val="28"/>
        </w:rPr>
        <w:t xml:space="preserve">єму та складу їжі постпрандіальна ліпемічна відповідь може тривати до 8 годин, тому можно вважати, що людина безперервно знаходиться у стані постпрандіальної ліпемії [78-80]. </w:t>
      </w:r>
    </w:p>
    <w:p w:rsidR="003A1552" w:rsidRPr="007F5722" w:rsidRDefault="003A1552" w:rsidP="003A1552">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 xml:space="preserve">На підставі того, що не всі хворі мають порушення метаболізму ліпідів натще, було запропоновано визначення постпрандіальних показників ліпідного </w:t>
      </w:r>
      <w:r w:rsidR="00794E07">
        <w:rPr>
          <w:rFonts w:ascii="Times New Roman" w:hAnsi="Times New Roman" w:cs="Times New Roman"/>
          <w:sz w:val="28"/>
          <w:szCs w:val="28"/>
        </w:rPr>
        <w:t>спектру</w:t>
      </w:r>
      <w:r w:rsidRPr="007F5722">
        <w:rPr>
          <w:rFonts w:ascii="Times New Roman" w:hAnsi="Times New Roman" w:cs="Times New Roman"/>
          <w:sz w:val="28"/>
          <w:szCs w:val="28"/>
        </w:rPr>
        <w:t xml:space="preserve"> після стандартного тесту жирового навантаження з метою виявлення ранніх та прихованих порушень ліпідного профілю. </w:t>
      </w:r>
    </w:p>
    <w:p w:rsidR="003A1552" w:rsidRPr="007F5722" w:rsidRDefault="003A1552" w:rsidP="003A1552">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lastRenderedPageBreak/>
        <w:t xml:space="preserve">У нашому дослідженні на підставі визначення постпрандіальних показників рівню ліпідів </w:t>
      </w:r>
      <w:r w:rsidR="00794E07">
        <w:rPr>
          <w:rFonts w:ascii="Times New Roman" w:hAnsi="Times New Roman" w:cs="Times New Roman"/>
          <w:sz w:val="28"/>
          <w:szCs w:val="28"/>
        </w:rPr>
        <w:t xml:space="preserve">крові </w:t>
      </w:r>
      <w:r w:rsidRPr="007F5722">
        <w:rPr>
          <w:rFonts w:ascii="Times New Roman" w:hAnsi="Times New Roman" w:cs="Times New Roman"/>
          <w:sz w:val="28"/>
          <w:szCs w:val="28"/>
        </w:rPr>
        <w:t xml:space="preserve">після стандартного тесту жирового навантаження ми отримали подібні результати, а саме ми виявили наступні приховані порушення ліпідного </w:t>
      </w:r>
      <w:r w:rsidR="00794E07">
        <w:rPr>
          <w:rFonts w:ascii="Times New Roman" w:hAnsi="Times New Roman" w:cs="Times New Roman"/>
          <w:sz w:val="28"/>
          <w:szCs w:val="28"/>
        </w:rPr>
        <w:t>профілю</w:t>
      </w:r>
      <w:r w:rsidRPr="007F5722">
        <w:rPr>
          <w:rFonts w:ascii="Times New Roman" w:hAnsi="Times New Roman" w:cs="Times New Roman"/>
          <w:sz w:val="28"/>
          <w:szCs w:val="28"/>
        </w:rPr>
        <w:t xml:space="preserve">: гіперхолестеринемію у 38,9% пацієнтів, гіпертригліцеридемію – у 70 % пацієнтів, гіпоальфахолестеринемію – </w:t>
      </w:r>
      <w:r w:rsidRPr="007F5722">
        <w:rPr>
          <w:rFonts w:ascii="Times New Roman" w:eastAsia="Times New Roman" w:hAnsi="Times New Roman" w:cs="Times New Roman"/>
          <w:color w:val="000000"/>
          <w:sz w:val="28"/>
          <w:szCs w:val="28"/>
        </w:rPr>
        <w:t xml:space="preserve"> у 33,3 % пацієнтів (серед яких 88,9 % жінки та 11,1 % чоловіки)</w:t>
      </w:r>
      <w:r w:rsidRPr="007F5722">
        <w:rPr>
          <w:rFonts w:ascii="Times New Roman" w:hAnsi="Times New Roman" w:cs="Times New Roman"/>
          <w:sz w:val="28"/>
          <w:szCs w:val="28"/>
        </w:rPr>
        <w:t>, збільш</w:t>
      </w:r>
      <w:r w:rsidR="007C5A04" w:rsidRPr="007F5722">
        <w:rPr>
          <w:rFonts w:ascii="Times New Roman" w:hAnsi="Times New Roman" w:cs="Times New Roman"/>
          <w:sz w:val="28"/>
          <w:szCs w:val="28"/>
        </w:rPr>
        <w:t>ення рівню ХС ЛПНЩ – 36,4%.</w:t>
      </w:r>
    </w:p>
    <w:p w:rsidR="003A1552" w:rsidRPr="007F5722" w:rsidRDefault="00C42F5E" w:rsidP="003A1552">
      <w:pPr>
        <w:spacing w:after="0" w:line="360" w:lineRule="auto"/>
        <w:ind w:firstLine="708"/>
        <w:jc w:val="both"/>
        <w:rPr>
          <w:rFonts w:ascii="Times New Roman" w:hAnsi="Times New Roman" w:cs="Times New Roman"/>
          <w:sz w:val="28"/>
          <w:szCs w:val="28"/>
        </w:rPr>
      </w:pPr>
      <w:r w:rsidRPr="007F5722">
        <w:rPr>
          <w:rFonts w:ascii="Times New Roman" w:hAnsi="Times New Roman" w:cs="Times New Roman"/>
          <w:sz w:val="28"/>
          <w:szCs w:val="28"/>
        </w:rPr>
        <w:t xml:space="preserve"> В </w:t>
      </w:r>
      <w:r w:rsidR="003A1552" w:rsidRPr="007F5722">
        <w:rPr>
          <w:rFonts w:ascii="Times New Roman" w:hAnsi="Times New Roman" w:cs="Times New Roman"/>
          <w:sz w:val="28"/>
          <w:szCs w:val="28"/>
        </w:rPr>
        <w:t>експериментальних дослідженнях гризунів показано вплив високого рівня ІЛ-22 на адипоцити та приводить до зростання експресії генів, що залучено до ліполізу тригліцеридів та окислення жирних кислот. При введенні екзогенного ІЛ-22 спостерігалося зниження вмісту ТГ у білій адипозній тканині та сироватці крові. При клінічних дослідженнях за участю людини отримано протилежні результати. Як пояснили дослідники, можливою причиною таких відмінностей може слугувати те, що хворі з АО та іншими метаболічними порушеннями були старшими за віком та відповідно патологічні процеси у них тривали довший період часу. Крім того, ці особи іноді мали хронічні запальні захворювання, що могло посилювати генерацію ІЛ-22-продукуючих клітин [</w:t>
      </w:r>
      <w:r w:rsidR="002979CE" w:rsidRPr="007F5722">
        <w:rPr>
          <w:rFonts w:ascii="Times New Roman" w:hAnsi="Times New Roman" w:cs="Times New Roman"/>
          <w:sz w:val="28"/>
          <w:szCs w:val="28"/>
        </w:rPr>
        <w:t>222</w:t>
      </w:r>
      <w:r w:rsidR="007C5A04" w:rsidRPr="007F5722">
        <w:rPr>
          <w:rFonts w:ascii="Times New Roman" w:hAnsi="Times New Roman" w:cs="Times New Roman"/>
          <w:sz w:val="28"/>
          <w:szCs w:val="28"/>
        </w:rPr>
        <w:t>].</w:t>
      </w:r>
    </w:p>
    <w:p w:rsidR="00B16742" w:rsidRPr="007F5722" w:rsidRDefault="00B16742" w:rsidP="003A1552">
      <w:pPr>
        <w:spacing w:after="0" w:line="360" w:lineRule="auto"/>
        <w:jc w:val="both"/>
        <w:rPr>
          <w:rFonts w:ascii="Times New Roman" w:hAnsi="Times New Roman" w:cs="Times New Roman"/>
          <w:sz w:val="28"/>
        </w:rPr>
      </w:pPr>
      <w:r w:rsidRPr="007F5722">
        <w:rPr>
          <w:rFonts w:ascii="Times New Roman" w:hAnsi="Times New Roman" w:cs="Times New Roman"/>
          <w:sz w:val="28"/>
        </w:rPr>
        <w:tab/>
        <w:t xml:space="preserve">У нашому дослідженні встановлено вплив ІЛ-22 на формування атерогенної дисліпедемії, про що свідчили достовірні кореляційні взаємозв’язки між рівнем ІЛ-22 у </w:t>
      </w:r>
      <w:r w:rsidR="00794E07">
        <w:rPr>
          <w:rFonts w:ascii="Times New Roman" w:hAnsi="Times New Roman" w:cs="Times New Roman"/>
          <w:sz w:val="28"/>
        </w:rPr>
        <w:t>плазмі</w:t>
      </w:r>
      <w:r w:rsidRPr="007F5722">
        <w:rPr>
          <w:rFonts w:ascii="Times New Roman" w:hAnsi="Times New Roman" w:cs="Times New Roman"/>
          <w:sz w:val="28"/>
        </w:rPr>
        <w:t xml:space="preserve"> крові хворих на ГХ з надмірною масою тіла та ожирінням </w:t>
      </w:r>
      <w:r w:rsidR="00794E07">
        <w:rPr>
          <w:rFonts w:ascii="Times New Roman" w:hAnsi="Times New Roman" w:cs="Times New Roman"/>
          <w:sz w:val="28"/>
        </w:rPr>
        <w:t>та</w:t>
      </w:r>
      <w:r w:rsidRPr="007F5722">
        <w:rPr>
          <w:rFonts w:ascii="Times New Roman" w:hAnsi="Times New Roman" w:cs="Times New Roman"/>
          <w:sz w:val="28"/>
        </w:rPr>
        <w:t xml:space="preserve"> показниками ЗХС натще (</w:t>
      </w:r>
      <w:r w:rsidRPr="007F5722">
        <w:rPr>
          <w:rFonts w:ascii="Times New Roman" w:eastAsia="Times New Roman" w:hAnsi="Times New Roman" w:cs="Times New Roman"/>
          <w:color w:val="000000"/>
          <w:sz w:val="28"/>
          <w:szCs w:val="28"/>
        </w:rPr>
        <w:t>R=</w:t>
      </w:r>
      <w:r w:rsidRPr="007F5722">
        <w:rPr>
          <w:rFonts w:ascii="Times New Roman" w:eastAsia="Times New Roman" w:hAnsi="Times New Roman" w:cs="Times New Roman"/>
          <w:bCs/>
          <w:color w:val="000000"/>
          <w:sz w:val="28"/>
          <w:szCs w:val="28"/>
        </w:rPr>
        <w:t>0,5766;</w:t>
      </w:r>
      <w:r w:rsidRPr="007F5722">
        <w:rPr>
          <w:rFonts w:ascii="Times New Roman" w:eastAsia="Times New Roman" w:hAnsi="Times New Roman" w:cs="Times New Roman"/>
          <w:b/>
          <w:bCs/>
          <w:color w:val="000000"/>
          <w:sz w:val="28"/>
          <w:szCs w:val="28"/>
        </w:rPr>
        <w:t xml:space="preserve"> </w:t>
      </w:r>
      <w:r w:rsidRPr="007F5722">
        <w:rPr>
          <w:rFonts w:ascii="Times New Roman" w:hAnsi="Times New Roman" w:cs="Times New Roman"/>
          <w:sz w:val="28"/>
          <w:lang w:val="en-US"/>
        </w:rPr>
        <w:t>p</w:t>
      </w:r>
      <w:r w:rsidRPr="007F5722">
        <w:rPr>
          <w:rFonts w:ascii="Times New Roman" w:hAnsi="Times New Roman" w:cs="Times New Roman"/>
          <w:sz w:val="28"/>
        </w:rPr>
        <w:t>=0,0001) і постпрандіально (</w:t>
      </w:r>
      <w:r w:rsidRPr="007F5722">
        <w:rPr>
          <w:rFonts w:ascii="Times New Roman" w:hAnsi="Times New Roman" w:cs="Times New Roman"/>
          <w:sz w:val="28"/>
          <w:lang w:val="en-US"/>
        </w:rPr>
        <w:t>R</w:t>
      </w:r>
      <w:r w:rsidRPr="007F5722">
        <w:rPr>
          <w:rFonts w:ascii="Times New Roman" w:hAnsi="Times New Roman" w:cs="Times New Roman"/>
          <w:sz w:val="28"/>
        </w:rPr>
        <w:t>=</w:t>
      </w:r>
      <w:r w:rsidRPr="007F5722">
        <w:rPr>
          <w:rFonts w:ascii="Times New Roman" w:eastAsia="Times New Roman" w:hAnsi="Times New Roman" w:cs="Times New Roman"/>
          <w:bCs/>
          <w:color w:val="000000"/>
          <w:sz w:val="28"/>
          <w:szCs w:val="28"/>
        </w:rPr>
        <w:t xml:space="preserve">0,4938: </w:t>
      </w:r>
      <w:r w:rsidRPr="007F5722">
        <w:rPr>
          <w:rFonts w:ascii="Times New Roman" w:eastAsia="Times New Roman" w:hAnsi="Times New Roman" w:cs="Times New Roman"/>
          <w:bCs/>
          <w:color w:val="000000"/>
          <w:sz w:val="28"/>
          <w:szCs w:val="28"/>
          <w:lang w:val="en-US"/>
        </w:rPr>
        <w:t>p</w:t>
      </w:r>
      <w:r w:rsidRPr="007F5722">
        <w:rPr>
          <w:rFonts w:ascii="Times New Roman" w:eastAsia="Times New Roman" w:hAnsi="Times New Roman" w:cs="Times New Roman"/>
          <w:bCs/>
          <w:color w:val="000000"/>
          <w:sz w:val="28"/>
          <w:szCs w:val="28"/>
        </w:rPr>
        <w:t>=0,037</w:t>
      </w:r>
      <w:r w:rsidRPr="007F5722">
        <w:rPr>
          <w:rFonts w:ascii="Times New Roman" w:hAnsi="Times New Roman" w:cs="Times New Roman"/>
          <w:sz w:val="28"/>
        </w:rPr>
        <w:t xml:space="preserve">). Пряма залежність між вмістом ІЛ-22 та наступними показниками ліпідного </w:t>
      </w:r>
      <w:r w:rsidR="00794E07">
        <w:rPr>
          <w:rFonts w:ascii="Times New Roman" w:hAnsi="Times New Roman" w:cs="Times New Roman"/>
          <w:sz w:val="28"/>
        </w:rPr>
        <w:t>профілю</w:t>
      </w:r>
      <w:r w:rsidRPr="007F5722">
        <w:rPr>
          <w:rFonts w:ascii="Times New Roman" w:hAnsi="Times New Roman" w:cs="Times New Roman"/>
          <w:sz w:val="28"/>
        </w:rPr>
        <w:t xml:space="preserve"> мала місце лише натще: ТГ (</w:t>
      </w:r>
      <w:r w:rsidRPr="007F5722">
        <w:rPr>
          <w:rFonts w:ascii="Times New Roman" w:eastAsia="Times New Roman" w:hAnsi="Times New Roman" w:cs="Times New Roman"/>
          <w:color w:val="000000"/>
          <w:sz w:val="28"/>
          <w:szCs w:val="28"/>
        </w:rPr>
        <w:t>R=</w:t>
      </w:r>
      <w:r w:rsidRPr="007F5722">
        <w:rPr>
          <w:rFonts w:ascii="Times New Roman" w:eastAsia="Times New Roman" w:hAnsi="Times New Roman" w:cs="Times New Roman"/>
          <w:bCs/>
          <w:color w:val="000000"/>
          <w:sz w:val="28"/>
          <w:szCs w:val="28"/>
        </w:rPr>
        <w:t>0,4691;</w:t>
      </w:r>
      <w:r w:rsidRPr="007F5722">
        <w:rPr>
          <w:rFonts w:ascii="Times New Roman" w:eastAsia="Times New Roman" w:hAnsi="Times New Roman" w:cs="Times New Roman"/>
          <w:b/>
          <w:bCs/>
          <w:color w:val="000000"/>
          <w:sz w:val="28"/>
          <w:szCs w:val="28"/>
        </w:rPr>
        <w:t xml:space="preserve"> </w:t>
      </w:r>
      <w:r w:rsidRPr="007F5722">
        <w:rPr>
          <w:rFonts w:ascii="Times New Roman" w:hAnsi="Times New Roman" w:cs="Times New Roman"/>
          <w:sz w:val="28"/>
          <w:lang w:val="en-US"/>
        </w:rPr>
        <w:t>p</w:t>
      </w:r>
      <w:r w:rsidRPr="007F5722">
        <w:rPr>
          <w:rFonts w:ascii="Times New Roman" w:hAnsi="Times New Roman" w:cs="Times New Roman"/>
          <w:sz w:val="28"/>
        </w:rPr>
        <w:t>=0,0001), ХС ЛПНЩ (</w:t>
      </w:r>
      <w:r w:rsidRPr="007F5722">
        <w:rPr>
          <w:rFonts w:ascii="Times New Roman" w:eastAsia="Times New Roman" w:hAnsi="Times New Roman" w:cs="Times New Roman"/>
          <w:color w:val="000000"/>
          <w:sz w:val="28"/>
          <w:szCs w:val="28"/>
        </w:rPr>
        <w:t>R=</w:t>
      </w:r>
      <w:r w:rsidRPr="007F5722">
        <w:rPr>
          <w:rFonts w:ascii="Times New Roman" w:eastAsia="Times New Roman" w:hAnsi="Times New Roman" w:cs="Times New Roman"/>
          <w:bCs/>
          <w:color w:val="000000"/>
          <w:sz w:val="28"/>
          <w:szCs w:val="28"/>
        </w:rPr>
        <w:t>0,6108;</w:t>
      </w:r>
      <w:r w:rsidRPr="007F5722">
        <w:rPr>
          <w:rFonts w:ascii="Times New Roman" w:eastAsia="Times New Roman" w:hAnsi="Times New Roman" w:cs="Times New Roman"/>
          <w:b/>
          <w:bCs/>
          <w:color w:val="000000"/>
          <w:sz w:val="28"/>
          <w:szCs w:val="28"/>
        </w:rPr>
        <w:t xml:space="preserve"> </w:t>
      </w:r>
      <w:r w:rsidRPr="007F5722">
        <w:rPr>
          <w:rFonts w:ascii="Times New Roman" w:hAnsi="Times New Roman" w:cs="Times New Roman"/>
          <w:sz w:val="28"/>
          <w:lang w:val="en-US"/>
        </w:rPr>
        <w:t>p</w:t>
      </w:r>
      <w:r w:rsidRPr="007F5722">
        <w:rPr>
          <w:rFonts w:ascii="Times New Roman" w:hAnsi="Times New Roman" w:cs="Times New Roman"/>
          <w:sz w:val="28"/>
        </w:rPr>
        <w:t xml:space="preserve">=0,0001), </w:t>
      </w:r>
      <w:r w:rsidR="002D6DB7" w:rsidRPr="007F5722">
        <w:rPr>
          <w:rFonts w:ascii="Times New Roman" w:hAnsi="Times New Roman" w:cs="Times New Roman"/>
          <w:sz w:val="28"/>
        </w:rPr>
        <w:t>ХС ЛПДНЩ (</w:t>
      </w:r>
      <w:r w:rsidR="002D6DB7" w:rsidRPr="007F5722">
        <w:rPr>
          <w:rFonts w:ascii="Times New Roman" w:eastAsia="Times New Roman" w:hAnsi="Times New Roman" w:cs="Times New Roman"/>
          <w:color w:val="000000"/>
          <w:sz w:val="28"/>
          <w:szCs w:val="28"/>
        </w:rPr>
        <w:t>R=</w:t>
      </w:r>
      <w:r w:rsidR="002D6DB7" w:rsidRPr="007F5722">
        <w:rPr>
          <w:rFonts w:ascii="Times New Roman" w:eastAsia="Times New Roman" w:hAnsi="Times New Roman" w:cs="Times New Roman"/>
          <w:bCs/>
          <w:color w:val="000000"/>
          <w:sz w:val="28"/>
          <w:szCs w:val="28"/>
        </w:rPr>
        <w:t>0,4691;</w:t>
      </w:r>
      <w:r w:rsidR="002D6DB7" w:rsidRPr="007F5722">
        <w:rPr>
          <w:rFonts w:ascii="Times New Roman" w:eastAsia="Times New Roman" w:hAnsi="Times New Roman" w:cs="Times New Roman"/>
          <w:b/>
          <w:bCs/>
          <w:color w:val="000000"/>
          <w:sz w:val="28"/>
          <w:szCs w:val="28"/>
        </w:rPr>
        <w:t xml:space="preserve"> </w:t>
      </w:r>
      <w:r w:rsidR="002D6DB7" w:rsidRPr="007F5722">
        <w:rPr>
          <w:rFonts w:ascii="Times New Roman" w:hAnsi="Times New Roman" w:cs="Times New Roman"/>
          <w:sz w:val="28"/>
          <w:lang w:val="en-US"/>
        </w:rPr>
        <w:t>p</w:t>
      </w:r>
      <w:r w:rsidR="002D6DB7" w:rsidRPr="007F5722">
        <w:rPr>
          <w:rFonts w:ascii="Times New Roman" w:hAnsi="Times New Roman" w:cs="Times New Roman"/>
          <w:sz w:val="28"/>
        </w:rPr>
        <w:t>=0,0001); КА (</w:t>
      </w:r>
      <w:r w:rsidR="002D6DB7" w:rsidRPr="007F5722">
        <w:rPr>
          <w:rFonts w:ascii="Times New Roman" w:eastAsia="Times New Roman" w:hAnsi="Times New Roman" w:cs="Times New Roman"/>
          <w:color w:val="000000"/>
          <w:sz w:val="28"/>
          <w:szCs w:val="28"/>
        </w:rPr>
        <w:t>R=</w:t>
      </w:r>
      <w:r w:rsidR="002D6DB7" w:rsidRPr="007F5722">
        <w:rPr>
          <w:rFonts w:ascii="Times New Roman" w:eastAsia="Times New Roman" w:hAnsi="Times New Roman" w:cs="Times New Roman"/>
          <w:bCs/>
          <w:color w:val="000000"/>
          <w:sz w:val="28"/>
          <w:szCs w:val="28"/>
        </w:rPr>
        <w:t>0,5774;</w:t>
      </w:r>
      <w:r w:rsidR="002D6DB7" w:rsidRPr="007F5722">
        <w:rPr>
          <w:rFonts w:ascii="Times New Roman" w:eastAsia="Times New Roman" w:hAnsi="Times New Roman" w:cs="Times New Roman"/>
          <w:b/>
          <w:bCs/>
          <w:color w:val="000000"/>
          <w:sz w:val="28"/>
          <w:szCs w:val="28"/>
        </w:rPr>
        <w:t xml:space="preserve"> </w:t>
      </w:r>
      <w:r w:rsidR="002D6DB7" w:rsidRPr="007F5722">
        <w:rPr>
          <w:rFonts w:ascii="Times New Roman" w:hAnsi="Times New Roman" w:cs="Times New Roman"/>
          <w:sz w:val="28"/>
          <w:lang w:val="en-US"/>
        </w:rPr>
        <w:t>p</w:t>
      </w:r>
      <w:r w:rsidR="002D6DB7" w:rsidRPr="007F5722">
        <w:rPr>
          <w:rFonts w:ascii="Times New Roman" w:hAnsi="Times New Roman" w:cs="Times New Roman"/>
          <w:sz w:val="28"/>
        </w:rPr>
        <w:t xml:space="preserve">=0,0001); ХС </w:t>
      </w:r>
      <w:r w:rsidR="002D6DB7" w:rsidRPr="007F5722">
        <w:rPr>
          <w:rFonts w:ascii="Times New Roman" w:eastAsia="Times New Roman" w:hAnsi="Times New Roman" w:cs="Times New Roman"/>
          <w:bCs/>
          <w:color w:val="000000"/>
          <w:sz w:val="28"/>
          <w:szCs w:val="28"/>
        </w:rPr>
        <w:t xml:space="preserve">не-ЛПВЩ </w:t>
      </w:r>
      <w:r w:rsidR="002D6DB7" w:rsidRPr="007F5722">
        <w:rPr>
          <w:rFonts w:ascii="Times New Roman" w:hAnsi="Times New Roman" w:cs="Times New Roman"/>
          <w:sz w:val="28"/>
        </w:rPr>
        <w:t>(</w:t>
      </w:r>
      <w:r w:rsidR="002D6DB7" w:rsidRPr="007F5722">
        <w:rPr>
          <w:rFonts w:ascii="Times New Roman" w:eastAsia="Times New Roman" w:hAnsi="Times New Roman" w:cs="Times New Roman"/>
          <w:color w:val="000000"/>
          <w:sz w:val="28"/>
          <w:szCs w:val="28"/>
        </w:rPr>
        <w:t>R=</w:t>
      </w:r>
      <w:r w:rsidR="002D6DB7" w:rsidRPr="007F5722">
        <w:rPr>
          <w:rFonts w:ascii="Times New Roman" w:eastAsia="Times New Roman" w:hAnsi="Times New Roman" w:cs="Times New Roman"/>
          <w:bCs/>
          <w:color w:val="000000"/>
          <w:sz w:val="28"/>
          <w:szCs w:val="28"/>
        </w:rPr>
        <w:t>0,6363;</w:t>
      </w:r>
      <w:r w:rsidR="002D6DB7" w:rsidRPr="007F5722">
        <w:rPr>
          <w:rFonts w:ascii="Times New Roman" w:eastAsia="Times New Roman" w:hAnsi="Times New Roman" w:cs="Times New Roman"/>
          <w:b/>
          <w:bCs/>
          <w:color w:val="000000"/>
          <w:sz w:val="28"/>
          <w:szCs w:val="28"/>
        </w:rPr>
        <w:t xml:space="preserve"> </w:t>
      </w:r>
      <w:r w:rsidR="002D6DB7" w:rsidRPr="007F5722">
        <w:rPr>
          <w:rFonts w:ascii="Times New Roman" w:hAnsi="Times New Roman" w:cs="Times New Roman"/>
          <w:sz w:val="28"/>
          <w:lang w:val="en-US"/>
        </w:rPr>
        <w:t>p</w:t>
      </w:r>
      <w:r w:rsidR="002D6DB7" w:rsidRPr="007F5722">
        <w:rPr>
          <w:rFonts w:ascii="Times New Roman" w:hAnsi="Times New Roman" w:cs="Times New Roman"/>
          <w:sz w:val="28"/>
        </w:rPr>
        <w:t xml:space="preserve">=0,0001); </w:t>
      </w:r>
      <w:r w:rsidRPr="007F5722">
        <w:rPr>
          <w:rFonts w:ascii="Times New Roman" w:hAnsi="Times New Roman" w:cs="Times New Roman"/>
          <w:sz w:val="28"/>
        </w:rPr>
        <w:t>Апо В</w:t>
      </w:r>
      <w:r w:rsidRPr="007F5722">
        <w:rPr>
          <w:rFonts w:ascii="Times New Roman" w:eastAsia="Times New Roman" w:hAnsi="Times New Roman" w:cs="Times New Roman"/>
          <w:color w:val="000000"/>
          <w:sz w:val="28"/>
          <w:szCs w:val="28"/>
        </w:rPr>
        <w:t xml:space="preserve"> </w:t>
      </w:r>
      <w:r w:rsidR="002D6DB7" w:rsidRPr="007F5722">
        <w:rPr>
          <w:rFonts w:ascii="Times New Roman" w:eastAsia="Times New Roman" w:hAnsi="Times New Roman" w:cs="Times New Roman"/>
          <w:color w:val="000000"/>
          <w:sz w:val="28"/>
          <w:szCs w:val="28"/>
        </w:rPr>
        <w:t>(</w:t>
      </w:r>
      <w:r w:rsidRPr="007F5722">
        <w:rPr>
          <w:rFonts w:ascii="Times New Roman" w:eastAsia="Times New Roman" w:hAnsi="Times New Roman" w:cs="Times New Roman"/>
          <w:color w:val="000000"/>
          <w:sz w:val="28"/>
          <w:szCs w:val="28"/>
        </w:rPr>
        <w:t>R=</w:t>
      </w:r>
      <w:r w:rsidRPr="007F5722">
        <w:rPr>
          <w:rFonts w:ascii="Times New Roman" w:eastAsia="Times New Roman" w:hAnsi="Times New Roman" w:cs="Times New Roman"/>
          <w:bCs/>
          <w:color w:val="000000"/>
          <w:sz w:val="28"/>
          <w:szCs w:val="28"/>
        </w:rPr>
        <w:t>0,</w:t>
      </w:r>
      <w:r w:rsidR="002D6DB7" w:rsidRPr="007F5722">
        <w:rPr>
          <w:rFonts w:ascii="Times New Roman" w:eastAsia="Times New Roman" w:hAnsi="Times New Roman" w:cs="Times New Roman"/>
          <w:bCs/>
          <w:color w:val="000000"/>
          <w:sz w:val="28"/>
          <w:szCs w:val="28"/>
        </w:rPr>
        <w:t>4048</w:t>
      </w:r>
      <w:r w:rsidRPr="007F5722">
        <w:rPr>
          <w:rFonts w:ascii="Times New Roman" w:eastAsia="Times New Roman" w:hAnsi="Times New Roman" w:cs="Times New Roman"/>
          <w:bCs/>
          <w:color w:val="000000"/>
          <w:sz w:val="28"/>
          <w:szCs w:val="28"/>
        </w:rPr>
        <w:t>;</w:t>
      </w:r>
      <w:r w:rsidRPr="007F5722">
        <w:rPr>
          <w:rFonts w:ascii="Times New Roman" w:eastAsia="Times New Roman" w:hAnsi="Times New Roman" w:cs="Times New Roman"/>
          <w:b/>
          <w:bCs/>
          <w:color w:val="000000"/>
          <w:sz w:val="28"/>
          <w:szCs w:val="28"/>
        </w:rPr>
        <w:t xml:space="preserve"> </w:t>
      </w:r>
      <w:r w:rsidRPr="007F5722">
        <w:rPr>
          <w:rFonts w:ascii="Times New Roman" w:hAnsi="Times New Roman" w:cs="Times New Roman"/>
          <w:sz w:val="28"/>
          <w:lang w:val="en-US"/>
        </w:rPr>
        <w:t>p</w:t>
      </w:r>
      <w:r w:rsidRPr="007F5722">
        <w:rPr>
          <w:rFonts w:ascii="Times New Roman" w:hAnsi="Times New Roman" w:cs="Times New Roman"/>
          <w:sz w:val="28"/>
        </w:rPr>
        <w:t>=0,001</w:t>
      </w:r>
      <w:r w:rsidR="002D6DB7" w:rsidRPr="007F5722">
        <w:rPr>
          <w:rFonts w:ascii="Times New Roman" w:hAnsi="Times New Roman" w:cs="Times New Roman"/>
          <w:sz w:val="28"/>
        </w:rPr>
        <w:t xml:space="preserve">) та </w:t>
      </w:r>
      <w:r w:rsidR="00022724" w:rsidRPr="007F5722">
        <w:rPr>
          <w:rFonts w:ascii="Times New Roman" w:hAnsi="Times New Roman" w:cs="Times New Roman"/>
          <w:sz w:val="28"/>
        </w:rPr>
        <w:t>зворотна</w:t>
      </w:r>
      <w:r w:rsidR="002D6DB7" w:rsidRPr="007F5722">
        <w:rPr>
          <w:rFonts w:ascii="Times New Roman" w:hAnsi="Times New Roman" w:cs="Times New Roman"/>
          <w:sz w:val="28"/>
        </w:rPr>
        <w:t xml:space="preserve"> залежність зі вмістом ХС ЛПВЩ ((</w:t>
      </w:r>
      <w:r w:rsidR="002D6DB7" w:rsidRPr="007F5722">
        <w:rPr>
          <w:rFonts w:ascii="Times New Roman" w:eastAsia="Times New Roman" w:hAnsi="Times New Roman" w:cs="Times New Roman"/>
          <w:color w:val="000000"/>
          <w:sz w:val="28"/>
          <w:szCs w:val="28"/>
        </w:rPr>
        <w:t>R=</w:t>
      </w:r>
      <w:r w:rsidR="002D6DB7" w:rsidRPr="007F5722">
        <w:rPr>
          <w:rFonts w:ascii="Times New Roman" w:eastAsia="Times New Roman" w:hAnsi="Times New Roman" w:cs="Times New Roman"/>
          <w:bCs/>
          <w:color w:val="000000"/>
          <w:sz w:val="28"/>
          <w:szCs w:val="28"/>
        </w:rPr>
        <w:t>0,5522;</w:t>
      </w:r>
      <w:r w:rsidR="002D6DB7" w:rsidRPr="007F5722">
        <w:rPr>
          <w:rFonts w:ascii="Times New Roman" w:eastAsia="Times New Roman" w:hAnsi="Times New Roman" w:cs="Times New Roman"/>
          <w:b/>
          <w:bCs/>
          <w:color w:val="000000"/>
          <w:sz w:val="28"/>
          <w:szCs w:val="28"/>
        </w:rPr>
        <w:t xml:space="preserve"> </w:t>
      </w:r>
      <w:r w:rsidR="002D6DB7" w:rsidRPr="007F5722">
        <w:rPr>
          <w:rFonts w:ascii="Times New Roman" w:hAnsi="Times New Roman" w:cs="Times New Roman"/>
          <w:sz w:val="28"/>
          <w:lang w:val="en-US"/>
        </w:rPr>
        <w:t>p</w:t>
      </w:r>
      <w:r w:rsidR="002D6DB7" w:rsidRPr="007F5722">
        <w:rPr>
          <w:rFonts w:ascii="Times New Roman" w:hAnsi="Times New Roman" w:cs="Times New Roman"/>
          <w:sz w:val="28"/>
        </w:rPr>
        <w:t>=0,018).</w:t>
      </w:r>
    </w:p>
    <w:p w:rsidR="003A1552" w:rsidRPr="007F5722" w:rsidRDefault="003A1552" w:rsidP="003A1552">
      <w:pPr>
        <w:spacing w:after="0" w:line="360" w:lineRule="auto"/>
        <w:jc w:val="both"/>
        <w:rPr>
          <w:rFonts w:ascii="Times New Roman" w:hAnsi="Times New Roman" w:cs="Times New Roman"/>
          <w:sz w:val="28"/>
        </w:rPr>
      </w:pPr>
      <w:r w:rsidRPr="007F5722">
        <w:rPr>
          <w:rFonts w:ascii="Times New Roman" w:hAnsi="Times New Roman" w:cs="Times New Roman"/>
          <w:sz w:val="28"/>
        </w:rPr>
        <w:tab/>
        <w:t xml:space="preserve">Ще одним підтвердженням впливу ІЛ-22 на дисліпідемію та зростання атерогенного ризику можуть слугувати отримані нами результати щодо </w:t>
      </w:r>
      <w:r w:rsidRPr="007F5722">
        <w:rPr>
          <w:rFonts w:ascii="Times New Roman" w:hAnsi="Times New Roman" w:cs="Times New Roman"/>
          <w:sz w:val="28"/>
        </w:rPr>
        <w:lastRenderedPageBreak/>
        <w:t>кореляційних взаємозв’язків між рівнем цитокіну та показниками ліпідного спектру у хворих на ГХ з АО. Так, у жінок нами виявлено пряму залежність між рівнем ІЛ-22 та ЗХС (</w:t>
      </w:r>
      <w:r w:rsidRPr="007F5722">
        <w:rPr>
          <w:rFonts w:ascii="Times New Roman" w:hAnsi="Times New Roman" w:cs="Times New Roman"/>
          <w:sz w:val="28"/>
          <w:lang w:val="en-US"/>
        </w:rPr>
        <w:t>R</w:t>
      </w:r>
      <w:r w:rsidRPr="007F5722">
        <w:rPr>
          <w:rFonts w:ascii="Times New Roman" w:hAnsi="Times New Roman" w:cs="Times New Roman"/>
          <w:sz w:val="28"/>
        </w:rPr>
        <w:t xml:space="preserve">=0,561; </w:t>
      </w:r>
      <w:r w:rsidRPr="007F5722">
        <w:rPr>
          <w:rFonts w:ascii="Times New Roman" w:hAnsi="Times New Roman" w:cs="Times New Roman"/>
          <w:sz w:val="28"/>
          <w:lang w:val="en-US"/>
        </w:rPr>
        <w:t>p</w:t>
      </w:r>
      <w:r w:rsidRPr="007F5722">
        <w:rPr>
          <w:rFonts w:ascii="Times New Roman" w:hAnsi="Times New Roman" w:cs="Times New Roman"/>
          <w:sz w:val="28"/>
        </w:rPr>
        <w:t>&lt;0,001), ТГ (</w:t>
      </w:r>
      <w:r w:rsidRPr="007F5722">
        <w:rPr>
          <w:rFonts w:ascii="Times New Roman" w:hAnsi="Times New Roman" w:cs="Times New Roman"/>
          <w:sz w:val="28"/>
          <w:lang w:val="en-US"/>
        </w:rPr>
        <w:t>R</w:t>
      </w:r>
      <w:r w:rsidRPr="007F5722">
        <w:rPr>
          <w:rFonts w:ascii="Times New Roman" w:hAnsi="Times New Roman" w:cs="Times New Roman"/>
          <w:sz w:val="28"/>
        </w:rPr>
        <w:t xml:space="preserve">=0,536; </w:t>
      </w:r>
      <w:r w:rsidRPr="007F5722">
        <w:rPr>
          <w:rFonts w:ascii="Times New Roman" w:hAnsi="Times New Roman" w:cs="Times New Roman"/>
          <w:sz w:val="28"/>
          <w:lang w:val="en-US"/>
        </w:rPr>
        <w:t>p</w:t>
      </w:r>
      <w:r w:rsidRPr="007F5722">
        <w:rPr>
          <w:rFonts w:ascii="Times New Roman" w:hAnsi="Times New Roman" w:cs="Times New Roman"/>
          <w:sz w:val="28"/>
        </w:rPr>
        <w:t>&lt;0,001), ХС ЛПНЩ (</w:t>
      </w:r>
      <w:r w:rsidRPr="007F5722">
        <w:rPr>
          <w:rFonts w:ascii="Times New Roman" w:hAnsi="Times New Roman" w:cs="Times New Roman"/>
          <w:sz w:val="28"/>
          <w:lang w:val="en-US"/>
        </w:rPr>
        <w:t>R</w:t>
      </w:r>
      <w:r w:rsidRPr="007F5722">
        <w:rPr>
          <w:rFonts w:ascii="Times New Roman" w:hAnsi="Times New Roman" w:cs="Times New Roman"/>
          <w:sz w:val="28"/>
        </w:rPr>
        <w:t xml:space="preserve">=0,575; </w:t>
      </w:r>
      <w:r w:rsidRPr="007F5722">
        <w:rPr>
          <w:rFonts w:ascii="Times New Roman" w:hAnsi="Times New Roman" w:cs="Times New Roman"/>
          <w:sz w:val="28"/>
          <w:lang w:val="en-US"/>
        </w:rPr>
        <w:t>p</w:t>
      </w:r>
      <w:r w:rsidRPr="007F5722">
        <w:rPr>
          <w:rFonts w:ascii="Times New Roman" w:hAnsi="Times New Roman" w:cs="Times New Roman"/>
          <w:sz w:val="28"/>
        </w:rPr>
        <w:t>&lt;0,0001),</w:t>
      </w:r>
      <w:r w:rsidRPr="007F5722">
        <w:rPr>
          <w:rFonts w:ascii="Times New Roman" w:hAnsi="Times New Roman"/>
          <w:sz w:val="28"/>
          <w:szCs w:val="28"/>
        </w:rPr>
        <w:t xml:space="preserve"> ХС ЛПДНЩ (</w:t>
      </w:r>
      <w:r w:rsidRPr="007F5722">
        <w:rPr>
          <w:rFonts w:ascii="Times New Roman" w:hAnsi="Times New Roman"/>
          <w:sz w:val="28"/>
          <w:szCs w:val="28"/>
          <w:lang w:val="en-US"/>
        </w:rPr>
        <w:t>R</w:t>
      </w:r>
      <w:r w:rsidRPr="007F5722">
        <w:rPr>
          <w:rFonts w:ascii="Times New Roman" w:hAnsi="Times New Roman"/>
          <w:sz w:val="28"/>
          <w:szCs w:val="28"/>
        </w:rPr>
        <w:t xml:space="preserve">=0,536; </w:t>
      </w:r>
      <w:r w:rsidRPr="007F5722">
        <w:rPr>
          <w:rFonts w:ascii="Times New Roman" w:hAnsi="Times New Roman"/>
          <w:sz w:val="28"/>
          <w:szCs w:val="28"/>
          <w:lang w:val="en-US"/>
        </w:rPr>
        <w:t>p</w:t>
      </w:r>
      <w:r w:rsidRPr="007F5722">
        <w:rPr>
          <w:rFonts w:ascii="Times New Roman" w:hAnsi="Times New Roman"/>
          <w:sz w:val="28"/>
          <w:szCs w:val="28"/>
        </w:rPr>
        <w:t>&lt;0,001), КА (</w:t>
      </w:r>
      <w:r w:rsidRPr="007F5722">
        <w:rPr>
          <w:rFonts w:ascii="Times New Roman" w:hAnsi="Times New Roman"/>
          <w:sz w:val="28"/>
          <w:szCs w:val="28"/>
          <w:lang w:val="en-US"/>
        </w:rPr>
        <w:t>R</w:t>
      </w:r>
      <w:r w:rsidRPr="007F5722">
        <w:rPr>
          <w:rFonts w:ascii="Times New Roman" w:hAnsi="Times New Roman"/>
          <w:sz w:val="28"/>
          <w:szCs w:val="28"/>
        </w:rPr>
        <w:t xml:space="preserve">=0,529; </w:t>
      </w:r>
      <w:r w:rsidRPr="007F5722">
        <w:rPr>
          <w:rFonts w:ascii="Times New Roman" w:hAnsi="Times New Roman"/>
          <w:sz w:val="28"/>
          <w:szCs w:val="28"/>
          <w:lang w:val="en-US"/>
        </w:rPr>
        <w:t>p</w:t>
      </w:r>
      <w:r w:rsidRPr="007F5722">
        <w:rPr>
          <w:rFonts w:ascii="Times New Roman" w:hAnsi="Times New Roman"/>
          <w:sz w:val="28"/>
          <w:szCs w:val="28"/>
        </w:rPr>
        <w:t>&lt;0,002), ХС не-ЛПВЩ (</w:t>
      </w:r>
      <w:r w:rsidRPr="007F5722">
        <w:rPr>
          <w:rFonts w:ascii="Times New Roman" w:hAnsi="Times New Roman"/>
          <w:sz w:val="28"/>
          <w:szCs w:val="28"/>
          <w:lang w:val="en-US"/>
        </w:rPr>
        <w:t>R</w:t>
      </w:r>
      <w:r w:rsidRPr="007F5722">
        <w:rPr>
          <w:rFonts w:ascii="Times New Roman" w:hAnsi="Times New Roman"/>
          <w:sz w:val="28"/>
          <w:szCs w:val="28"/>
        </w:rPr>
        <w:t xml:space="preserve">=0,628; </w:t>
      </w:r>
      <w:r w:rsidRPr="007F5722">
        <w:rPr>
          <w:rFonts w:ascii="Times New Roman" w:hAnsi="Times New Roman"/>
          <w:sz w:val="28"/>
          <w:szCs w:val="28"/>
          <w:lang w:val="en-US"/>
        </w:rPr>
        <w:t>p</w:t>
      </w:r>
      <w:r w:rsidRPr="007F5722">
        <w:rPr>
          <w:rFonts w:ascii="Times New Roman" w:hAnsi="Times New Roman"/>
          <w:sz w:val="28"/>
          <w:szCs w:val="28"/>
        </w:rPr>
        <w:t>&lt;0,0001) та Апо В (R=0,370; p&lt;0,001).</w:t>
      </w:r>
      <w:r w:rsidRPr="007F5722">
        <w:rPr>
          <w:rFonts w:ascii="Times New Roman" w:hAnsi="Times New Roman" w:cs="Times New Roman"/>
          <w:sz w:val="28"/>
        </w:rPr>
        <w:t xml:space="preserve"> У чоловіків хворих на ГХ та наявністю абдомінального типу розподілу жирової тканини нами встановлено подібні за напрямом, тобто прямі зв’язки, але більш щільні за силою. А саме між рівнем  ІЛ-22 у </w:t>
      </w:r>
      <w:r w:rsidR="00794E07">
        <w:rPr>
          <w:rFonts w:ascii="Times New Roman" w:hAnsi="Times New Roman" w:cs="Times New Roman"/>
          <w:sz w:val="28"/>
        </w:rPr>
        <w:t>плазмі</w:t>
      </w:r>
      <w:r w:rsidRPr="007F5722">
        <w:rPr>
          <w:rFonts w:ascii="Times New Roman" w:hAnsi="Times New Roman" w:cs="Times New Roman"/>
          <w:sz w:val="28"/>
        </w:rPr>
        <w:t xml:space="preserve"> крові хворих чоловіків на ГХ з АО з’ясовано наявність позитивних сильних та достовірних зв’язків з рівнем ЗХС (</w:t>
      </w:r>
      <w:r w:rsidRPr="007F5722">
        <w:rPr>
          <w:rFonts w:ascii="Times New Roman" w:hAnsi="Times New Roman" w:cs="Times New Roman"/>
          <w:sz w:val="28"/>
          <w:lang w:val="en-US"/>
        </w:rPr>
        <w:t>R</w:t>
      </w:r>
      <w:r w:rsidRPr="007F5722">
        <w:rPr>
          <w:rFonts w:ascii="Times New Roman" w:hAnsi="Times New Roman" w:cs="Times New Roman"/>
          <w:sz w:val="28"/>
        </w:rPr>
        <w:t xml:space="preserve">=0,746; </w:t>
      </w:r>
      <w:r w:rsidRPr="007F5722">
        <w:rPr>
          <w:rFonts w:ascii="Times New Roman" w:hAnsi="Times New Roman" w:cs="Times New Roman"/>
          <w:sz w:val="28"/>
          <w:lang w:val="en-US"/>
        </w:rPr>
        <w:t>p</w:t>
      </w:r>
      <w:r w:rsidRPr="007F5722">
        <w:rPr>
          <w:rFonts w:ascii="Times New Roman" w:hAnsi="Times New Roman" w:cs="Times New Roman"/>
          <w:sz w:val="28"/>
        </w:rPr>
        <w:t>&lt;0,021), ТГ (</w:t>
      </w:r>
      <w:r w:rsidRPr="007F5722">
        <w:rPr>
          <w:rFonts w:ascii="Times New Roman" w:hAnsi="Times New Roman" w:cs="Times New Roman"/>
          <w:sz w:val="28"/>
          <w:lang w:val="en-US"/>
        </w:rPr>
        <w:t>R</w:t>
      </w:r>
      <w:r w:rsidRPr="007F5722">
        <w:rPr>
          <w:rFonts w:ascii="Times New Roman" w:hAnsi="Times New Roman" w:cs="Times New Roman"/>
          <w:sz w:val="28"/>
        </w:rPr>
        <w:t xml:space="preserve">=0,739; </w:t>
      </w:r>
      <w:r w:rsidRPr="007F5722">
        <w:rPr>
          <w:rFonts w:ascii="Times New Roman" w:hAnsi="Times New Roman" w:cs="Times New Roman"/>
          <w:sz w:val="28"/>
          <w:lang w:val="en-US"/>
        </w:rPr>
        <w:t>p</w:t>
      </w:r>
      <w:r w:rsidRPr="007F5722">
        <w:rPr>
          <w:rFonts w:ascii="Times New Roman" w:hAnsi="Times New Roman" w:cs="Times New Roman"/>
          <w:sz w:val="28"/>
        </w:rPr>
        <w:t>&lt;0,023), ХС ЛПНЩ (</w:t>
      </w:r>
      <w:r w:rsidRPr="007F5722">
        <w:rPr>
          <w:rFonts w:ascii="Times New Roman" w:hAnsi="Times New Roman" w:cs="Times New Roman"/>
          <w:sz w:val="28"/>
          <w:lang w:val="en-US"/>
        </w:rPr>
        <w:t>R</w:t>
      </w:r>
      <w:r w:rsidRPr="007F5722">
        <w:rPr>
          <w:rFonts w:ascii="Times New Roman" w:hAnsi="Times New Roman" w:cs="Times New Roman"/>
          <w:sz w:val="28"/>
        </w:rPr>
        <w:t xml:space="preserve">=0,753; </w:t>
      </w:r>
      <w:r w:rsidRPr="007F5722">
        <w:rPr>
          <w:rFonts w:ascii="Times New Roman" w:hAnsi="Times New Roman" w:cs="Times New Roman"/>
          <w:sz w:val="28"/>
          <w:lang w:val="en-US"/>
        </w:rPr>
        <w:t>p</w:t>
      </w:r>
      <w:r w:rsidRPr="007F5722">
        <w:rPr>
          <w:rFonts w:ascii="Times New Roman" w:hAnsi="Times New Roman" w:cs="Times New Roman"/>
          <w:sz w:val="28"/>
        </w:rPr>
        <w:t>&lt;0,019),</w:t>
      </w:r>
      <w:r w:rsidRPr="007F5722">
        <w:rPr>
          <w:rFonts w:ascii="Times New Roman" w:hAnsi="Times New Roman"/>
          <w:sz w:val="28"/>
          <w:szCs w:val="28"/>
        </w:rPr>
        <w:t xml:space="preserve"> ХС ЛПДНЩ (</w:t>
      </w:r>
      <w:r w:rsidRPr="007F5722">
        <w:rPr>
          <w:rFonts w:ascii="Times New Roman" w:hAnsi="Times New Roman"/>
          <w:sz w:val="28"/>
          <w:szCs w:val="28"/>
          <w:lang w:val="en-US"/>
        </w:rPr>
        <w:t>R</w:t>
      </w:r>
      <w:r w:rsidRPr="007F5722">
        <w:rPr>
          <w:rFonts w:ascii="Times New Roman" w:hAnsi="Times New Roman"/>
          <w:sz w:val="28"/>
          <w:szCs w:val="28"/>
        </w:rPr>
        <w:t xml:space="preserve">=0,739; </w:t>
      </w:r>
      <w:r w:rsidRPr="007F5722">
        <w:rPr>
          <w:rFonts w:ascii="Times New Roman" w:hAnsi="Times New Roman"/>
          <w:sz w:val="28"/>
          <w:szCs w:val="28"/>
          <w:lang w:val="en-US"/>
        </w:rPr>
        <w:t>p</w:t>
      </w:r>
      <w:r w:rsidRPr="007F5722">
        <w:rPr>
          <w:rFonts w:ascii="Times New Roman" w:hAnsi="Times New Roman"/>
          <w:sz w:val="28"/>
          <w:szCs w:val="28"/>
        </w:rPr>
        <w:t>&lt;0,023), КА (</w:t>
      </w:r>
      <w:r w:rsidRPr="007F5722">
        <w:rPr>
          <w:rFonts w:ascii="Times New Roman" w:hAnsi="Times New Roman"/>
          <w:sz w:val="28"/>
          <w:szCs w:val="28"/>
          <w:lang w:val="en-US"/>
        </w:rPr>
        <w:t>R</w:t>
      </w:r>
      <w:r w:rsidRPr="007F5722">
        <w:rPr>
          <w:rFonts w:ascii="Times New Roman" w:hAnsi="Times New Roman"/>
          <w:sz w:val="28"/>
          <w:szCs w:val="28"/>
        </w:rPr>
        <w:t xml:space="preserve">=0,707; </w:t>
      </w:r>
      <w:r w:rsidRPr="007F5722">
        <w:rPr>
          <w:rFonts w:ascii="Times New Roman" w:hAnsi="Times New Roman"/>
          <w:sz w:val="28"/>
          <w:szCs w:val="28"/>
          <w:lang w:val="en-US"/>
        </w:rPr>
        <w:t>p</w:t>
      </w:r>
      <w:r w:rsidRPr="007F5722">
        <w:rPr>
          <w:rFonts w:ascii="Times New Roman" w:hAnsi="Times New Roman"/>
          <w:sz w:val="28"/>
          <w:szCs w:val="28"/>
        </w:rPr>
        <w:t>&lt;0,033), ХС не-ЛПВЩ (</w:t>
      </w:r>
      <w:r w:rsidRPr="007F5722">
        <w:rPr>
          <w:rFonts w:ascii="Times New Roman" w:hAnsi="Times New Roman"/>
          <w:sz w:val="28"/>
          <w:szCs w:val="28"/>
          <w:lang w:val="en-US"/>
        </w:rPr>
        <w:t>R</w:t>
      </w:r>
      <w:r w:rsidRPr="007F5722">
        <w:rPr>
          <w:rFonts w:ascii="Times New Roman" w:hAnsi="Times New Roman"/>
          <w:sz w:val="28"/>
          <w:szCs w:val="28"/>
        </w:rPr>
        <w:t xml:space="preserve">=0,769; </w:t>
      </w:r>
      <w:r w:rsidRPr="007F5722">
        <w:rPr>
          <w:rFonts w:ascii="Times New Roman" w:hAnsi="Times New Roman"/>
          <w:sz w:val="28"/>
          <w:szCs w:val="28"/>
          <w:lang w:val="en-US"/>
        </w:rPr>
        <w:t>p</w:t>
      </w:r>
      <w:r w:rsidRPr="007F5722">
        <w:rPr>
          <w:rFonts w:ascii="Times New Roman" w:hAnsi="Times New Roman"/>
          <w:sz w:val="28"/>
          <w:szCs w:val="28"/>
        </w:rPr>
        <w:t>&lt;0,015) та Апо В (R=0,817; p&lt;0,007).</w:t>
      </w:r>
      <w:r w:rsidRPr="007F5722">
        <w:rPr>
          <w:rFonts w:ascii="Times New Roman" w:hAnsi="Times New Roman" w:cs="Times New Roman"/>
          <w:sz w:val="28"/>
        </w:rPr>
        <w:t xml:space="preserve"> Стосовно рівню ХС ЛПВЩ, то взаємозв’язки з вмістом ІЛ-22 мали зворотній напрямок, але були статистично недостовірними, як у чоловіків, так і жінок хворих на ГХ з супутнім АО. </w:t>
      </w:r>
    </w:p>
    <w:p w:rsidR="003A1552" w:rsidRPr="007F5722" w:rsidRDefault="003A1552" w:rsidP="003A1552">
      <w:pPr>
        <w:spacing w:after="0" w:line="360" w:lineRule="auto"/>
        <w:jc w:val="both"/>
        <w:rPr>
          <w:rFonts w:ascii="Times New Roman" w:hAnsi="Times New Roman" w:cs="Times New Roman"/>
          <w:sz w:val="28"/>
        </w:rPr>
      </w:pPr>
      <w:r w:rsidRPr="007F5722">
        <w:rPr>
          <w:rFonts w:ascii="Times New Roman" w:hAnsi="Times New Roman" w:cs="Times New Roman"/>
          <w:b/>
          <w:sz w:val="28"/>
        </w:rPr>
        <w:tab/>
      </w:r>
      <w:r w:rsidRPr="007F5722">
        <w:rPr>
          <w:rFonts w:ascii="Times New Roman" w:hAnsi="Times New Roman" w:cs="Times New Roman"/>
          <w:sz w:val="28"/>
        </w:rPr>
        <w:t xml:space="preserve">Нещодавно отримано докази, що демонструють роль ІЛ-22 </w:t>
      </w:r>
      <w:r w:rsidR="00794E07">
        <w:rPr>
          <w:rFonts w:ascii="Times New Roman" w:hAnsi="Times New Roman" w:cs="Times New Roman"/>
          <w:sz w:val="28"/>
        </w:rPr>
        <w:t xml:space="preserve">у кардіоваскулярній патології. </w:t>
      </w:r>
      <w:r w:rsidRPr="007F5722">
        <w:rPr>
          <w:rFonts w:ascii="Times New Roman" w:hAnsi="Times New Roman" w:cs="Times New Roman"/>
          <w:sz w:val="28"/>
        </w:rPr>
        <w:t>У експериментальних моделях ангіотензин-</w:t>
      </w:r>
      <w:r w:rsidRPr="007F5722">
        <w:rPr>
          <w:rFonts w:ascii="Times New Roman" w:hAnsi="Times New Roman" w:cs="Times New Roman"/>
          <w:sz w:val="28"/>
          <w:lang w:val="en-US"/>
        </w:rPr>
        <w:t>II</w:t>
      </w:r>
      <w:r w:rsidRPr="007F5722">
        <w:rPr>
          <w:rFonts w:ascii="Times New Roman" w:hAnsi="Times New Roman" w:cs="Times New Roman"/>
          <w:sz w:val="28"/>
        </w:rPr>
        <w:t>-індукуваної кардіальної гіпертрофії у мишей показано залучення цитокіну до гіпертрофії міокарду, введення анти-ІЛ-22-нейтралізуючих антитіл значно зниж</w:t>
      </w:r>
      <w:r w:rsidR="00794E07">
        <w:rPr>
          <w:rFonts w:ascii="Times New Roman" w:hAnsi="Times New Roman" w:cs="Times New Roman"/>
          <w:sz w:val="28"/>
        </w:rPr>
        <w:t xml:space="preserve">увало вираженість гіпертрофії, </w:t>
      </w:r>
      <w:r w:rsidRPr="007F5722">
        <w:rPr>
          <w:rFonts w:ascii="Times New Roman" w:hAnsi="Times New Roman" w:cs="Times New Roman"/>
          <w:sz w:val="28"/>
        </w:rPr>
        <w:t>попереджувало розвиток порушень дііастолічної та систолічної функції, зменшувало кардіальний фіброз та тому було припущено, що зниження регуляції ІЛ-22 може бути новітньою терапевтичною стратегією попередження розвитку кардіальної гіпертрофії [</w:t>
      </w:r>
      <w:r w:rsidR="002979CE" w:rsidRPr="007F5722">
        <w:rPr>
          <w:rFonts w:ascii="Times New Roman" w:hAnsi="Times New Roman" w:cs="Times New Roman"/>
          <w:sz w:val="28"/>
        </w:rPr>
        <w:t>224</w:t>
      </w:r>
      <w:r w:rsidRPr="007F5722">
        <w:rPr>
          <w:rFonts w:ascii="Times New Roman" w:hAnsi="Times New Roman" w:cs="Times New Roman"/>
          <w:sz w:val="28"/>
        </w:rPr>
        <w:t xml:space="preserve">]. Поодинокі клінічні дані показали зростання рівня ІЛ-22 у </w:t>
      </w:r>
      <w:r w:rsidR="00794E07">
        <w:rPr>
          <w:rFonts w:ascii="Times New Roman" w:hAnsi="Times New Roman" w:cs="Times New Roman"/>
          <w:sz w:val="28"/>
        </w:rPr>
        <w:t>плазмі</w:t>
      </w:r>
      <w:r w:rsidRPr="007F5722">
        <w:rPr>
          <w:rFonts w:ascii="Times New Roman" w:hAnsi="Times New Roman" w:cs="Times New Roman"/>
          <w:sz w:val="28"/>
        </w:rPr>
        <w:t xml:space="preserve"> крові хворих на ХСН з функціональним класом </w:t>
      </w:r>
      <w:r w:rsidRPr="007F5722">
        <w:rPr>
          <w:rFonts w:ascii="Times New Roman" w:hAnsi="Times New Roman" w:cs="Times New Roman"/>
          <w:sz w:val="28"/>
          <w:lang w:val="en-US"/>
        </w:rPr>
        <w:t>II</w:t>
      </w:r>
      <w:r w:rsidRPr="007F5722">
        <w:rPr>
          <w:rFonts w:ascii="Times New Roman" w:hAnsi="Times New Roman" w:cs="Times New Roman"/>
          <w:sz w:val="28"/>
        </w:rPr>
        <w:t xml:space="preserve"> та </w:t>
      </w:r>
      <w:r w:rsidRPr="007F5722">
        <w:rPr>
          <w:rFonts w:ascii="Times New Roman" w:hAnsi="Times New Roman" w:cs="Times New Roman"/>
          <w:sz w:val="28"/>
          <w:lang w:val="en-US"/>
        </w:rPr>
        <w:t>III</w:t>
      </w:r>
      <w:r w:rsidRPr="007F5722">
        <w:rPr>
          <w:rFonts w:ascii="Times New Roman" w:hAnsi="Times New Roman" w:cs="Times New Roman"/>
          <w:sz w:val="28"/>
        </w:rPr>
        <w:t xml:space="preserve"> за </w:t>
      </w:r>
      <w:r w:rsidRPr="007F5722">
        <w:rPr>
          <w:rFonts w:ascii="Times New Roman" w:hAnsi="Times New Roman" w:cs="Times New Roman"/>
          <w:sz w:val="28"/>
          <w:lang w:val="en-US"/>
        </w:rPr>
        <w:t>NYHA</w:t>
      </w:r>
      <w:r w:rsidRPr="007F5722">
        <w:rPr>
          <w:rFonts w:ascii="Times New Roman" w:hAnsi="Times New Roman" w:cs="Times New Roman"/>
          <w:sz w:val="28"/>
        </w:rPr>
        <w:t xml:space="preserve"> порівняно з контрольною групою. Однак, точні механізми залучення ІЛ-22 до формування гіпертрофії міокарду залишаються невідомими та патогенез потребує уточнення зазначили дослідники [</w:t>
      </w:r>
      <w:r w:rsidR="002979CE" w:rsidRPr="007F5722">
        <w:rPr>
          <w:rFonts w:ascii="Times New Roman" w:hAnsi="Times New Roman" w:cs="Times New Roman"/>
          <w:sz w:val="28"/>
        </w:rPr>
        <w:t>225</w:t>
      </w:r>
      <w:r w:rsidRPr="007F5722">
        <w:rPr>
          <w:rFonts w:ascii="Times New Roman" w:hAnsi="Times New Roman" w:cs="Times New Roman"/>
          <w:sz w:val="28"/>
        </w:rPr>
        <w:t xml:space="preserve">]. </w:t>
      </w:r>
    </w:p>
    <w:p w:rsidR="003A1552" w:rsidRPr="007F5722" w:rsidRDefault="003A1552" w:rsidP="003A1552">
      <w:pPr>
        <w:spacing w:after="0" w:line="360" w:lineRule="auto"/>
        <w:jc w:val="both"/>
        <w:rPr>
          <w:rFonts w:ascii="Times New Roman" w:hAnsi="Times New Roman" w:cs="Times New Roman"/>
          <w:sz w:val="28"/>
        </w:rPr>
      </w:pPr>
      <w:r w:rsidRPr="007F5722">
        <w:rPr>
          <w:rFonts w:ascii="Times New Roman" w:hAnsi="Times New Roman" w:cs="Times New Roman"/>
          <w:sz w:val="28"/>
        </w:rPr>
        <w:tab/>
        <w:t xml:space="preserve">Наші клінічні дані підтверджують </w:t>
      </w:r>
      <w:r w:rsidR="00794E07">
        <w:rPr>
          <w:rFonts w:ascii="Times New Roman" w:hAnsi="Times New Roman" w:cs="Times New Roman"/>
          <w:sz w:val="28"/>
        </w:rPr>
        <w:t>асоціацію</w:t>
      </w:r>
      <w:r w:rsidRPr="007F5722">
        <w:rPr>
          <w:rFonts w:ascii="Times New Roman" w:hAnsi="Times New Roman" w:cs="Times New Roman"/>
          <w:sz w:val="28"/>
        </w:rPr>
        <w:t xml:space="preserve"> ІЛ-22 </w:t>
      </w:r>
      <w:r w:rsidR="00794E07">
        <w:rPr>
          <w:rFonts w:ascii="Times New Roman" w:hAnsi="Times New Roman" w:cs="Times New Roman"/>
          <w:sz w:val="28"/>
        </w:rPr>
        <w:t>з</w:t>
      </w:r>
      <w:r w:rsidRPr="007F5722">
        <w:rPr>
          <w:rFonts w:ascii="Times New Roman" w:hAnsi="Times New Roman" w:cs="Times New Roman"/>
          <w:sz w:val="28"/>
        </w:rPr>
        <w:t xml:space="preserve"> розвитк</w:t>
      </w:r>
      <w:r w:rsidR="00794E07">
        <w:rPr>
          <w:rFonts w:ascii="Times New Roman" w:hAnsi="Times New Roman" w:cs="Times New Roman"/>
          <w:sz w:val="28"/>
        </w:rPr>
        <w:t>ом</w:t>
      </w:r>
      <w:r w:rsidRPr="007F5722">
        <w:rPr>
          <w:rFonts w:ascii="Times New Roman" w:hAnsi="Times New Roman" w:cs="Times New Roman"/>
          <w:sz w:val="28"/>
        </w:rPr>
        <w:t xml:space="preserve"> гіпертрофії міокарду, про свідчать достовірні кореляційні зв’язки між його рівнем та ММЛШ (</w:t>
      </w:r>
      <w:r w:rsidRPr="007F5722">
        <w:rPr>
          <w:rFonts w:ascii="Times New Roman" w:hAnsi="Times New Roman" w:cs="Times New Roman"/>
          <w:sz w:val="28"/>
          <w:lang w:val="en-US"/>
        </w:rPr>
        <w:t>R</w:t>
      </w:r>
      <w:r w:rsidRPr="007F5722">
        <w:rPr>
          <w:rFonts w:ascii="Times New Roman" w:hAnsi="Times New Roman" w:cs="Times New Roman"/>
          <w:sz w:val="28"/>
        </w:rPr>
        <w:t xml:space="preserve">=0,4305; </w:t>
      </w:r>
      <w:r w:rsidRPr="007F5722">
        <w:rPr>
          <w:rFonts w:ascii="Times New Roman" w:hAnsi="Times New Roman" w:cs="Times New Roman"/>
          <w:sz w:val="28"/>
          <w:lang w:val="en-US"/>
        </w:rPr>
        <w:t>p</w:t>
      </w:r>
      <w:r w:rsidRPr="007F5722">
        <w:rPr>
          <w:rFonts w:ascii="Times New Roman" w:hAnsi="Times New Roman" w:cs="Times New Roman"/>
          <w:sz w:val="28"/>
        </w:rPr>
        <w:t xml:space="preserve">&lt;0,040) у хворих на ГХ з надмірною масою тіла; </w:t>
      </w:r>
      <w:r w:rsidRPr="007F5722">
        <w:rPr>
          <w:rFonts w:ascii="Times New Roman" w:hAnsi="Times New Roman" w:cs="Times New Roman"/>
          <w:sz w:val="28"/>
        </w:rPr>
        <w:lastRenderedPageBreak/>
        <w:t>між ІЛ-22 та ТЗСЛШ (</w:t>
      </w:r>
      <w:r w:rsidRPr="007F5722">
        <w:rPr>
          <w:rFonts w:ascii="Times New Roman" w:hAnsi="Times New Roman" w:cs="Times New Roman"/>
          <w:sz w:val="28"/>
          <w:lang w:val="en-US"/>
        </w:rPr>
        <w:t>R</w:t>
      </w:r>
      <w:r w:rsidRPr="007F5722">
        <w:rPr>
          <w:rFonts w:ascii="Times New Roman" w:hAnsi="Times New Roman" w:cs="Times New Roman"/>
          <w:sz w:val="28"/>
        </w:rPr>
        <w:t xml:space="preserve">=0,4496; </w:t>
      </w:r>
      <w:r w:rsidRPr="007F5722">
        <w:rPr>
          <w:rFonts w:ascii="Times New Roman" w:hAnsi="Times New Roman" w:cs="Times New Roman"/>
          <w:sz w:val="28"/>
          <w:lang w:val="en-US"/>
        </w:rPr>
        <w:t>p</w:t>
      </w:r>
      <w:r w:rsidRPr="007F5722">
        <w:rPr>
          <w:rFonts w:ascii="Times New Roman" w:hAnsi="Times New Roman" w:cs="Times New Roman"/>
          <w:sz w:val="28"/>
        </w:rPr>
        <w:t>&lt;0,028), ММЛШ (</w:t>
      </w:r>
      <w:r w:rsidRPr="007F5722">
        <w:rPr>
          <w:rFonts w:ascii="Times New Roman" w:hAnsi="Times New Roman" w:cs="Times New Roman"/>
          <w:sz w:val="28"/>
          <w:lang w:val="en-US"/>
        </w:rPr>
        <w:t>R</w:t>
      </w:r>
      <w:r w:rsidRPr="007F5722">
        <w:rPr>
          <w:rFonts w:ascii="Times New Roman" w:hAnsi="Times New Roman" w:cs="Times New Roman"/>
          <w:sz w:val="28"/>
        </w:rPr>
        <w:t xml:space="preserve">=0,5091; </w:t>
      </w:r>
      <w:r w:rsidRPr="007F5722">
        <w:rPr>
          <w:rFonts w:ascii="Times New Roman" w:hAnsi="Times New Roman" w:cs="Times New Roman"/>
          <w:sz w:val="28"/>
          <w:lang w:val="en-US"/>
        </w:rPr>
        <w:t>p</w:t>
      </w:r>
      <w:r w:rsidRPr="007F5722">
        <w:rPr>
          <w:rFonts w:ascii="Times New Roman" w:hAnsi="Times New Roman" w:cs="Times New Roman"/>
          <w:sz w:val="28"/>
        </w:rPr>
        <w:t>&lt;0,011) та ІММЛШз</w:t>
      </w:r>
      <w:r w:rsidRPr="007F5722">
        <w:rPr>
          <w:rFonts w:ascii="Times New Roman" w:hAnsi="Times New Roman" w:cs="Times New Roman"/>
          <w:sz w:val="28"/>
          <w:vertAlign w:val="superscript"/>
        </w:rPr>
        <w:t>2,7</w:t>
      </w:r>
      <w:r w:rsidRPr="007F5722">
        <w:rPr>
          <w:rFonts w:ascii="Times New Roman" w:hAnsi="Times New Roman" w:cs="Times New Roman"/>
          <w:sz w:val="28"/>
        </w:rPr>
        <w:t xml:space="preserve">  (</w:t>
      </w:r>
      <w:r w:rsidRPr="007F5722">
        <w:rPr>
          <w:rFonts w:ascii="Times New Roman" w:hAnsi="Times New Roman" w:cs="Times New Roman"/>
          <w:sz w:val="28"/>
          <w:lang w:val="en-US"/>
        </w:rPr>
        <w:t>R</w:t>
      </w:r>
      <w:r w:rsidRPr="007F5722">
        <w:rPr>
          <w:rFonts w:ascii="Times New Roman" w:hAnsi="Times New Roman" w:cs="Times New Roman"/>
          <w:sz w:val="28"/>
        </w:rPr>
        <w:t xml:space="preserve">=0,4329; </w:t>
      </w:r>
      <w:r w:rsidRPr="007F5722">
        <w:rPr>
          <w:rFonts w:ascii="Times New Roman" w:hAnsi="Times New Roman" w:cs="Times New Roman"/>
          <w:sz w:val="28"/>
          <w:lang w:val="en-US"/>
        </w:rPr>
        <w:t>p</w:t>
      </w:r>
      <w:r w:rsidRPr="007F5722">
        <w:rPr>
          <w:rFonts w:ascii="Times New Roman" w:hAnsi="Times New Roman" w:cs="Times New Roman"/>
          <w:sz w:val="28"/>
        </w:rPr>
        <w:t>&lt;0,035). При аналізі вмісту ІЛ-22 залежно від типу ремоделювання МЛШ нами також встановлено, що рівень ІЛ-22 у хворих з гіпертрофічними типами ремоделювання, а саме концентрична гіпертрофія (КГ) й ексцентрична гіпертрофія (ЕГ) був достовірно вищим за значення у хворих з наявністю нормальної геометрії ЛШ (НГ) та концентричного ремоделювання (КР) (Рис. 4.7).</w:t>
      </w:r>
    </w:p>
    <w:p w:rsidR="003A1552" w:rsidRPr="007F5722" w:rsidRDefault="003A1552" w:rsidP="00B42020">
      <w:pPr>
        <w:spacing w:after="0" w:line="360" w:lineRule="auto"/>
        <w:jc w:val="center"/>
        <w:rPr>
          <w:rFonts w:ascii="Times New Roman" w:hAnsi="Times New Roman" w:cs="Times New Roman"/>
          <w:sz w:val="28"/>
        </w:rPr>
      </w:pPr>
      <w:r w:rsidRPr="007F5722">
        <w:rPr>
          <w:noProof/>
          <w:lang w:val="ru-RU" w:eastAsia="ru-RU"/>
        </w:rPr>
        <w:drawing>
          <wp:inline distT="0" distB="0" distL="0" distR="0">
            <wp:extent cx="4533900" cy="2217420"/>
            <wp:effectExtent l="0" t="0" r="0" b="1143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A1552" w:rsidRPr="007F5722" w:rsidRDefault="003A1552" w:rsidP="003A1552">
      <w:pPr>
        <w:spacing w:after="0" w:line="360" w:lineRule="auto"/>
        <w:jc w:val="both"/>
        <w:rPr>
          <w:rFonts w:ascii="Times New Roman" w:hAnsi="Times New Roman" w:cs="Times New Roman"/>
          <w:sz w:val="28"/>
        </w:rPr>
      </w:pPr>
    </w:p>
    <w:p w:rsidR="003A1552" w:rsidRPr="00794E07" w:rsidRDefault="003A1552" w:rsidP="00794E07">
      <w:pPr>
        <w:spacing w:after="0" w:line="360" w:lineRule="auto"/>
        <w:jc w:val="both"/>
        <w:rPr>
          <w:rFonts w:ascii="Times New Roman" w:hAnsi="Times New Roman" w:cs="Times New Roman"/>
          <w:sz w:val="28"/>
        </w:rPr>
      </w:pPr>
      <w:r w:rsidRPr="007F5722">
        <w:rPr>
          <w:rFonts w:ascii="Times New Roman" w:hAnsi="Times New Roman" w:cs="Times New Roman"/>
          <w:sz w:val="28"/>
        </w:rPr>
        <w:t xml:space="preserve">Рис. 4.7. Рівень ІЛ-22 залежно від типу ремоделювання </w:t>
      </w:r>
      <w:r w:rsidR="00794E07">
        <w:rPr>
          <w:rFonts w:ascii="Times New Roman" w:hAnsi="Times New Roman" w:cs="Times New Roman"/>
          <w:sz w:val="28"/>
        </w:rPr>
        <w:t>лівого шлуночка у хворих на ГХ</w:t>
      </w:r>
    </w:p>
    <w:p w:rsidR="003A1552" w:rsidRPr="007F5722" w:rsidRDefault="003A1552" w:rsidP="003A1552">
      <w:pPr>
        <w:spacing w:after="0" w:line="360" w:lineRule="auto"/>
        <w:ind w:firstLine="708"/>
        <w:contextualSpacing/>
        <w:jc w:val="both"/>
        <w:rPr>
          <w:rFonts w:ascii="Times New Roman" w:hAnsi="Times New Roman" w:cs="Times New Roman"/>
          <w:sz w:val="28"/>
        </w:rPr>
      </w:pPr>
      <w:r w:rsidRPr="007F5722">
        <w:rPr>
          <w:rFonts w:ascii="Times New Roman" w:hAnsi="Times New Roman" w:cs="Times New Roman"/>
          <w:sz w:val="28"/>
        </w:rPr>
        <w:t xml:space="preserve">Існує достатньо доказів того, що ендотеліальна дисфункція викликає підвищення рівня АТ та слугує містком між ангіотензином </w:t>
      </w:r>
      <w:r w:rsidRPr="007F5722">
        <w:rPr>
          <w:rFonts w:ascii="Times New Roman" w:hAnsi="Times New Roman" w:cs="Times New Roman"/>
          <w:sz w:val="28"/>
          <w:lang w:val="en-US"/>
        </w:rPr>
        <w:t>II</w:t>
      </w:r>
      <w:r w:rsidRPr="007F5722">
        <w:rPr>
          <w:rFonts w:ascii="Times New Roman" w:hAnsi="Times New Roman" w:cs="Times New Roman"/>
          <w:sz w:val="28"/>
        </w:rPr>
        <w:t xml:space="preserve"> та гіпертензією [44, 59-61</w:t>
      </w:r>
      <w:r w:rsidR="007C5A04" w:rsidRPr="007F5722">
        <w:rPr>
          <w:rFonts w:ascii="Times New Roman" w:hAnsi="Times New Roman" w:cs="Times New Roman"/>
          <w:sz w:val="28"/>
        </w:rPr>
        <w:t>].</w:t>
      </w:r>
      <w:r w:rsidRPr="007F5722">
        <w:rPr>
          <w:rFonts w:ascii="Times New Roman" w:hAnsi="Times New Roman" w:cs="Times New Roman"/>
          <w:sz w:val="28"/>
        </w:rPr>
        <w:t xml:space="preserve"> При е</w:t>
      </w:r>
      <w:r w:rsidR="002979CE" w:rsidRPr="007F5722">
        <w:rPr>
          <w:rFonts w:ascii="Times New Roman" w:hAnsi="Times New Roman" w:cs="Times New Roman"/>
          <w:sz w:val="28"/>
        </w:rPr>
        <w:t>кспериментальних дослідженнях Ангіотензин</w:t>
      </w:r>
      <w:r w:rsidRPr="007F5722">
        <w:rPr>
          <w:rFonts w:ascii="Times New Roman" w:hAnsi="Times New Roman" w:cs="Times New Roman"/>
          <w:sz w:val="28"/>
        </w:rPr>
        <w:t xml:space="preserve"> </w:t>
      </w:r>
      <w:r w:rsidRPr="007F5722">
        <w:rPr>
          <w:rFonts w:ascii="Times New Roman" w:hAnsi="Times New Roman" w:cs="Times New Roman"/>
          <w:sz w:val="28"/>
          <w:lang w:val="en-US"/>
        </w:rPr>
        <w:t>II</w:t>
      </w:r>
      <w:r w:rsidR="002979CE" w:rsidRPr="007F5722">
        <w:rPr>
          <w:rFonts w:ascii="Times New Roman" w:hAnsi="Times New Roman" w:cs="Times New Roman"/>
          <w:sz w:val="28"/>
        </w:rPr>
        <w:t>-індукованої гіпертензії щодо</w:t>
      </w:r>
      <w:r w:rsidRPr="007F5722">
        <w:rPr>
          <w:rFonts w:ascii="Times New Roman" w:hAnsi="Times New Roman" w:cs="Times New Roman"/>
          <w:sz w:val="28"/>
        </w:rPr>
        <w:t xml:space="preserve"> ролі ІЛ-22 у регуляції ендотеліальної функції показано,</w:t>
      </w:r>
      <w:r w:rsidR="007C5A04" w:rsidRPr="007F5722">
        <w:rPr>
          <w:rFonts w:ascii="Times New Roman" w:hAnsi="Times New Roman" w:cs="Times New Roman"/>
          <w:sz w:val="28"/>
        </w:rPr>
        <w:t xml:space="preserve"> що ІЛ-22 є промотором ефектів </w:t>
      </w:r>
      <w:r w:rsidR="002979CE" w:rsidRPr="007F5722">
        <w:rPr>
          <w:rFonts w:ascii="Times New Roman" w:hAnsi="Times New Roman" w:cs="Times New Roman"/>
          <w:sz w:val="28"/>
        </w:rPr>
        <w:t>Ангіотензина</w:t>
      </w:r>
      <w:r w:rsidRPr="007F5722">
        <w:rPr>
          <w:rFonts w:ascii="Times New Roman" w:hAnsi="Times New Roman" w:cs="Times New Roman"/>
          <w:sz w:val="28"/>
        </w:rPr>
        <w:t xml:space="preserve"> </w:t>
      </w:r>
      <w:r w:rsidRPr="007F5722">
        <w:rPr>
          <w:rFonts w:ascii="Times New Roman" w:hAnsi="Times New Roman" w:cs="Times New Roman"/>
          <w:sz w:val="28"/>
          <w:lang w:val="en-US"/>
        </w:rPr>
        <w:t>II</w:t>
      </w:r>
      <w:r w:rsidRPr="007F5722">
        <w:rPr>
          <w:rFonts w:ascii="Times New Roman" w:hAnsi="Times New Roman" w:cs="Times New Roman"/>
          <w:sz w:val="28"/>
        </w:rPr>
        <w:t xml:space="preserve"> на ендотелій-залежну та –незалежну релаксацію. Отже, не виключено, що ІЛ-22 може підвищувати рівень АТ шляхом порушення ендотеліальної функції [54].</w:t>
      </w:r>
    </w:p>
    <w:p w:rsidR="003A1552" w:rsidRPr="007F5722" w:rsidRDefault="003A1552" w:rsidP="003A1552">
      <w:pPr>
        <w:shd w:val="clear" w:color="auto" w:fill="FFFFFF"/>
        <w:spacing w:after="0" w:line="360" w:lineRule="auto"/>
        <w:ind w:firstLine="709"/>
        <w:jc w:val="both"/>
        <w:rPr>
          <w:rFonts w:ascii="Times New Roman" w:hAnsi="Times New Roman"/>
          <w:sz w:val="28"/>
          <w:szCs w:val="28"/>
        </w:rPr>
      </w:pPr>
      <w:r w:rsidRPr="007F5722">
        <w:rPr>
          <w:rFonts w:ascii="Times New Roman" w:hAnsi="Times New Roman" w:cs="Times New Roman"/>
          <w:sz w:val="28"/>
        </w:rPr>
        <w:t xml:space="preserve">У нашому дослідженні для детального вивчення патогенетичного значення ІЛ-22 та ліпідних маркерів у формуванні структурних змін загальних сонних артерій, що вважається ранніми предикторами атеросклеротичного ураження судин у хворих на ГХ з ожирінням, ми провели кластеризацію масиву хворих за значеннями вмісту ІЛ-22 та Апо В. Отримані нами дані у </w:t>
      </w:r>
      <w:r w:rsidRPr="007F5722">
        <w:rPr>
          <w:rFonts w:ascii="Times New Roman" w:hAnsi="Times New Roman" w:cs="Times New Roman"/>
          <w:sz w:val="28"/>
        </w:rPr>
        <w:lastRenderedPageBreak/>
        <w:t xml:space="preserve">хворих на ГХ з найвищими значеннями ІЛ-22 та Апо В свідчать про те, що на фоні підвищених рівнів АТ, максимальних значень ІМТ, ОТ атерогенної дисліпідемії спостерігалося перевищення нормальних показників КІМ – 1,1 (1,0; 1,15) мм. Такі зміни КІМ, що мали місце на тлі хронічного гемодинамічного навантаження підвищеним рівнем АТ та атерогенної дисліпідемії, промотором чого був підвищений вміст ІЛ-22 (основа формування кластеру), можна пояснити </w:t>
      </w:r>
      <w:r w:rsidRPr="007F5722">
        <w:rPr>
          <w:rFonts w:ascii="Times New Roman" w:hAnsi="Times New Roman"/>
          <w:sz w:val="28"/>
          <w:szCs w:val="28"/>
        </w:rPr>
        <w:t>тим, що оксидантний стрес потенцiює процеси запалення у судинній стiнцi, що призводить до посилення фiброзування судин, пролiферацiї гладком’язових клiтин на тлi зниженої ендотелiйзалежної вазодилатацiї, що поступово призводе до погiршення еластичних властивостей артерiй i збiльшення їх жорсткості.</w:t>
      </w:r>
    </w:p>
    <w:p w:rsidR="003A1552" w:rsidRPr="007F5722" w:rsidRDefault="003A1552" w:rsidP="003A1552">
      <w:pPr>
        <w:shd w:val="clear" w:color="auto" w:fill="FFFFFF"/>
        <w:spacing w:after="0" w:line="360" w:lineRule="auto"/>
        <w:ind w:firstLine="709"/>
        <w:jc w:val="both"/>
        <w:rPr>
          <w:rFonts w:ascii="Times New Roman" w:hAnsi="Times New Roman"/>
          <w:sz w:val="28"/>
          <w:szCs w:val="28"/>
        </w:rPr>
      </w:pPr>
      <w:r w:rsidRPr="007F5722">
        <w:rPr>
          <w:rFonts w:ascii="Times New Roman" w:hAnsi="Times New Roman"/>
          <w:sz w:val="28"/>
          <w:szCs w:val="28"/>
        </w:rPr>
        <w:t>Проведений кластерний аналіз виявив вірогідний зв'язок між особливостями розподілу рівнів ІЛ-22 та Апо В і характером структурно-функціональних змін ЗСА, а саме формуванням концентричної гіпертрофії ЗСА та концентричного ремоделювання ЗСА у хворих з найвищими показниками гіперінтерлейкінемії та гіперхолестеринемії.</w:t>
      </w:r>
    </w:p>
    <w:p w:rsidR="003A1552" w:rsidRPr="007F5722" w:rsidRDefault="003A1552" w:rsidP="003A1552">
      <w:pPr>
        <w:shd w:val="clear" w:color="auto" w:fill="FFFFFF"/>
        <w:spacing w:after="0" w:line="360" w:lineRule="auto"/>
        <w:ind w:firstLine="709"/>
        <w:jc w:val="both"/>
        <w:rPr>
          <w:rFonts w:ascii="Times New Roman" w:hAnsi="Times New Roman"/>
          <w:sz w:val="28"/>
          <w:szCs w:val="28"/>
        </w:rPr>
      </w:pPr>
      <w:r w:rsidRPr="007F5722">
        <w:rPr>
          <w:rFonts w:ascii="Times New Roman" w:hAnsi="Times New Roman"/>
          <w:sz w:val="28"/>
          <w:szCs w:val="28"/>
        </w:rPr>
        <w:t xml:space="preserve"> При аналізі рівню ІЛ-22 у групах пацієнтів на ГХ з нормальною масою тіла та ГХ з надмірною масою тіла та ожирінням нами встановлено чітку залежність між зростанням ІЛ-22 та показника КІМ в обох групах (Рис. 4.8).</w:t>
      </w:r>
    </w:p>
    <w:p w:rsidR="003A1552" w:rsidRPr="007F5722" w:rsidRDefault="003A1552" w:rsidP="003A1552">
      <w:pPr>
        <w:shd w:val="clear" w:color="auto" w:fill="FFFFFF"/>
        <w:spacing w:after="0" w:line="360" w:lineRule="auto"/>
        <w:ind w:firstLine="709"/>
        <w:jc w:val="both"/>
        <w:rPr>
          <w:rFonts w:ascii="Times New Roman" w:hAnsi="Times New Roman"/>
          <w:sz w:val="28"/>
          <w:szCs w:val="28"/>
        </w:rPr>
      </w:pPr>
    </w:p>
    <w:p w:rsidR="003A1552" w:rsidRPr="007F5722" w:rsidRDefault="003A1552" w:rsidP="00B42020">
      <w:pPr>
        <w:shd w:val="clear" w:color="auto" w:fill="FFFFFF"/>
        <w:spacing w:after="0" w:line="360" w:lineRule="auto"/>
        <w:ind w:firstLine="709"/>
        <w:jc w:val="center"/>
        <w:rPr>
          <w:rFonts w:ascii="Times New Roman" w:hAnsi="Times New Roman"/>
          <w:sz w:val="28"/>
          <w:szCs w:val="28"/>
        </w:rPr>
      </w:pPr>
      <w:r w:rsidRPr="007F5722">
        <w:rPr>
          <w:noProof/>
          <w:lang w:val="ru-RU" w:eastAsia="ru-RU"/>
        </w:rPr>
        <w:drawing>
          <wp:inline distT="0" distB="0" distL="0" distR="0">
            <wp:extent cx="4000500" cy="2125980"/>
            <wp:effectExtent l="0" t="0" r="0" b="762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3A1552" w:rsidRPr="007F5722" w:rsidRDefault="003A1552" w:rsidP="00C62EFF">
      <w:pPr>
        <w:shd w:val="clear" w:color="auto" w:fill="FFFFFF"/>
        <w:spacing w:after="0" w:line="360" w:lineRule="auto"/>
        <w:ind w:firstLine="709"/>
        <w:jc w:val="both"/>
        <w:rPr>
          <w:rFonts w:ascii="Times New Roman" w:hAnsi="Times New Roman"/>
          <w:sz w:val="28"/>
          <w:szCs w:val="28"/>
        </w:rPr>
      </w:pPr>
      <w:r w:rsidRPr="007F5722">
        <w:rPr>
          <w:rFonts w:ascii="Times New Roman" w:hAnsi="Times New Roman"/>
          <w:sz w:val="28"/>
          <w:szCs w:val="28"/>
        </w:rPr>
        <w:t>Рис. 4.8. Рівень ІЛ-22 залежно від значення КІМ та наявності надмірної маси тіла та ожиріння у хворих на ГХ</w:t>
      </w:r>
      <w:r w:rsidR="00C62EFF">
        <w:rPr>
          <w:rFonts w:ascii="Times New Roman" w:hAnsi="Times New Roman"/>
          <w:sz w:val="28"/>
          <w:szCs w:val="28"/>
        </w:rPr>
        <w:t>.</w:t>
      </w:r>
      <w:bookmarkStart w:id="1" w:name="_GoBack"/>
      <w:bookmarkEnd w:id="1"/>
    </w:p>
    <w:p w:rsidR="003A1552" w:rsidRPr="007F5722" w:rsidRDefault="003A1552" w:rsidP="003A1552">
      <w:pPr>
        <w:shd w:val="clear" w:color="auto" w:fill="FFFFFF"/>
        <w:spacing w:after="0" w:line="360" w:lineRule="auto"/>
        <w:ind w:firstLine="709"/>
        <w:jc w:val="both"/>
        <w:rPr>
          <w:rFonts w:ascii="Times New Roman" w:hAnsi="Times New Roman"/>
          <w:sz w:val="28"/>
          <w:szCs w:val="28"/>
        </w:rPr>
      </w:pPr>
      <w:r w:rsidRPr="007F5722">
        <w:rPr>
          <w:rFonts w:ascii="Times New Roman" w:hAnsi="Times New Roman" w:cs="Times New Roman"/>
          <w:sz w:val="28"/>
          <w:szCs w:val="28"/>
        </w:rPr>
        <w:lastRenderedPageBreak/>
        <w:t xml:space="preserve">Крім того, отримані результати свідчать на користь того, що рівень ІЛ-22 в </w:t>
      </w:r>
      <w:r w:rsidR="00D665D5">
        <w:rPr>
          <w:rFonts w:ascii="Times New Roman" w:hAnsi="Times New Roman" w:cs="Times New Roman"/>
          <w:sz w:val="28"/>
          <w:szCs w:val="28"/>
        </w:rPr>
        <w:t>плазмі</w:t>
      </w:r>
      <w:r w:rsidRPr="007F5722">
        <w:rPr>
          <w:rFonts w:ascii="Times New Roman" w:hAnsi="Times New Roman" w:cs="Times New Roman"/>
          <w:sz w:val="28"/>
          <w:szCs w:val="28"/>
        </w:rPr>
        <w:t xml:space="preserve"> крові пов’язаний з більш значним ступенем ураження судинної стінки у хворих на ГХ як з ожирінням, так і без нього. Встановлено позитивний кореляційний зв’язок між </w:t>
      </w:r>
      <w:r w:rsidR="00D665D5">
        <w:rPr>
          <w:rFonts w:ascii="Times New Roman" w:hAnsi="Times New Roman" w:cs="Times New Roman"/>
          <w:sz w:val="28"/>
          <w:szCs w:val="28"/>
        </w:rPr>
        <w:t>плазматичним</w:t>
      </w:r>
      <w:r w:rsidRPr="007F5722">
        <w:rPr>
          <w:rFonts w:ascii="Times New Roman" w:hAnsi="Times New Roman" w:cs="Times New Roman"/>
          <w:sz w:val="28"/>
          <w:szCs w:val="28"/>
        </w:rPr>
        <w:t xml:space="preserve"> рівнем ІЛ-22 й товщиною КІМ при ГХ з ожирінням (R=0,67; р&lt;0,05) і без нього (R=0,39; р&lt;0,05). Більш високі рівні ІЛ-22 у групі хворих на ГХ як з ожирінням, так і без нього на тлі нормальної товщини КІМ у порівнянні з контрольною групою, імовірно свідчить про те, що збільшення ІЛ-22 формує раннє ураження ендотелію судинного русла.</w:t>
      </w:r>
    </w:p>
    <w:p w:rsidR="00B05ADF" w:rsidRPr="007F5722" w:rsidRDefault="003A1552" w:rsidP="00B05ADF">
      <w:pPr>
        <w:shd w:val="clear" w:color="auto" w:fill="FFFFFF"/>
        <w:spacing w:after="0" w:line="360" w:lineRule="auto"/>
        <w:ind w:firstLine="709"/>
        <w:jc w:val="both"/>
        <w:rPr>
          <w:rFonts w:ascii="Times New Roman" w:hAnsi="Times New Roman"/>
          <w:sz w:val="28"/>
          <w:szCs w:val="28"/>
        </w:rPr>
      </w:pPr>
      <w:r w:rsidRPr="007F5722">
        <w:rPr>
          <w:rFonts w:ascii="Times New Roman" w:hAnsi="Times New Roman"/>
          <w:sz w:val="28"/>
          <w:szCs w:val="28"/>
        </w:rPr>
        <w:t>Таким чином, нами отримано результати, що підтверджують прогіпертензиний, проатерогенний, прогіпертрофічний ефекти ІЛ-22 у хворих на ГХ, особливо за н</w:t>
      </w:r>
      <w:r w:rsidR="00C42F5E" w:rsidRPr="007F5722">
        <w:rPr>
          <w:rFonts w:ascii="Times New Roman" w:hAnsi="Times New Roman"/>
          <w:sz w:val="28"/>
          <w:szCs w:val="28"/>
        </w:rPr>
        <w:t>аявності супутнього ожиріння.</w:t>
      </w:r>
    </w:p>
    <w:p w:rsidR="003A1552" w:rsidRPr="007F5722" w:rsidRDefault="00B05ADF" w:rsidP="00B05ADF">
      <w:pPr>
        <w:spacing w:after="0" w:line="240" w:lineRule="auto"/>
        <w:jc w:val="both"/>
        <w:rPr>
          <w:rFonts w:ascii="Times New Roman" w:hAnsi="Times New Roman"/>
          <w:sz w:val="28"/>
          <w:szCs w:val="28"/>
        </w:rPr>
      </w:pPr>
      <w:r w:rsidRPr="007F5722">
        <w:rPr>
          <w:rFonts w:ascii="Times New Roman" w:hAnsi="Times New Roman"/>
          <w:sz w:val="28"/>
          <w:szCs w:val="28"/>
        </w:rPr>
        <w:br w:type="page"/>
      </w:r>
    </w:p>
    <w:p w:rsidR="00E9787A" w:rsidRPr="007F5722" w:rsidRDefault="00E9787A" w:rsidP="00347022">
      <w:pPr>
        <w:jc w:val="center"/>
        <w:rPr>
          <w:rFonts w:ascii="Times New Roman" w:hAnsi="Times New Roman" w:cs="Times New Roman"/>
          <w:b/>
          <w:sz w:val="28"/>
          <w:szCs w:val="28"/>
        </w:rPr>
      </w:pPr>
      <w:r w:rsidRPr="007F5722">
        <w:rPr>
          <w:rFonts w:ascii="Times New Roman" w:hAnsi="Times New Roman" w:cs="Times New Roman"/>
          <w:b/>
          <w:sz w:val="28"/>
          <w:szCs w:val="28"/>
        </w:rPr>
        <w:lastRenderedPageBreak/>
        <w:t>ВИСНОВКИ</w:t>
      </w:r>
    </w:p>
    <w:p w:rsidR="00D665D5" w:rsidRPr="00255E33" w:rsidRDefault="00D665D5" w:rsidP="00D665D5">
      <w:pPr>
        <w:pStyle w:val="a8"/>
        <w:numPr>
          <w:ilvl w:val="0"/>
          <w:numId w:val="40"/>
        </w:numPr>
        <w:spacing w:after="0" w:line="360" w:lineRule="auto"/>
        <w:ind w:left="0" w:firstLine="709"/>
        <w:jc w:val="both"/>
        <w:rPr>
          <w:rFonts w:ascii="Times New Roman" w:hAnsi="Times New Roman"/>
          <w:sz w:val="28"/>
          <w:szCs w:val="28"/>
        </w:rPr>
      </w:pPr>
      <w:r w:rsidRPr="00C2413D">
        <w:rPr>
          <w:rFonts w:ascii="Times New Roman" w:hAnsi="Times New Roman"/>
          <w:sz w:val="28"/>
          <w:szCs w:val="28"/>
        </w:rPr>
        <w:t>У</w:t>
      </w:r>
      <w:r w:rsidRPr="00255E33">
        <w:rPr>
          <w:rFonts w:ascii="Times New Roman" w:hAnsi="Times New Roman"/>
          <w:sz w:val="28"/>
          <w:szCs w:val="28"/>
        </w:rPr>
        <w:t xml:space="preserve"> роботі представлено вирішення актуального завдання сучасної внутрішньої медицини, а саме оптимізація ранньої діагностики та прогнозування дисліпідемії та предикторів атеросклерозу у хворих на гіпертонічну хворобу з ожирінням на підставі визначення </w:t>
      </w:r>
      <w:r>
        <w:rPr>
          <w:rFonts w:ascii="Times New Roman" w:hAnsi="Times New Roman"/>
          <w:sz w:val="28"/>
          <w:szCs w:val="28"/>
        </w:rPr>
        <w:t>плазматичного</w:t>
      </w:r>
      <w:r w:rsidRPr="00255E33">
        <w:rPr>
          <w:rFonts w:ascii="Times New Roman" w:hAnsi="Times New Roman"/>
          <w:sz w:val="28"/>
          <w:szCs w:val="28"/>
        </w:rPr>
        <w:t xml:space="preserve"> рівня інтерлейкіну-22, аполіпопротеїну В, показників ліпідного профілю натще та постпрандіально у комплексі з оцінкою структурно-функціональних змін серця та судин.</w:t>
      </w:r>
    </w:p>
    <w:p w:rsidR="00D665D5" w:rsidRPr="00E15C4F" w:rsidRDefault="00D665D5" w:rsidP="00D665D5">
      <w:pPr>
        <w:pStyle w:val="a8"/>
        <w:numPr>
          <w:ilvl w:val="0"/>
          <w:numId w:val="40"/>
        </w:numPr>
        <w:spacing w:after="0" w:line="360" w:lineRule="auto"/>
        <w:ind w:left="0" w:firstLine="709"/>
        <w:jc w:val="both"/>
        <w:rPr>
          <w:rFonts w:ascii="Times New Roman" w:hAnsi="Times New Roman"/>
          <w:sz w:val="28"/>
          <w:szCs w:val="28"/>
        </w:rPr>
      </w:pPr>
      <w:r w:rsidRPr="00255E33">
        <w:rPr>
          <w:rFonts w:ascii="Times New Roman" w:hAnsi="Times New Roman"/>
          <w:bCs/>
          <w:iCs/>
          <w:sz w:val="28"/>
          <w:szCs w:val="28"/>
        </w:rPr>
        <w:t xml:space="preserve">Вміст інтерлейкіну-22 </w:t>
      </w:r>
      <w:r w:rsidRPr="009708B8">
        <w:rPr>
          <w:rFonts w:ascii="Times New Roman" w:hAnsi="Times New Roman"/>
          <w:bCs/>
          <w:iCs/>
          <w:sz w:val="28"/>
          <w:szCs w:val="28"/>
        </w:rPr>
        <w:t>в плазмі кров</w:t>
      </w:r>
      <w:r w:rsidRPr="004452A0">
        <w:rPr>
          <w:rFonts w:ascii="Times New Roman" w:hAnsi="Times New Roman"/>
          <w:bCs/>
          <w:iCs/>
          <w:sz w:val="28"/>
          <w:szCs w:val="28"/>
        </w:rPr>
        <w:t xml:space="preserve">і </w:t>
      </w:r>
      <w:r>
        <w:rPr>
          <w:rFonts w:ascii="Times New Roman" w:hAnsi="Times New Roman"/>
          <w:bCs/>
          <w:iCs/>
          <w:sz w:val="28"/>
          <w:szCs w:val="28"/>
        </w:rPr>
        <w:t>достовірно вищі</w:t>
      </w:r>
      <w:r w:rsidRPr="00255E33">
        <w:rPr>
          <w:rFonts w:ascii="Times New Roman" w:hAnsi="Times New Roman"/>
          <w:bCs/>
          <w:iCs/>
          <w:sz w:val="28"/>
          <w:szCs w:val="28"/>
        </w:rPr>
        <w:t>й у хворих на гіпертонічну хворобу за наявності надмірної маси тіла та ожиріння</w:t>
      </w:r>
      <w:r>
        <w:rPr>
          <w:rFonts w:ascii="Times New Roman" w:hAnsi="Times New Roman"/>
          <w:bCs/>
          <w:iCs/>
          <w:sz w:val="28"/>
          <w:szCs w:val="28"/>
        </w:rPr>
        <w:t xml:space="preserve"> І-ІІІ ступенів</w:t>
      </w:r>
      <w:r w:rsidRPr="00255E33">
        <w:rPr>
          <w:rFonts w:ascii="Times New Roman" w:hAnsi="Times New Roman"/>
          <w:bCs/>
          <w:iCs/>
          <w:sz w:val="28"/>
          <w:szCs w:val="28"/>
        </w:rPr>
        <w:t xml:space="preserve"> </w:t>
      </w:r>
      <w:r>
        <w:rPr>
          <w:rFonts w:ascii="Times New Roman" w:hAnsi="Times New Roman"/>
          <w:bCs/>
          <w:iCs/>
          <w:sz w:val="28"/>
          <w:szCs w:val="28"/>
        </w:rPr>
        <w:t>(</w:t>
      </w:r>
      <w:r w:rsidRPr="00255E33">
        <w:rPr>
          <w:rFonts w:ascii="Times New Roman" w:hAnsi="Times New Roman"/>
          <w:bCs/>
          <w:iCs/>
          <w:sz w:val="28"/>
          <w:szCs w:val="28"/>
        </w:rPr>
        <w:t>р&lt;0,05</w:t>
      </w:r>
      <w:r>
        <w:rPr>
          <w:rFonts w:ascii="Times New Roman" w:hAnsi="Times New Roman"/>
          <w:bCs/>
          <w:iCs/>
          <w:sz w:val="28"/>
          <w:szCs w:val="28"/>
        </w:rPr>
        <w:t xml:space="preserve">). Рівень інтерлейкіну-22 в плазмі крові у хворих на гіпертонічну хворобу в поєднанні з абдомінальним ожирінням в 1,3 рази перевищує рівень у хворих </w:t>
      </w:r>
      <w:r w:rsidRPr="00255E33">
        <w:rPr>
          <w:rFonts w:ascii="Times New Roman" w:hAnsi="Times New Roman"/>
          <w:bCs/>
          <w:iCs/>
          <w:sz w:val="28"/>
          <w:szCs w:val="28"/>
        </w:rPr>
        <w:t>без ознак абдомінального ожиріння</w:t>
      </w:r>
      <w:r>
        <w:rPr>
          <w:rFonts w:ascii="Times New Roman" w:hAnsi="Times New Roman"/>
          <w:bCs/>
          <w:iCs/>
          <w:sz w:val="28"/>
          <w:szCs w:val="28"/>
        </w:rPr>
        <w:t xml:space="preserve"> </w:t>
      </w:r>
      <w:r w:rsidRPr="00255E33">
        <w:rPr>
          <w:rFonts w:ascii="Times New Roman" w:hAnsi="Times New Roman"/>
          <w:bCs/>
          <w:iCs/>
          <w:sz w:val="28"/>
          <w:szCs w:val="28"/>
        </w:rPr>
        <w:t>(р&lt;0,0</w:t>
      </w:r>
      <w:r w:rsidRPr="00BC018D">
        <w:rPr>
          <w:rFonts w:ascii="Times New Roman" w:hAnsi="Times New Roman"/>
          <w:bCs/>
          <w:iCs/>
          <w:sz w:val="28"/>
          <w:szCs w:val="28"/>
        </w:rPr>
        <w:t>5)</w:t>
      </w:r>
      <w:r>
        <w:rPr>
          <w:rFonts w:ascii="Times New Roman" w:hAnsi="Times New Roman"/>
          <w:bCs/>
          <w:iCs/>
          <w:sz w:val="28"/>
          <w:szCs w:val="28"/>
        </w:rPr>
        <w:t xml:space="preserve"> та в 1,6 разів вище за рівень контрольної групи </w:t>
      </w:r>
      <w:r w:rsidRPr="00255E33">
        <w:rPr>
          <w:rFonts w:ascii="Times New Roman" w:hAnsi="Times New Roman"/>
          <w:bCs/>
          <w:iCs/>
          <w:sz w:val="28"/>
          <w:szCs w:val="28"/>
        </w:rPr>
        <w:t>(р&lt;0,0</w:t>
      </w:r>
      <w:r w:rsidRPr="00BC018D">
        <w:rPr>
          <w:rFonts w:ascii="Times New Roman" w:hAnsi="Times New Roman"/>
          <w:bCs/>
          <w:iCs/>
          <w:sz w:val="28"/>
          <w:szCs w:val="28"/>
        </w:rPr>
        <w:t>5).</w:t>
      </w:r>
    </w:p>
    <w:p w:rsidR="00D665D5" w:rsidRPr="00BC018D" w:rsidRDefault="00D665D5" w:rsidP="00D665D5">
      <w:pPr>
        <w:pStyle w:val="a8"/>
        <w:numPr>
          <w:ilvl w:val="0"/>
          <w:numId w:val="40"/>
        </w:numPr>
        <w:spacing w:after="0" w:line="360" w:lineRule="auto"/>
        <w:ind w:left="0" w:firstLine="709"/>
        <w:jc w:val="both"/>
        <w:rPr>
          <w:rFonts w:ascii="Times New Roman" w:hAnsi="Times New Roman"/>
          <w:sz w:val="28"/>
          <w:szCs w:val="28"/>
        </w:rPr>
      </w:pPr>
      <w:r w:rsidRPr="006D7C3E">
        <w:rPr>
          <w:rFonts w:ascii="Times New Roman" w:hAnsi="Times New Roman"/>
          <w:bCs/>
          <w:iCs/>
          <w:sz w:val="28"/>
          <w:szCs w:val="28"/>
        </w:rPr>
        <w:t xml:space="preserve">У хворих на гіпертонічну хворобу в поєднанні з надмірною </w:t>
      </w:r>
      <w:r>
        <w:rPr>
          <w:rFonts w:ascii="Times New Roman" w:hAnsi="Times New Roman"/>
          <w:bCs/>
          <w:iCs/>
          <w:sz w:val="28"/>
          <w:szCs w:val="28"/>
        </w:rPr>
        <w:t>масою тіла та ожирінням виявляється базальна дисліпідемія</w:t>
      </w:r>
      <w:r w:rsidRPr="006D7C3E">
        <w:rPr>
          <w:rFonts w:ascii="Times New Roman" w:hAnsi="Times New Roman"/>
          <w:bCs/>
          <w:iCs/>
          <w:sz w:val="28"/>
          <w:szCs w:val="28"/>
        </w:rPr>
        <w:t xml:space="preserve">: </w:t>
      </w:r>
      <w:r>
        <w:rPr>
          <w:rFonts w:ascii="Times New Roman" w:hAnsi="Times New Roman"/>
          <w:sz w:val="28"/>
          <w:szCs w:val="28"/>
        </w:rPr>
        <w:t>гіперхолестеринемія</w:t>
      </w:r>
      <w:r w:rsidRPr="006D7C3E">
        <w:rPr>
          <w:rFonts w:ascii="Times New Roman" w:hAnsi="Times New Roman"/>
          <w:sz w:val="28"/>
          <w:szCs w:val="28"/>
        </w:rPr>
        <w:t xml:space="preserve"> у 37,9% випадках, гіпертриґліцеридемі</w:t>
      </w:r>
      <w:r>
        <w:rPr>
          <w:rFonts w:ascii="Times New Roman" w:hAnsi="Times New Roman"/>
          <w:sz w:val="28"/>
          <w:szCs w:val="28"/>
        </w:rPr>
        <w:t>я</w:t>
      </w:r>
      <w:r w:rsidRPr="006D7C3E">
        <w:rPr>
          <w:rFonts w:ascii="Times New Roman" w:hAnsi="Times New Roman"/>
          <w:sz w:val="28"/>
          <w:szCs w:val="28"/>
        </w:rPr>
        <w:t xml:space="preserve"> – 10,3%, гіпоальфахолестеринемі</w:t>
      </w:r>
      <w:r>
        <w:rPr>
          <w:rFonts w:ascii="Times New Roman" w:hAnsi="Times New Roman"/>
          <w:sz w:val="28"/>
          <w:szCs w:val="28"/>
        </w:rPr>
        <w:t>ю</w:t>
      </w:r>
      <w:r w:rsidRPr="006D7C3E">
        <w:rPr>
          <w:rFonts w:ascii="Times New Roman" w:hAnsi="Times New Roman"/>
          <w:sz w:val="28"/>
          <w:szCs w:val="28"/>
        </w:rPr>
        <w:t xml:space="preserve"> </w:t>
      </w:r>
      <w:r>
        <w:rPr>
          <w:rFonts w:ascii="Times New Roman" w:eastAsia="Times New Roman" w:hAnsi="Times New Roman"/>
          <w:color w:val="000000"/>
          <w:sz w:val="28"/>
          <w:szCs w:val="28"/>
        </w:rPr>
        <w:t>мають</w:t>
      </w:r>
      <w:r w:rsidRPr="006D7C3E">
        <w:rPr>
          <w:rFonts w:ascii="Times New Roman" w:eastAsia="Times New Roman" w:hAnsi="Times New Roman"/>
          <w:color w:val="000000"/>
          <w:sz w:val="28"/>
          <w:szCs w:val="28"/>
        </w:rPr>
        <w:t xml:space="preserve"> 27,6</w:t>
      </w:r>
      <w:r>
        <w:rPr>
          <w:rFonts w:ascii="Times New Roman" w:eastAsia="Times New Roman" w:hAnsi="Times New Roman"/>
          <w:color w:val="000000"/>
          <w:sz w:val="28"/>
          <w:szCs w:val="28"/>
        </w:rPr>
        <w:t> % хворих</w:t>
      </w:r>
      <w:r w:rsidRPr="006D7C3E">
        <w:rPr>
          <w:rFonts w:ascii="Times New Roman" w:hAnsi="Times New Roman"/>
          <w:sz w:val="28"/>
          <w:szCs w:val="28"/>
        </w:rPr>
        <w:t>, збільшення вмісту холестерину ліпопротеїдів низької щільності – 27,6 %</w:t>
      </w:r>
      <w:r w:rsidRPr="006D7C3E">
        <w:rPr>
          <w:rFonts w:ascii="Times New Roman" w:hAnsi="Times New Roman"/>
          <w:bCs/>
          <w:iCs/>
          <w:sz w:val="28"/>
          <w:szCs w:val="28"/>
        </w:rPr>
        <w:t xml:space="preserve">, а також порушення ліпідного профілю у постпрандіальний період: </w:t>
      </w:r>
      <w:r>
        <w:rPr>
          <w:rFonts w:ascii="Times New Roman" w:hAnsi="Times New Roman"/>
          <w:sz w:val="28"/>
          <w:szCs w:val="28"/>
        </w:rPr>
        <w:t>гіперхолестеринемія</w:t>
      </w:r>
      <w:r w:rsidRPr="006D7C3E">
        <w:rPr>
          <w:rFonts w:ascii="Times New Roman" w:hAnsi="Times New Roman"/>
          <w:sz w:val="28"/>
          <w:szCs w:val="28"/>
        </w:rPr>
        <w:t xml:space="preserve"> у 38,9 %</w:t>
      </w:r>
      <w:r>
        <w:rPr>
          <w:rFonts w:ascii="Times New Roman" w:hAnsi="Times New Roman"/>
          <w:sz w:val="28"/>
          <w:szCs w:val="28"/>
        </w:rPr>
        <w:t xml:space="preserve"> пацієнтів, гіпертригліцеридемія</w:t>
      </w:r>
      <w:r w:rsidRPr="006D7C3E">
        <w:rPr>
          <w:rFonts w:ascii="Times New Roman" w:hAnsi="Times New Roman"/>
          <w:sz w:val="28"/>
          <w:szCs w:val="28"/>
        </w:rPr>
        <w:t xml:space="preserve"> – у 70 % па</w:t>
      </w:r>
      <w:r>
        <w:rPr>
          <w:rFonts w:ascii="Times New Roman" w:hAnsi="Times New Roman"/>
          <w:sz w:val="28"/>
          <w:szCs w:val="28"/>
        </w:rPr>
        <w:t>цієнтів, гіпоальфахолестеринемія</w:t>
      </w:r>
      <w:r w:rsidRPr="006D7C3E">
        <w:rPr>
          <w:rFonts w:ascii="Times New Roman" w:hAnsi="Times New Roman"/>
          <w:sz w:val="28"/>
          <w:szCs w:val="28"/>
        </w:rPr>
        <w:t xml:space="preserve"> –</w:t>
      </w:r>
      <w:r>
        <w:rPr>
          <w:rFonts w:ascii="Times New Roman" w:eastAsia="Times New Roman" w:hAnsi="Times New Roman"/>
          <w:color w:val="000000"/>
          <w:sz w:val="28"/>
          <w:szCs w:val="28"/>
        </w:rPr>
        <w:t xml:space="preserve"> у 33,3 % пацієнтів</w:t>
      </w:r>
      <w:r w:rsidRPr="006D7C3E">
        <w:rPr>
          <w:rFonts w:ascii="Times New Roman" w:hAnsi="Times New Roman"/>
          <w:sz w:val="28"/>
          <w:szCs w:val="28"/>
        </w:rPr>
        <w:t>, збільш</w:t>
      </w:r>
      <w:r>
        <w:rPr>
          <w:rFonts w:ascii="Times New Roman" w:hAnsi="Times New Roman"/>
          <w:sz w:val="28"/>
          <w:szCs w:val="28"/>
        </w:rPr>
        <w:t>ення рівню ХС ЛПНЩ – 36,4%.</w:t>
      </w:r>
    </w:p>
    <w:p w:rsidR="00D665D5" w:rsidRPr="00B14B06" w:rsidRDefault="00D665D5" w:rsidP="00D665D5">
      <w:pPr>
        <w:pStyle w:val="a8"/>
        <w:numPr>
          <w:ilvl w:val="0"/>
          <w:numId w:val="40"/>
        </w:numPr>
        <w:spacing w:after="0" w:line="360" w:lineRule="auto"/>
        <w:ind w:left="0" w:firstLine="709"/>
        <w:jc w:val="both"/>
        <w:rPr>
          <w:rFonts w:ascii="Times New Roman" w:hAnsi="Times New Roman"/>
          <w:sz w:val="28"/>
          <w:szCs w:val="28"/>
        </w:rPr>
      </w:pPr>
      <w:r w:rsidRPr="00B14B06">
        <w:rPr>
          <w:rFonts w:ascii="Times New Roman" w:hAnsi="Times New Roman"/>
          <w:bCs/>
          <w:iCs/>
          <w:sz w:val="28"/>
          <w:szCs w:val="28"/>
        </w:rPr>
        <w:t xml:space="preserve">У хворих на гіпертонічну хворобу за наявності ожиріння відзначаються максимальні значення інтерлейкіну-22 у взаємозв’язку з несприятливими змінами параметрів ліпідної панелі, а саме зростання проатерогенних фракцій (ЗХС – 6,3 (5,5;7,2) ммоль/л; ТГ – 2,1 (1,9;2,5) ммоль/л; ХС ЛПНЩ – 4,1 (3,5; 4,9) ммоль/л) та зниження антиатерогенних фракцій ліпідів (ХС ЛПВЩ – 1,09 (0,87; 1,3) ммоль/л) </w:t>
      </w:r>
    </w:p>
    <w:p w:rsidR="00D665D5" w:rsidRPr="006959DC" w:rsidRDefault="00D665D5" w:rsidP="00D665D5">
      <w:pPr>
        <w:pStyle w:val="a8"/>
        <w:numPr>
          <w:ilvl w:val="0"/>
          <w:numId w:val="40"/>
        </w:numPr>
        <w:spacing w:after="0" w:line="360" w:lineRule="auto"/>
        <w:ind w:left="0" w:firstLine="709"/>
        <w:jc w:val="both"/>
        <w:rPr>
          <w:rFonts w:ascii="Times New Roman" w:hAnsi="Times New Roman"/>
          <w:sz w:val="28"/>
          <w:szCs w:val="28"/>
        </w:rPr>
      </w:pPr>
      <w:r w:rsidRPr="006959DC">
        <w:rPr>
          <w:rFonts w:ascii="Times New Roman" w:hAnsi="Times New Roman"/>
          <w:sz w:val="28"/>
        </w:rPr>
        <w:t xml:space="preserve">Рівень ІЛ-22 у хворих з гіпертрофічними типами ремоделювання </w:t>
      </w:r>
      <w:r w:rsidRPr="009708B8">
        <w:rPr>
          <w:rFonts w:ascii="Times New Roman" w:hAnsi="Times New Roman"/>
          <w:sz w:val="28"/>
        </w:rPr>
        <w:t>серця</w:t>
      </w:r>
      <w:r>
        <w:rPr>
          <w:rFonts w:ascii="Times New Roman" w:hAnsi="Times New Roman"/>
          <w:sz w:val="28"/>
        </w:rPr>
        <w:t>,</w:t>
      </w:r>
      <w:r w:rsidRPr="003F20D4">
        <w:rPr>
          <w:rFonts w:ascii="Times New Roman" w:hAnsi="Times New Roman"/>
          <w:sz w:val="28"/>
        </w:rPr>
        <w:t xml:space="preserve"> </w:t>
      </w:r>
      <w:r w:rsidRPr="006959DC">
        <w:rPr>
          <w:rFonts w:ascii="Times New Roman" w:hAnsi="Times New Roman"/>
          <w:sz w:val="28"/>
        </w:rPr>
        <w:t>а са</w:t>
      </w:r>
      <w:r>
        <w:rPr>
          <w:rFonts w:ascii="Times New Roman" w:hAnsi="Times New Roman"/>
          <w:sz w:val="28"/>
        </w:rPr>
        <w:t>ме концентрична гіпертрофія</w:t>
      </w:r>
      <w:r w:rsidRPr="006959DC">
        <w:rPr>
          <w:rFonts w:ascii="Times New Roman" w:hAnsi="Times New Roman"/>
          <w:sz w:val="28"/>
        </w:rPr>
        <w:t xml:space="preserve"> </w:t>
      </w:r>
      <w:r>
        <w:rPr>
          <w:rFonts w:ascii="Times New Roman" w:hAnsi="Times New Roman"/>
          <w:sz w:val="28"/>
        </w:rPr>
        <w:t xml:space="preserve">й ексцентрична гіпертрофія лівого </w:t>
      </w:r>
      <w:r>
        <w:rPr>
          <w:rFonts w:ascii="Times New Roman" w:hAnsi="Times New Roman"/>
          <w:sz w:val="28"/>
        </w:rPr>
        <w:lastRenderedPageBreak/>
        <w:t>шлуночка достовірно вищій</w:t>
      </w:r>
      <w:r w:rsidRPr="006959DC">
        <w:rPr>
          <w:rFonts w:ascii="Times New Roman" w:hAnsi="Times New Roman"/>
          <w:sz w:val="28"/>
        </w:rPr>
        <w:t xml:space="preserve"> за значення у хворих з наявніс</w:t>
      </w:r>
      <w:r>
        <w:rPr>
          <w:rFonts w:ascii="Times New Roman" w:hAnsi="Times New Roman"/>
          <w:sz w:val="28"/>
        </w:rPr>
        <w:t xml:space="preserve">тю нормальної геометрії </w:t>
      </w:r>
      <w:r w:rsidRPr="006959DC">
        <w:rPr>
          <w:rFonts w:ascii="Times New Roman" w:hAnsi="Times New Roman"/>
          <w:sz w:val="28"/>
        </w:rPr>
        <w:t>та к</w:t>
      </w:r>
      <w:r>
        <w:rPr>
          <w:rFonts w:ascii="Times New Roman" w:hAnsi="Times New Roman"/>
          <w:sz w:val="28"/>
        </w:rPr>
        <w:t xml:space="preserve">онцентричного ремоделювання лівого шлуночка </w:t>
      </w:r>
      <w:r w:rsidRPr="00255E33">
        <w:rPr>
          <w:rFonts w:ascii="Times New Roman" w:hAnsi="Times New Roman"/>
          <w:bCs/>
          <w:iCs/>
          <w:sz w:val="28"/>
          <w:szCs w:val="28"/>
        </w:rPr>
        <w:t>(р&lt;0,0</w:t>
      </w:r>
      <w:r w:rsidRPr="00BC018D">
        <w:rPr>
          <w:rFonts w:ascii="Times New Roman" w:hAnsi="Times New Roman"/>
          <w:bCs/>
          <w:iCs/>
          <w:sz w:val="28"/>
          <w:szCs w:val="28"/>
        </w:rPr>
        <w:t>5)</w:t>
      </w:r>
      <w:r w:rsidRPr="006959DC">
        <w:rPr>
          <w:rFonts w:ascii="Times New Roman" w:hAnsi="Times New Roman"/>
          <w:sz w:val="28"/>
        </w:rPr>
        <w:t>.</w:t>
      </w:r>
    </w:p>
    <w:p w:rsidR="00E9787A" w:rsidRPr="007F5722" w:rsidRDefault="00D665D5" w:rsidP="00D665D5">
      <w:pPr>
        <w:pStyle w:val="a8"/>
        <w:numPr>
          <w:ilvl w:val="0"/>
          <w:numId w:val="40"/>
        </w:numPr>
        <w:spacing w:after="0" w:line="360" w:lineRule="auto"/>
        <w:ind w:left="0" w:firstLine="709"/>
        <w:jc w:val="both"/>
        <w:rPr>
          <w:rFonts w:ascii="Times New Roman" w:hAnsi="Times New Roman" w:cs="Times New Roman"/>
          <w:sz w:val="28"/>
          <w:szCs w:val="28"/>
        </w:rPr>
      </w:pPr>
      <w:r>
        <w:rPr>
          <w:rFonts w:ascii="Times New Roman" w:hAnsi="Times New Roman"/>
          <w:bCs/>
          <w:iCs/>
          <w:sz w:val="28"/>
          <w:szCs w:val="28"/>
        </w:rPr>
        <w:t xml:space="preserve">У хворих з коморбідним перебігом </w:t>
      </w:r>
      <w:r w:rsidRPr="009708B8">
        <w:rPr>
          <w:rFonts w:ascii="Times New Roman" w:hAnsi="Times New Roman"/>
          <w:bCs/>
          <w:iCs/>
          <w:sz w:val="28"/>
          <w:szCs w:val="28"/>
        </w:rPr>
        <w:t xml:space="preserve">гіпертонічної хвороби та ожиріння </w:t>
      </w:r>
      <w:r>
        <w:rPr>
          <w:rFonts w:ascii="Times New Roman" w:hAnsi="Times New Roman"/>
          <w:bCs/>
          <w:iCs/>
          <w:sz w:val="28"/>
          <w:szCs w:val="28"/>
        </w:rPr>
        <w:t>простежується</w:t>
      </w:r>
      <w:r w:rsidRPr="009708B8">
        <w:rPr>
          <w:rFonts w:ascii="Times New Roman" w:hAnsi="Times New Roman"/>
          <w:bCs/>
          <w:iCs/>
          <w:sz w:val="28"/>
          <w:szCs w:val="28"/>
        </w:rPr>
        <w:t xml:space="preserve"> взаємозв’язок між рівнем інтерлейкіну-22 і</w:t>
      </w:r>
      <w:r w:rsidRPr="009708B8">
        <w:rPr>
          <w:rFonts w:ascii="Times New Roman" w:hAnsi="Times New Roman"/>
          <w:bCs/>
          <w:iCs/>
          <w:color w:val="0070C0"/>
          <w:sz w:val="28"/>
          <w:szCs w:val="28"/>
        </w:rPr>
        <w:t xml:space="preserve"> </w:t>
      </w:r>
      <w:r w:rsidRPr="009708B8">
        <w:rPr>
          <w:rFonts w:ascii="Times New Roman" w:hAnsi="Times New Roman"/>
          <w:bCs/>
          <w:iCs/>
          <w:sz w:val="28"/>
          <w:szCs w:val="28"/>
        </w:rPr>
        <w:t>аполіпопротеїну В та характером структурних змін загальних сонних артерій, а саме формуванням концентричної гіпертрофії та концентричного ремоделювання загальних сонних артерій</w:t>
      </w:r>
      <w:r>
        <w:rPr>
          <w:rFonts w:ascii="Times New Roman" w:hAnsi="Times New Roman"/>
          <w:bCs/>
          <w:iCs/>
          <w:sz w:val="28"/>
          <w:szCs w:val="28"/>
        </w:rPr>
        <w:t>.</w:t>
      </w:r>
    </w:p>
    <w:p w:rsidR="00921E31" w:rsidRPr="007F5722" w:rsidRDefault="00921E31" w:rsidP="00E9787A">
      <w:pPr>
        <w:spacing w:after="0" w:line="360" w:lineRule="auto"/>
        <w:jc w:val="center"/>
        <w:rPr>
          <w:rFonts w:ascii="Times New Roman" w:hAnsi="Times New Roman" w:cs="Times New Roman"/>
          <w:b/>
          <w:sz w:val="28"/>
          <w:szCs w:val="28"/>
        </w:rPr>
      </w:pPr>
    </w:p>
    <w:p w:rsidR="00E9787A" w:rsidRPr="007F5722" w:rsidRDefault="00E9787A" w:rsidP="00E9787A">
      <w:pPr>
        <w:spacing w:after="0" w:line="360" w:lineRule="auto"/>
        <w:jc w:val="center"/>
        <w:rPr>
          <w:rFonts w:ascii="Times New Roman" w:hAnsi="Times New Roman" w:cs="Times New Roman"/>
          <w:b/>
          <w:sz w:val="28"/>
          <w:szCs w:val="28"/>
        </w:rPr>
      </w:pPr>
      <w:r w:rsidRPr="007F5722">
        <w:rPr>
          <w:rFonts w:ascii="Times New Roman" w:hAnsi="Times New Roman" w:cs="Times New Roman"/>
          <w:b/>
          <w:sz w:val="28"/>
          <w:szCs w:val="28"/>
        </w:rPr>
        <w:t>ПРАКТИЧНІ РЕКОМЕНДАЦІЇ</w:t>
      </w:r>
    </w:p>
    <w:p w:rsidR="00D665D5" w:rsidRPr="00DB161F" w:rsidRDefault="00D665D5" w:rsidP="00D665D5">
      <w:pPr>
        <w:pStyle w:val="a8"/>
        <w:numPr>
          <w:ilvl w:val="0"/>
          <w:numId w:val="24"/>
        </w:numPr>
        <w:spacing w:after="0" w:line="360" w:lineRule="auto"/>
        <w:ind w:left="0" w:firstLine="709"/>
        <w:jc w:val="both"/>
        <w:rPr>
          <w:rFonts w:ascii="Times New Roman" w:hAnsi="Times New Roman"/>
          <w:sz w:val="28"/>
          <w:szCs w:val="28"/>
        </w:rPr>
      </w:pPr>
      <w:r w:rsidRPr="00DB161F">
        <w:rPr>
          <w:rFonts w:ascii="Times New Roman" w:hAnsi="Times New Roman"/>
          <w:sz w:val="28"/>
          <w:szCs w:val="28"/>
        </w:rPr>
        <w:t xml:space="preserve">З метою ранньої діагностики проатерогенних порушень та </w:t>
      </w:r>
      <w:r>
        <w:rPr>
          <w:rFonts w:ascii="Times New Roman" w:hAnsi="Times New Roman"/>
          <w:sz w:val="28"/>
          <w:szCs w:val="28"/>
        </w:rPr>
        <w:t xml:space="preserve">субклінічного ураження </w:t>
      </w:r>
      <w:r w:rsidRPr="00DB161F">
        <w:rPr>
          <w:rFonts w:ascii="Times New Roman" w:hAnsi="Times New Roman"/>
          <w:sz w:val="28"/>
          <w:szCs w:val="28"/>
        </w:rPr>
        <w:t>судин хворим</w:t>
      </w:r>
      <w:r w:rsidRPr="00DB161F">
        <w:rPr>
          <w:sz w:val="28"/>
          <w:szCs w:val="28"/>
        </w:rPr>
        <w:t xml:space="preserve"> </w:t>
      </w:r>
      <w:r w:rsidRPr="00DB161F">
        <w:rPr>
          <w:rFonts w:ascii="Times New Roman" w:hAnsi="Times New Roman"/>
          <w:sz w:val="28"/>
          <w:szCs w:val="28"/>
        </w:rPr>
        <w:t>на гіпертонічну хворобу з ожирінням рекомендовано комплексне дослідження показників ліпідного спектру, ап</w:t>
      </w:r>
      <w:r>
        <w:rPr>
          <w:rFonts w:ascii="Times New Roman" w:hAnsi="Times New Roman"/>
          <w:sz w:val="28"/>
          <w:szCs w:val="28"/>
        </w:rPr>
        <w:t>оліпопротеїну В</w:t>
      </w:r>
      <w:r w:rsidRPr="00DB161F">
        <w:rPr>
          <w:rFonts w:ascii="Times New Roman" w:hAnsi="Times New Roman"/>
          <w:sz w:val="28"/>
          <w:szCs w:val="28"/>
        </w:rPr>
        <w:t xml:space="preserve"> та проведення ультразвукового дослідження екстракраніальних судин.</w:t>
      </w:r>
    </w:p>
    <w:p w:rsidR="00D665D5" w:rsidRPr="00DB161F" w:rsidRDefault="00D665D5" w:rsidP="00D665D5">
      <w:pPr>
        <w:pStyle w:val="a8"/>
        <w:numPr>
          <w:ilvl w:val="0"/>
          <w:numId w:val="24"/>
        </w:numPr>
        <w:spacing w:after="0" w:line="360" w:lineRule="auto"/>
        <w:ind w:left="0" w:firstLine="709"/>
        <w:jc w:val="both"/>
        <w:rPr>
          <w:rFonts w:ascii="Times New Roman" w:hAnsi="Times New Roman"/>
          <w:bCs/>
          <w:sz w:val="28"/>
          <w:szCs w:val="28"/>
        </w:rPr>
      </w:pPr>
      <w:r w:rsidRPr="00DB161F">
        <w:rPr>
          <w:rFonts w:ascii="Times New Roman" w:hAnsi="Times New Roman"/>
          <w:sz w:val="28"/>
          <w:szCs w:val="28"/>
        </w:rPr>
        <w:t xml:space="preserve">Для виявлення прихованих порушень ліпідного профілю на етапі безсимптомного атеросклеротичного ураження судин хворим на гіпертонічну хворобу з супутнім ожирінням з нормальними показниками натще </w:t>
      </w:r>
      <w:r w:rsidRPr="007842EC">
        <w:rPr>
          <w:rFonts w:ascii="Times New Roman" w:hAnsi="Times New Roman"/>
          <w:sz w:val="28"/>
          <w:szCs w:val="28"/>
        </w:rPr>
        <w:t>рекомендується</w:t>
      </w:r>
      <w:r w:rsidRPr="00DB161F">
        <w:rPr>
          <w:rFonts w:ascii="Times New Roman" w:hAnsi="Times New Roman"/>
          <w:sz w:val="28"/>
          <w:szCs w:val="28"/>
        </w:rPr>
        <w:t xml:space="preserve"> проводити визначення ліпідів крові через 6 годин після стандартного жирового навантаження в комплексі з оцінкою рівня інтерлейкіну-22.</w:t>
      </w:r>
    </w:p>
    <w:p w:rsidR="00A274D9" w:rsidRPr="007F5722" w:rsidRDefault="00D665D5" w:rsidP="00D665D5">
      <w:pPr>
        <w:pStyle w:val="a8"/>
        <w:numPr>
          <w:ilvl w:val="0"/>
          <w:numId w:val="24"/>
        </w:numPr>
        <w:spacing w:after="0" w:line="360" w:lineRule="auto"/>
        <w:ind w:left="0" w:firstLine="709"/>
        <w:jc w:val="both"/>
        <w:rPr>
          <w:rFonts w:ascii="Times New Roman" w:hAnsi="Times New Roman" w:cs="Times New Roman"/>
          <w:bCs/>
          <w:sz w:val="28"/>
          <w:szCs w:val="28"/>
        </w:rPr>
      </w:pPr>
      <w:r w:rsidRPr="00632756">
        <w:rPr>
          <w:rFonts w:ascii="Times New Roman" w:hAnsi="Times New Roman"/>
          <w:sz w:val="28"/>
          <w:szCs w:val="28"/>
        </w:rPr>
        <w:t>Для своєчасного призначення заходів щодо модифікації стилю життя, що дозволить запобігти розвитку ускладнень гіпертонічної хвороби в поєднанні з ожирінням</w:t>
      </w:r>
      <w:r>
        <w:rPr>
          <w:rFonts w:ascii="Times New Roman" w:hAnsi="Times New Roman"/>
          <w:sz w:val="28"/>
          <w:szCs w:val="28"/>
        </w:rPr>
        <w:t>,</w:t>
      </w:r>
      <w:r w:rsidRPr="00632756">
        <w:rPr>
          <w:rFonts w:ascii="Times New Roman" w:hAnsi="Times New Roman"/>
          <w:sz w:val="28"/>
          <w:szCs w:val="28"/>
        </w:rPr>
        <w:t xml:space="preserve"> рекомендовано досліджувати плазматичний рівень інтерлейкіну-22 у якості маркера та предиктора гіпертензії, дисліпідемії, надмірної маси тіла та ожиріння.</w:t>
      </w:r>
    </w:p>
    <w:p w:rsidR="00A274D9" w:rsidRPr="007F5722" w:rsidRDefault="00A274D9" w:rsidP="00A274D9">
      <w:pPr>
        <w:pStyle w:val="a8"/>
        <w:numPr>
          <w:ilvl w:val="0"/>
          <w:numId w:val="24"/>
        </w:numPr>
        <w:spacing w:after="0" w:line="360" w:lineRule="auto"/>
        <w:ind w:left="0" w:firstLine="709"/>
        <w:jc w:val="both"/>
        <w:rPr>
          <w:rFonts w:ascii="Times New Roman" w:hAnsi="Times New Roman" w:cs="Times New Roman"/>
          <w:bCs/>
          <w:sz w:val="28"/>
          <w:szCs w:val="28"/>
        </w:rPr>
        <w:sectPr w:rsidR="00A274D9" w:rsidRPr="007F5722" w:rsidSect="00E9787A">
          <w:pgSz w:w="11906" w:h="16838"/>
          <w:pgMar w:top="1134" w:right="850" w:bottom="1134" w:left="1701" w:header="708" w:footer="708" w:gutter="0"/>
          <w:cols w:space="708"/>
          <w:docGrid w:linePitch="360"/>
        </w:sectPr>
      </w:pPr>
    </w:p>
    <w:p w:rsidR="00772014" w:rsidRPr="007F5722" w:rsidRDefault="00A274D9" w:rsidP="00A274D9">
      <w:pPr>
        <w:spacing w:after="0" w:line="360" w:lineRule="auto"/>
        <w:jc w:val="center"/>
        <w:rPr>
          <w:rFonts w:ascii="Times New Roman" w:hAnsi="Times New Roman" w:cs="Times New Roman"/>
          <w:b/>
          <w:sz w:val="28"/>
          <w:szCs w:val="28"/>
        </w:rPr>
      </w:pPr>
      <w:r w:rsidRPr="007F5722">
        <w:rPr>
          <w:rFonts w:ascii="Times New Roman" w:hAnsi="Times New Roman" w:cs="Times New Roman"/>
          <w:b/>
          <w:sz w:val="28"/>
          <w:szCs w:val="28"/>
        </w:rPr>
        <w:lastRenderedPageBreak/>
        <w:t>СПИСОК ВИКОРИСТАНОЇ ЛІТЕРАТУРИ</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rPr>
        <w:t>Коваленк</w:t>
      </w:r>
      <w:r w:rsidRPr="007F5722">
        <w:rPr>
          <w:rFonts w:ascii="Times New Roman" w:hAnsi="Times New Roman" w:cs="Times New Roman"/>
          <w:sz w:val="28"/>
          <w:szCs w:val="28"/>
          <w:lang w:val="ru-RU"/>
        </w:rPr>
        <w:t>о</w:t>
      </w:r>
      <w:r w:rsidRPr="007F5722">
        <w:rPr>
          <w:rFonts w:ascii="Times New Roman" w:hAnsi="Times New Roman" w:cs="Times New Roman"/>
          <w:sz w:val="28"/>
          <w:szCs w:val="28"/>
        </w:rPr>
        <w:t xml:space="preserve"> ВМ, Корнацьк</w:t>
      </w:r>
      <w:r w:rsidRPr="007F5722">
        <w:rPr>
          <w:rFonts w:ascii="Times New Roman" w:hAnsi="Times New Roman" w:cs="Times New Roman"/>
          <w:sz w:val="28"/>
          <w:szCs w:val="28"/>
          <w:lang w:val="ru-RU"/>
        </w:rPr>
        <w:t>ий</w:t>
      </w:r>
      <w:r w:rsidRPr="007F5722">
        <w:rPr>
          <w:rFonts w:ascii="Times New Roman" w:hAnsi="Times New Roman" w:cs="Times New Roman"/>
          <w:sz w:val="28"/>
          <w:szCs w:val="28"/>
        </w:rPr>
        <w:t xml:space="preserve"> ВМ</w:t>
      </w:r>
      <w:r w:rsidRPr="007F5722">
        <w:rPr>
          <w:rFonts w:ascii="Times New Roman" w:hAnsi="Times New Roman" w:cs="Times New Roman"/>
          <w:sz w:val="28"/>
          <w:szCs w:val="28"/>
          <w:lang w:val="ru-RU"/>
        </w:rPr>
        <w:t xml:space="preserve">, </w:t>
      </w:r>
      <w:r w:rsidRPr="007F5722">
        <w:rPr>
          <w:rFonts w:ascii="Times New Roman" w:hAnsi="Times New Roman" w:cs="Times New Roman"/>
          <w:sz w:val="28"/>
          <w:szCs w:val="28"/>
        </w:rPr>
        <w:t>редактори. Проблеми здоров’я і тривалості життя в сучасних умовах. Київ: Нац. акад. мед. наук України, ННЦ «Ін-т кардіології ім. акад. М.Д. Стражеска»; 2017. 209 с.</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sz w:val="28"/>
          <w:szCs w:val="28"/>
        </w:rPr>
        <w:t>Горбась ІМ. Високий серцево-судинний ризик населення України: вирок чи точка відліку. Львівський клінічний вісник</w:t>
      </w:r>
      <w:r w:rsidRPr="007F5722">
        <w:rPr>
          <w:rFonts w:ascii="Times New Roman" w:hAnsi="Times New Roman"/>
          <w:i/>
          <w:sz w:val="28"/>
          <w:szCs w:val="28"/>
        </w:rPr>
        <w:t>.</w:t>
      </w:r>
      <w:r w:rsidRPr="007F5722">
        <w:rPr>
          <w:rFonts w:ascii="Times New Roman" w:hAnsi="Times New Roman"/>
          <w:sz w:val="28"/>
          <w:szCs w:val="28"/>
        </w:rPr>
        <w:t xml:space="preserve"> 2013;3:45–48.</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sz w:val="28"/>
          <w:szCs w:val="28"/>
        </w:rPr>
        <w:t>Сіренко ЮМ. Медико-соціальні проблеми кардіологічної допомоги в Україні: шляхи вирішення. Проблеми безперервної мед. освіти та науки. 2014;2:6–10.</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 xml:space="preserve">World Health Organization (WHO). Obesity and overweight. 2018. [cited 2018 Feb 16]. </w:t>
      </w:r>
      <w:r w:rsidRPr="007F5722">
        <w:rPr>
          <w:rFonts w:ascii="Times New Roman" w:hAnsi="Times New Roman" w:cs="Times New Roman"/>
          <w:sz w:val="28"/>
          <w:szCs w:val="28"/>
        </w:rPr>
        <w:t>Available from:</w:t>
      </w:r>
      <w:r w:rsidRPr="007F5722">
        <w:rPr>
          <w:rFonts w:ascii="Times New Roman" w:hAnsi="Times New Roman" w:cs="Times New Roman"/>
          <w:sz w:val="28"/>
          <w:szCs w:val="28"/>
          <w:lang w:val="en-US"/>
        </w:rPr>
        <w:t xml:space="preserve"> </w:t>
      </w:r>
    </w:p>
    <w:p w:rsidR="007F5722" w:rsidRPr="007F5722" w:rsidRDefault="000B5F47" w:rsidP="007F5722">
      <w:pPr>
        <w:rPr>
          <w:rFonts w:ascii="Times New Roman" w:hAnsi="Times New Roman"/>
          <w:sz w:val="28"/>
          <w:szCs w:val="28"/>
        </w:rPr>
      </w:pPr>
      <w:hyperlink r:id="rId51" w:history="1">
        <w:r w:rsidR="007F5722" w:rsidRPr="007F5722">
          <w:rPr>
            <w:rStyle w:val="aa"/>
            <w:rFonts w:ascii="Times New Roman" w:hAnsi="Times New Roman"/>
            <w:color w:val="auto"/>
            <w:sz w:val="28"/>
            <w:szCs w:val="28"/>
            <w:u w:val="none"/>
          </w:rPr>
          <w:t>https://www.who.int/news-room/fact-sheets/detail/obesity-and-overweight</w:t>
        </w:r>
      </w:hyperlink>
      <w:r w:rsidR="007F5722" w:rsidRPr="007F5722">
        <w:rPr>
          <w:rFonts w:ascii="Times New Roman" w:hAnsi="Times New Roman"/>
          <w:sz w:val="28"/>
          <w:szCs w:val="28"/>
        </w:rPr>
        <w:t xml:space="preserve">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sz w:val="28"/>
          <w:szCs w:val="28"/>
        </w:rPr>
        <w:t>Kannel WB</w:t>
      </w:r>
      <w:r w:rsidRPr="007F5722">
        <w:rPr>
          <w:rFonts w:ascii="Times New Roman" w:hAnsi="Times New Roman"/>
          <w:sz w:val="28"/>
          <w:szCs w:val="28"/>
          <w:lang w:val="en-US"/>
        </w:rPr>
        <w:t xml:space="preserve">., </w:t>
      </w:r>
      <w:r w:rsidRPr="007F5722">
        <w:rPr>
          <w:rFonts w:ascii="Times New Roman" w:hAnsi="Times New Roman"/>
          <w:sz w:val="28"/>
          <w:szCs w:val="28"/>
        </w:rPr>
        <w:t>Larson M.</w:t>
      </w:r>
      <w:r w:rsidRPr="007F5722">
        <w:rPr>
          <w:rFonts w:ascii="Times New Roman" w:hAnsi="Times New Roman"/>
          <w:sz w:val="28"/>
          <w:szCs w:val="28"/>
          <w:lang w:val="en-US"/>
        </w:rPr>
        <w:t xml:space="preserve"> </w:t>
      </w:r>
      <w:r w:rsidRPr="007F5722">
        <w:rPr>
          <w:rFonts w:ascii="Times New Roman" w:hAnsi="Times New Roman"/>
          <w:sz w:val="28"/>
          <w:szCs w:val="28"/>
        </w:rPr>
        <w:t>Long-term epidemiologic prediction</w:t>
      </w:r>
      <w:r w:rsidRPr="007F5722">
        <w:rPr>
          <w:rFonts w:ascii="Times New Roman" w:hAnsi="Times New Roman"/>
          <w:sz w:val="28"/>
          <w:szCs w:val="28"/>
          <w:lang w:val="en-US"/>
        </w:rPr>
        <w:t xml:space="preserve"> </w:t>
      </w:r>
      <w:r w:rsidRPr="007F5722">
        <w:rPr>
          <w:rFonts w:ascii="Times New Roman" w:hAnsi="Times New Roman"/>
          <w:sz w:val="28"/>
          <w:szCs w:val="28"/>
        </w:rPr>
        <w:t>of</w:t>
      </w:r>
      <w:r w:rsidRPr="007F5722">
        <w:rPr>
          <w:rFonts w:ascii="Times New Roman" w:hAnsi="Times New Roman"/>
          <w:sz w:val="28"/>
          <w:szCs w:val="28"/>
          <w:lang w:val="en-US"/>
        </w:rPr>
        <w:t xml:space="preserve"> </w:t>
      </w:r>
      <w:r w:rsidRPr="007F5722">
        <w:rPr>
          <w:rFonts w:ascii="Times New Roman" w:hAnsi="Times New Roman"/>
          <w:sz w:val="28"/>
          <w:szCs w:val="28"/>
        </w:rPr>
        <w:t>coronary</w:t>
      </w:r>
      <w:r w:rsidRPr="007F5722">
        <w:rPr>
          <w:rFonts w:ascii="Times New Roman" w:hAnsi="Times New Roman"/>
          <w:sz w:val="28"/>
          <w:szCs w:val="28"/>
          <w:lang w:val="en-US"/>
        </w:rPr>
        <w:t xml:space="preserve"> </w:t>
      </w:r>
      <w:r w:rsidRPr="007F5722">
        <w:rPr>
          <w:rFonts w:ascii="Times New Roman" w:hAnsi="Times New Roman"/>
          <w:sz w:val="28"/>
          <w:szCs w:val="28"/>
        </w:rPr>
        <w:t>disease. TheFramingham experience.</w:t>
      </w:r>
      <w:r w:rsidRPr="007F5722">
        <w:rPr>
          <w:rFonts w:ascii="Times New Roman" w:hAnsi="Times New Roman"/>
          <w:i/>
          <w:sz w:val="28"/>
          <w:szCs w:val="28"/>
        </w:rPr>
        <w:t xml:space="preserve"> </w:t>
      </w:r>
      <w:r w:rsidRPr="007F5722">
        <w:rPr>
          <w:rFonts w:ascii="Times New Roman" w:hAnsi="Times New Roman"/>
          <w:sz w:val="28"/>
          <w:szCs w:val="28"/>
        </w:rPr>
        <w:t>Cardiology. 1993;82:137-152.</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sz w:val="28"/>
          <w:szCs w:val="28"/>
        </w:rPr>
        <w:t>Каминский АВ. Ожирение: эпидемилогия, риск для здоров’я, классификция и формы распределения жировой ткани. Ліки України. 2005;2:37-41.</w:t>
      </w:r>
    </w:p>
    <w:p w:rsidR="007F5722" w:rsidRPr="007F5722" w:rsidRDefault="000B5F47" w:rsidP="007F5722">
      <w:pPr>
        <w:pStyle w:val="a8"/>
        <w:numPr>
          <w:ilvl w:val="0"/>
          <w:numId w:val="25"/>
        </w:numPr>
        <w:spacing w:after="0" w:line="360" w:lineRule="auto"/>
        <w:ind w:left="0" w:firstLine="357"/>
        <w:jc w:val="both"/>
        <w:rPr>
          <w:rFonts w:ascii="Times New Roman" w:hAnsi="Times New Roman" w:cs="Times New Roman"/>
          <w:sz w:val="28"/>
          <w:szCs w:val="28"/>
        </w:rPr>
      </w:pPr>
      <w:hyperlink r:id="rId52" w:history="1">
        <w:r w:rsidR="007F5722" w:rsidRPr="007F5722">
          <w:rPr>
            <w:rStyle w:val="aa"/>
            <w:rFonts w:ascii="Times New Roman" w:hAnsi="Times New Roman"/>
            <w:color w:val="auto"/>
            <w:sz w:val="28"/>
            <w:szCs w:val="28"/>
            <w:u w:val="none"/>
            <w:lang w:val="en-US"/>
          </w:rPr>
          <w:t>Erbel</w:t>
        </w:r>
        <w:r w:rsidR="007F5722" w:rsidRPr="007F5722">
          <w:rPr>
            <w:rStyle w:val="aa"/>
            <w:rFonts w:ascii="Times New Roman" w:hAnsi="Times New Roman"/>
            <w:color w:val="auto"/>
            <w:sz w:val="28"/>
            <w:szCs w:val="28"/>
            <w:u w:val="none"/>
          </w:rPr>
          <w:t xml:space="preserve"> </w:t>
        </w:r>
        <w:r w:rsidR="007F5722" w:rsidRPr="007F5722">
          <w:rPr>
            <w:rStyle w:val="aa"/>
            <w:rFonts w:ascii="Times New Roman" w:hAnsi="Times New Roman"/>
            <w:color w:val="auto"/>
            <w:sz w:val="28"/>
            <w:szCs w:val="28"/>
            <w:u w:val="none"/>
            <w:lang w:val="en-US"/>
          </w:rPr>
          <w:t>R</w:t>
        </w:r>
      </w:hyperlink>
      <w:r w:rsidR="007F5722" w:rsidRPr="007F5722">
        <w:rPr>
          <w:rFonts w:ascii="Times New Roman" w:hAnsi="Times New Roman"/>
          <w:sz w:val="28"/>
          <w:szCs w:val="28"/>
        </w:rPr>
        <w:t xml:space="preserve">, </w:t>
      </w:r>
      <w:hyperlink r:id="rId53" w:history="1">
        <w:r w:rsidR="007F5722" w:rsidRPr="007F5722">
          <w:rPr>
            <w:rStyle w:val="aa"/>
            <w:rFonts w:ascii="Times New Roman" w:hAnsi="Times New Roman"/>
            <w:color w:val="auto"/>
            <w:sz w:val="28"/>
            <w:szCs w:val="28"/>
            <w:u w:val="none"/>
            <w:lang w:val="en-US"/>
          </w:rPr>
          <w:t>Lehmann</w:t>
        </w:r>
        <w:r w:rsidR="007F5722" w:rsidRPr="007F5722">
          <w:rPr>
            <w:rStyle w:val="aa"/>
            <w:rFonts w:ascii="Times New Roman" w:hAnsi="Times New Roman"/>
            <w:color w:val="auto"/>
            <w:sz w:val="28"/>
            <w:szCs w:val="28"/>
            <w:u w:val="none"/>
          </w:rPr>
          <w:t xml:space="preserve"> </w:t>
        </w:r>
        <w:r w:rsidR="007F5722" w:rsidRPr="007F5722">
          <w:rPr>
            <w:rStyle w:val="aa"/>
            <w:rFonts w:ascii="Times New Roman" w:hAnsi="Times New Roman"/>
            <w:color w:val="auto"/>
            <w:sz w:val="28"/>
            <w:szCs w:val="28"/>
            <w:u w:val="none"/>
            <w:lang w:val="en-US"/>
          </w:rPr>
          <w:t>N</w:t>
        </w:r>
      </w:hyperlink>
      <w:r w:rsidR="007F5722" w:rsidRPr="007F5722">
        <w:rPr>
          <w:rFonts w:ascii="Times New Roman" w:hAnsi="Times New Roman"/>
          <w:sz w:val="28"/>
          <w:szCs w:val="28"/>
        </w:rPr>
        <w:t xml:space="preserve">, </w:t>
      </w:r>
      <w:hyperlink r:id="rId54" w:history="1">
        <w:r w:rsidR="007F5722" w:rsidRPr="007F5722">
          <w:rPr>
            <w:rStyle w:val="aa"/>
            <w:rFonts w:ascii="Times New Roman" w:hAnsi="Times New Roman"/>
            <w:color w:val="auto"/>
            <w:sz w:val="28"/>
            <w:szCs w:val="28"/>
            <w:u w:val="none"/>
            <w:lang w:val="en-US"/>
          </w:rPr>
          <w:t>Churzidse</w:t>
        </w:r>
        <w:r w:rsidR="007F5722" w:rsidRPr="007F5722">
          <w:rPr>
            <w:rStyle w:val="aa"/>
            <w:rFonts w:ascii="Times New Roman" w:hAnsi="Times New Roman"/>
            <w:color w:val="auto"/>
            <w:sz w:val="28"/>
            <w:szCs w:val="28"/>
            <w:u w:val="none"/>
          </w:rPr>
          <w:t xml:space="preserve"> </w:t>
        </w:r>
        <w:r w:rsidR="007F5722" w:rsidRPr="007F5722">
          <w:rPr>
            <w:rStyle w:val="aa"/>
            <w:rFonts w:ascii="Times New Roman" w:hAnsi="Times New Roman"/>
            <w:color w:val="auto"/>
            <w:sz w:val="28"/>
            <w:szCs w:val="28"/>
            <w:u w:val="none"/>
            <w:lang w:val="en-US"/>
          </w:rPr>
          <w:t>S</w:t>
        </w:r>
      </w:hyperlink>
      <w:r w:rsidR="007F5722" w:rsidRPr="007F5722">
        <w:rPr>
          <w:rFonts w:ascii="Times New Roman" w:hAnsi="Times New Roman"/>
          <w:sz w:val="28"/>
          <w:szCs w:val="28"/>
        </w:rPr>
        <w:t xml:space="preserve">, </w:t>
      </w:r>
      <w:hyperlink r:id="rId55" w:history="1">
        <w:r w:rsidR="007F5722" w:rsidRPr="007F5722">
          <w:rPr>
            <w:rFonts w:ascii="Times New Roman" w:hAnsi="Times New Roman" w:cs="Times New Roman"/>
            <w:sz w:val="28"/>
            <w:szCs w:val="28"/>
            <w:lang w:val="en-US"/>
          </w:rPr>
          <w:t>M</w:t>
        </w:r>
        <w:r w:rsidR="007F5722" w:rsidRPr="007F5722">
          <w:rPr>
            <w:rFonts w:ascii="Times New Roman" w:hAnsi="Times New Roman" w:cs="Times New Roman"/>
            <w:sz w:val="28"/>
            <w:szCs w:val="28"/>
          </w:rPr>
          <w:t>ö</w:t>
        </w:r>
        <w:r w:rsidR="007F5722" w:rsidRPr="007F5722">
          <w:rPr>
            <w:rFonts w:ascii="Times New Roman" w:hAnsi="Times New Roman" w:cs="Times New Roman"/>
            <w:sz w:val="28"/>
            <w:szCs w:val="28"/>
            <w:lang w:val="en-US"/>
          </w:rPr>
          <w:t>hlenkamp</w:t>
        </w:r>
        <w:r w:rsidR="007F5722" w:rsidRPr="007F5722">
          <w:rPr>
            <w:rFonts w:ascii="Times New Roman" w:hAnsi="Times New Roman" w:cs="Times New Roman"/>
            <w:sz w:val="28"/>
            <w:szCs w:val="28"/>
          </w:rPr>
          <w:t xml:space="preserve"> </w:t>
        </w:r>
        <w:r w:rsidR="007F5722" w:rsidRPr="007F5722">
          <w:rPr>
            <w:rFonts w:ascii="Times New Roman" w:hAnsi="Times New Roman" w:cs="Times New Roman"/>
            <w:sz w:val="28"/>
            <w:szCs w:val="28"/>
            <w:lang w:val="en-US"/>
          </w:rPr>
          <w:t>S</w:t>
        </w:r>
      </w:hyperlink>
      <w:r w:rsidR="007F5722" w:rsidRPr="007F5722">
        <w:rPr>
          <w:rFonts w:ascii="Times New Roman" w:hAnsi="Times New Roman" w:cs="Times New Roman"/>
          <w:sz w:val="28"/>
          <w:szCs w:val="28"/>
        </w:rPr>
        <w:t xml:space="preserve">, </w:t>
      </w:r>
      <w:hyperlink r:id="rId56" w:history="1">
        <w:r w:rsidR="007F5722" w:rsidRPr="007F5722">
          <w:rPr>
            <w:rFonts w:ascii="Times New Roman" w:hAnsi="Times New Roman" w:cs="Times New Roman"/>
            <w:sz w:val="28"/>
            <w:szCs w:val="28"/>
            <w:lang w:val="en-US"/>
          </w:rPr>
          <w:t>Moebus</w:t>
        </w:r>
        <w:r w:rsidR="007F5722" w:rsidRPr="007F5722">
          <w:rPr>
            <w:rFonts w:ascii="Times New Roman" w:hAnsi="Times New Roman" w:cs="Times New Roman"/>
            <w:sz w:val="28"/>
            <w:szCs w:val="28"/>
          </w:rPr>
          <w:t xml:space="preserve"> </w:t>
        </w:r>
        <w:r w:rsidR="007F5722" w:rsidRPr="007F5722">
          <w:rPr>
            <w:rFonts w:ascii="Times New Roman" w:hAnsi="Times New Roman" w:cs="Times New Roman"/>
            <w:sz w:val="28"/>
            <w:szCs w:val="28"/>
            <w:lang w:val="en-US"/>
          </w:rPr>
          <w:t>S</w:t>
        </w:r>
      </w:hyperlink>
      <w:r w:rsidR="007F5722" w:rsidRPr="007F5722">
        <w:rPr>
          <w:rFonts w:ascii="Times New Roman" w:hAnsi="Times New Roman" w:cs="Times New Roman"/>
          <w:sz w:val="28"/>
          <w:szCs w:val="28"/>
        </w:rPr>
        <w:t xml:space="preserve">, </w:t>
      </w:r>
      <w:hyperlink r:id="rId57" w:history="1">
        <w:r w:rsidR="007F5722" w:rsidRPr="007F5722">
          <w:rPr>
            <w:rFonts w:ascii="Times New Roman" w:hAnsi="Times New Roman" w:cs="Times New Roman"/>
            <w:sz w:val="28"/>
            <w:szCs w:val="28"/>
            <w:lang w:val="en-US"/>
          </w:rPr>
          <w:t>Mahabadi AA</w:t>
        </w:r>
      </w:hyperlink>
      <w:r w:rsidR="007F5722" w:rsidRPr="007F5722">
        <w:rPr>
          <w:rFonts w:ascii="Times New Roman" w:hAnsi="Times New Roman" w:cs="Times New Roman"/>
          <w:sz w:val="28"/>
          <w:szCs w:val="28"/>
        </w:rPr>
        <w:t>.</w:t>
      </w:r>
      <w:r w:rsidR="007F5722" w:rsidRPr="007F5722">
        <w:rPr>
          <w:rFonts w:ascii="Times New Roman" w:hAnsi="Times New Roman"/>
          <w:sz w:val="28"/>
          <w:szCs w:val="28"/>
        </w:rPr>
        <w:t xml:space="preserve"> </w:t>
      </w:r>
      <w:r w:rsidR="007F5722" w:rsidRPr="007F5722">
        <w:rPr>
          <w:rFonts w:ascii="Times New Roman" w:hAnsi="Times New Roman" w:cs="Times New Roman"/>
          <w:sz w:val="28"/>
          <w:szCs w:val="28"/>
          <w:lang w:val="en-US"/>
        </w:rPr>
        <w:t>et</w:t>
      </w:r>
      <w:r w:rsidR="007F5722" w:rsidRPr="007F5722">
        <w:rPr>
          <w:rFonts w:ascii="Times New Roman" w:hAnsi="Times New Roman" w:cs="Times New Roman"/>
          <w:sz w:val="28"/>
          <w:szCs w:val="28"/>
        </w:rPr>
        <w:t xml:space="preserve"> </w:t>
      </w:r>
      <w:r w:rsidR="007F5722" w:rsidRPr="007F5722">
        <w:rPr>
          <w:rFonts w:ascii="Times New Roman" w:hAnsi="Times New Roman" w:cs="Times New Roman"/>
          <w:sz w:val="28"/>
          <w:szCs w:val="28"/>
          <w:lang w:val="en-US"/>
        </w:rPr>
        <w:t>al</w:t>
      </w:r>
      <w:r w:rsidR="007F5722" w:rsidRPr="007F5722">
        <w:rPr>
          <w:rFonts w:ascii="Times New Roman" w:hAnsi="Times New Roman" w:cs="Times New Roman"/>
          <w:sz w:val="28"/>
          <w:szCs w:val="28"/>
        </w:rPr>
        <w:t xml:space="preserve">. </w:t>
      </w:r>
      <w:r w:rsidR="007F5722" w:rsidRPr="007F5722">
        <w:rPr>
          <w:rFonts w:ascii="Times New Roman" w:hAnsi="Times New Roman" w:cs="Times New Roman"/>
          <w:bCs/>
          <w:sz w:val="28"/>
          <w:szCs w:val="28"/>
          <w:lang w:val="en-US"/>
        </w:rPr>
        <w:t>Gender-specific association of coronary artery calcium and lipoprotein parameters: the Heinz Nixdorf Recall Study. Atherosclerosis</w:t>
      </w:r>
      <w:r w:rsidR="007F5722" w:rsidRPr="007F5722">
        <w:rPr>
          <w:rFonts w:ascii="Times New Roman" w:hAnsi="Times New Roman" w:cs="Times New Roman"/>
          <w:bCs/>
          <w:sz w:val="28"/>
          <w:szCs w:val="28"/>
        </w:rPr>
        <w:t>.</w:t>
      </w:r>
      <w:r w:rsidR="007F5722" w:rsidRPr="007F5722">
        <w:rPr>
          <w:rFonts w:ascii="Times New Roman" w:hAnsi="Times New Roman" w:cs="Times New Roman"/>
          <w:bCs/>
          <w:sz w:val="28"/>
          <w:szCs w:val="28"/>
          <w:lang w:val="en-US"/>
        </w:rPr>
        <w:t xml:space="preserve"> 2013;229(2):531-540.</w:t>
      </w:r>
    </w:p>
    <w:p w:rsidR="007F5722" w:rsidRPr="007F5722" w:rsidRDefault="000B5F47" w:rsidP="007F5722">
      <w:pPr>
        <w:pStyle w:val="a8"/>
        <w:numPr>
          <w:ilvl w:val="0"/>
          <w:numId w:val="25"/>
        </w:numPr>
        <w:spacing w:after="0" w:line="360" w:lineRule="auto"/>
        <w:ind w:left="0" w:firstLine="357"/>
        <w:jc w:val="both"/>
        <w:rPr>
          <w:rFonts w:ascii="Times New Roman" w:hAnsi="Times New Roman" w:cs="Times New Roman"/>
          <w:sz w:val="28"/>
          <w:szCs w:val="28"/>
        </w:rPr>
      </w:pPr>
      <w:hyperlink r:id="rId58" w:history="1">
        <w:r w:rsidR="007F5722" w:rsidRPr="007F5722">
          <w:rPr>
            <w:rStyle w:val="aa"/>
            <w:rFonts w:ascii="Times New Roman" w:hAnsi="Times New Roman"/>
            <w:color w:val="auto"/>
            <w:sz w:val="28"/>
            <w:szCs w:val="28"/>
            <w:u w:val="none"/>
            <w:lang w:val="en-US"/>
          </w:rPr>
          <w:t>Hyson D</w:t>
        </w:r>
      </w:hyperlink>
      <w:r w:rsidR="007F5722" w:rsidRPr="007F5722">
        <w:rPr>
          <w:rFonts w:ascii="Times New Roman" w:hAnsi="Times New Roman"/>
          <w:sz w:val="28"/>
          <w:szCs w:val="28"/>
          <w:lang w:val="en-US"/>
        </w:rPr>
        <w:t xml:space="preserve">, </w:t>
      </w:r>
      <w:hyperlink r:id="rId59" w:history="1">
        <w:r w:rsidR="007F5722" w:rsidRPr="007F5722">
          <w:rPr>
            <w:rStyle w:val="aa"/>
            <w:rFonts w:ascii="Times New Roman" w:hAnsi="Times New Roman"/>
            <w:color w:val="auto"/>
            <w:sz w:val="28"/>
            <w:szCs w:val="28"/>
            <w:u w:val="none"/>
            <w:lang w:val="en-US"/>
          </w:rPr>
          <w:t>Rutledge JC</w:t>
        </w:r>
      </w:hyperlink>
      <w:r w:rsidR="007F5722" w:rsidRPr="007F5722">
        <w:rPr>
          <w:rFonts w:ascii="Times New Roman" w:hAnsi="Times New Roman"/>
          <w:sz w:val="28"/>
          <w:szCs w:val="28"/>
          <w:lang w:val="en-US"/>
        </w:rPr>
        <w:t xml:space="preserve">, </w:t>
      </w:r>
      <w:hyperlink r:id="rId60" w:history="1">
        <w:r w:rsidR="007F5722" w:rsidRPr="007F5722">
          <w:rPr>
            <w:rStyle w:val="aa"/>
            <w:rFonts w:ascii="Times New Roman" w:hAnsi="Times New Roman"/>
            <w:color w:val="auto"/>
            <w:sz w:val="28"/>
            <w:szCs w:val="28"/>
            <w:u w:val="none"/>
            <w:lang w:val="en-US"/>
          </w:rPr>
          <w:t>Berglund L</w:t>
        </w:r>
      </w:hyperlink>
      <w:r w:rsidR="007F5722" w:rsidRPr="007F5722">
        <w:rPr>
          <w:rFonts w:ascii="Times New Roman" w:hAnsi="Times New Roman"/>
          <w:sz w:val="28"/>
          <w:szCs w:val="28"/>
          <w:lang w:val="en-US"/>
        </w:rPr>
        <w:t xml:space="preserve">. </w:t>
      </w:r>
      <w:r w:rsidR="007F5722" w:rsidRPr="007F5722">
        <w:rPr>
          <w:rFonts w:ascii="Times New Roman" w:hAnsi="Times New Roman"/>
          <w:bCs/>
          <w:sz w:val="28"/>
          <w:szCs w:val="28"/>
          <w:lang w:val="en-US"/>
        </w:rPr>
        <w:t xml:space="preserve">Postprandial lipemia and cardiovascular disease. </w:t>
      </w:r>
      <w:r w:rsidR="007F5722" w:rsidRPr="007F5722">
        <w:rPr>
          <w:rFonts w:ascii="Times New Roman" w:hAnsi="Times New Roman" w:cs="Times New Roman"/>
          <w:sz w:val="28"/>
          <w:szCs w:val="28"/>
          <w:lang w:val="en-US"/>
        </w:rPr>
        <w:t>Current Atherosclerosis Reports. 2003;5(6):437-444.</w:t>
      </w:r>
      <w:r w:rsidR="007F5722" w:rsidRPr="007F5722">
        <w:rPr>
          <w:rFonts w:ascii="Times New Roman" w:hAnsi="Times New Roman" w:cs="Times New Roman"/>
          <w:sz w:val="28"/>
          <w:szCs w:val="28"/>
        </w:rPr>
        <w:t xml:space="preserve">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sz w:val="28"/>
          <w:szCs w:val="28"/>
          <w:lang w:val="en-US"/>
        </w:rPr>
        <w:t>Charpentier G, Riveline JP, Dardari D, Varroud-Vial M. Should postprandial</w:t>
      </w:r>
      <w:r w:rsidRPr="007F5722">
        <w:rPr>
          <w:rFonts w:ascii="Times New Roman" w:hAnsi="Times New Roman"/>
          <w:sz w:val="28"/>
          <w:szCs w:val="28"/>
        </w:rPr>
        <w:t xml:space="preserve"> </w:t>
      </w:r>
      <w:r w:rsidRPr="007F5722">
        <w:rPr>
          <w:rFonts w:ascii="Times New Roman" w:hAnsi="Times New Roman"/>
          <w:sz w:val="28"/>
          <w:szCs w:val="28"/>
          <w:lang w:val="en-US"/>
        </w:rPr>
        <w:t>hyperglycaemia in prediabetic and type 2 diabetic patients be treated? Drugs</w:t>
      </w:r>
      <w:r w:rsidRPr="007F5722">
        <w:rPr>
          <w:rFonts w:ascii="Times New Roman" w:hAnsi="Times New Roman"/>
          <w:i/>
          <w:sz w:val="28"/>
          <w:szCs w:val="28"/>
          <w:lang w:val="en-US"/>
        </w:rPr>
        <w:t>.</w:t>
      </w:r>
      <w:r w:rsidRPr="007F5722">
        <w:rPr>
          <w:rFonts w:ascii="Times New Roman" w:hAnsi="Times New Roman"/>
          <w:sz w:val="28"/>
          <w:szCs w:val="28"/>
          <w:lang w:val="en-US"/>
        </w:rPr>
        <w:t>2006;66(3):273-286.</w:t>
      </w:r>
    </w:p>
    <w:p w:rsidR="007F5722" w:rsidRPr="007F5722" w:rsidRDefault="007F5722" w:rsidP="007F5722">
      <w:pPr>
        <w:pStyle w:val="a8"/>
        <w:numPr>
          <w:ilvl w:val="0"/>
          <w:numId w:val="25"/>
        </w:numPr>
        <w:spacing w:after="0" w:line="360" w:lineRule="auto"/>
        <w:ind w:left="0" w:firstLine="357"/>
        <w:jc w:val="both"/>
        <w:rPr>
          <w:rFonts w:ascii="Times New Roman" w:hAnsi="Times New Roman"/>
          <w:sz w:val="28"/>
          <w:szCs w:val="28"/>
          <w:lang w:val="en-US"/>
        </w:rPr>
      </w:pPr>
      <w:r w:rsidRPr="007F5722">
        <w:rPr>
          <w:rFonts w:ascii="Times New Roman" w:hAnsi="Times New Roman"/>
          <w:sz w:val="28"/>
          <w:szCs w:val="28"/>
          <w:lang w:val="en-US"/>
        </w:rPr>
        <w:t xml:space="preserve"> Dalmas E, Donath MY. A role for interleukin-22 in the alleviation of metabolic syndrome. Nature Medicine. 2014;20(12):1379-1381. </w:t>
      </w:r>
    </w:p>
    <w:p w:rsidR="007F5722" w:rsidRPr="00AF2B20" w:rsidRDefault="00AF2B20" w:rsidP="007F5722">
      <w:pPr>
        <w:pStyle w:val="a8"/>
        <w:numPr>
          <w:ilvl w:val="0"/>
          <w:numId w:val="25"/>
        </w:numPr>
        <w:spacing w:after="0" w:line="360" w:lineRule="auto"/>
        <w:ind w:left="0" w:firstLine="357"/>
        <w:jc w:val="both"/>
        <w:rPr>
          <w:rFonts w:ascii="Times New Roman" w:hAnsi="Times New Roman"/>
          <w:sz w:val="28"/>
          <w:szCs w:val="28"/>
          <w:lang w:val="en-US"/>
        </w:rPr>
      </w:pPr>
      <w:r w:rsidRPr="00AF2B20">
        <w:rPr>
          <w:rFonts w:ascii="Times New Roman" w:hAnsi="Times New Roman"/>
          <w:sz w:val="28"/>
          <w:szCs w:val="28"/>
          <w:lang w:val="en-US"/>
        </w:rPr>
        <w:t>Shen J, Fang Y, Zhu H, Ge W. Plasma interleukin-22 levels are associated with prediabetes and type 2 diabetes in the Han Chinese population. J Diabetes Investig. 2018;9(1):33-38. doi:10.1111/jdi.12640</w:t>
      </w:r>
      <w:r w:rsidR="007F5722" w:rsidRPr="00AF2B20">
        <w:rPr>
          <w:rFonts w:ascii="Times New Roman" w:hAnsi="Times New Roman"/>
          <w:sz w:val="28"/>
          <w:szCs w:val="28"/>
          <w:lang w:val="en-US"/>
        </w:rPr>
        <w:t xml:space="preserve">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rPr>
        <w:lastRenderedPageBreak/>
        <w:t xml:space="preserve"> </w:t>
      </w:r>
      <w:r w:rsidRPr="007F5722">
        <w:rPr>
          <w:rFonts w:ascii="Times New Roman" w:hAnsi="Times New Roman" w:cs="Times New Roman"/>
          <w:sz w:val="28"/>
          <w:szCs w:val="28"/>
          <w:lang w:val="en-US"/>
        </w:rPr>
        <w:t>Libby P</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 Ridker PM</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 Maseri A. Inflammation and atherosclerosis. Circulation</w:t>
      </w:r>
      <w:r w:rsidRPr="007F5722">
        <w:rPr>
          <w:rFonts w:ascii="Times New Roman" w:hAnsi="Times New Roman" w:cs="Times New Roman"/>
          <w:i/>
          <w:sz w:val="28"/>
          <w:szCs w:val="28"/>
        </w:rPr>
        <w:t>.</w:t>
      </w:r>
      <w:r w:rsidRPr="007F5722">
        <w:rPr>
          <w:rFonts w:ascii="Times New Roman" w:hAnsi="Times New Roman" w:cs="Times New Roman"/>
          <w:sz w:val="28"/>
          <w:szCs w:val="28"/>
          <w:lang w:val="en-US"/>
        </w:rPr>
        <w:t xml:space="preserve"> 2002</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105</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1135-1143.</w:t>
      </w:r>
      <w:r w:rsidRPr="007F5722">
        <w:rPr>
          <w:rFonts w:ascii="Times New Roman" w:hAnsi="Times New Roman" w:cs="Times New Roman"/>
          <w:sz w:val="28"/>
          <w:szCs w:val="28"/>
        </w:rPr>
        <w:t xml:space="preserve">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 xml:space="preserve"> Chatterjee M, Denney WS, Jing H, Diamond SL. Systems biology of coagulation initiation: Kinetics of thrombin generation in resting and activated human blood. </w:t>
      </w:r>
      <w:r w:rsidRPr="007F5722">
        <w:rPr>
          <w:rFonts w:ascii="Times New Roman" w:hAnsi="Times New Roman" w:cs="Times New Roman"/>
          <w:iCs/>
          <w:sz w:val="28"/>
          <w:szCs w:val="28"/>
          <w:lang w:val="en-US"/>
        </w:rPr>
        <w:t>PLoS computational biology</w:t>
      </w:r>
      <w:r w:rsidRPr="007F5722">
        <w:rPr>
          <w:rFonts w:ascii="Times New Roman" w:hAnsi="Times New Roman" w:cs="Times New Roman"/>
          <w:sz w:val="28"/>
          <w:szCs w:val="28"/>
          <w:lang w:val="en-US"/>
        </w:rPr>
        <w:t>. 2010</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6(9)</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e1000950, doi:10.1371/journal.pcbi.1000950.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de-DE"/>
        </w:rPr>
        <w:t xml:space="preserve"> Lipinski B, Pretorius E, Oberholzer HM, Van der Spuy WJ. </w:t>
      </w:r>
      <w:r w:rsidRPr="007F5722">
        <w:rPr>
          <w:rFonts w:ascii="Times New Roman" w:hAnsi="Times New Roman" w:cs="Times New Roman"/>
          <w:sz w:val="28"/>
          <w:szCs w:val="28"/>
          <w:lang w:val="en-US"/>
        </w:rPr>
        <w:t>Iron enhances generation of fibrin fibers in human blood: implications for pathogenesis of stroke. Microscopy Research &amp; Technique. 2012</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75(9)</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1185-1190.</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 xml:space="preserve"> Hwang S, Ballantyne CM, Sharrett AR, Smith LC, Davis CE, Gotto AM. Jr. Boerwinkle E. Circulating adhesion molecules VCAM-1, ICAM-1, and E-selectin in carotid atherosclerosis and incident coronary heart disease cases: the Atherosclerosis Risk In Communities (ARIC) study. Circulation</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 1997</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96(12)</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4219-4125.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 xml:space="preserve"> Xavier Pi-Sunyer F, Dietz W. </w:t>
      </w:r>
      <w:r w:rsidRPr="007F5722">
        <w:rPr>
          <w:rFonts w:ascii="Times New Roman" w:hAnsi="Times New Roman" w:cs="Times New Roman"/>
          <w:sz w:val="28"/>
          <w:szCs w:val="28"/>
          <w:lang w:val="en-US" w:eastAsia="uk-UA"/>
        </w:rPr>
        <w:t>Clinical Guidelines on the Identification, Evaluation, and Treatment of Overweight and Obesity in Adults-The Evidence Report. National Institutes of Health</w:t>
      </w:r>
      <w:r w:rsidRPr="007F5722">
        <w:rPr>
          <w:rFonts w:ascii="Times New Roman" w:hAnsi="Times New Roman" w:cs="Times New Roman"/>
          <w:i/>
          <w:sz w:val="28"/>
          <w:szCs w:val="28"/>
          <w:lang w:eastAsia="uk-UA"/>
        </w:rPr>
        <w:t>.</w:t>
      </w:r>
      <w:r w:rsidRPr="007F5722">
        <w:rPr>
          <w:rFonts w:ascii="Times New Roman" w:hAnsi="Times New Roman" w:cs="Times New Roman"/>
          <w:sz w:val="28"/>
          <w:szCs w:val="28"/>
          <w:lang w:val="en-US" w:eastAsia="uk-UA"/>
        </w:rPr>
        <w:t xml:space="preserve"> 1998. 262 p.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 xml:space="preserve"> </w:t>
      </w:r>
      <w:r w:rsidRPr="007F5722">
        <w:rPr>
          <w:rFonts w:ascii="Times New Roman" w:hAnsi="Times New Roman" w:cs="Times New Roman"/>
          <w:sz w:val="28"/>
          <w:szCs w:val="28"/>
          <w:shd w:val="clear" w:color="auto" w:fill="FFFFFF"/>
          <w:lang w:val="en-US"/>
        </w:rPr>
        <w:t xml:space="preserve">De Marco VG, Aroor AR, Sowers JR. The pathophysiology of hypertension in patients with obesity. </w:t>
      </w:r>
      <w:r w:rsidRPr="007F5722">
        <w:rPr>
          <w:rFonts w:ascii="Times New Roman" w:hAnsi="Times New Roman" w:cs="Times New Roman"/>
          <w:iCs/>
          <w:sz w:val="28"/>
          <w:szCs w:val="28"/>
          <w:shd w:val="clear" w:color="auto" w:fill="FFFFFF"/>
          <w:lang w:val="en-US"/>
        </w:rPr>
        <w:t>Nature Reviews Endocrinology</w:t>
      </w:r>
      <w:r w:rsidRPr="007F5722">
        <w:rPr>
          <w:rFonts w:ascii="Times New Roman" w:hAnsi="Times New Roman" w:cs="Times New Roman"/>
          <w:sz w:val="28"/>
          <w:szCs w:val="28"/>
          <w:shd w:val="clear" w:color="auto" w:fill="FFFFFF"/>
          <w:lang w:val="en-US"/>
        </w:rPr>
        <w:t>. 2014;10(6):364–376. doi:10.1038/nrendo.2014.44.</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shd w:val="clear" w:color="auto" w:fill="FFFFFF"/>
          <w:lang w:val="en-US"/>
        </w:rPr>
        <w:t xml:space="preserve"> </w:t>
      </w:r>
      <w:r w:rsidRPr="007F5722">
        <w:rPr>
          <w:rFonts w:ascii="Times New Roman" w:hAnsi="Times New Roman" w:cs="Times New Roman"/>
          <w:sz w:val="28"/>
          <w:szCs w:val="28"/>
          <w:lang w:val="en-US"/>
        </w:rPr>
        <w:t>Geisler T, Bhatt DL. The role of inflammation in atherothrombosis: current and future strategies of medical treatment. Medical Science Monitor. 2004</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10(12)</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308-316.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 xml:space="preserve"> Karastergiou K; Mohamed-Ali V. The autocrine and paracrine roles of adipokines. Molecular &amp; Cellular Endocrinology</w:t>
      </w:r>
      <w:r w:rsidRPr="007F5722">
        <w:rPr>
          <w:rFonts w:ascii="Times New Roman" w:hAnsi="Times New Roman" w:cs="Times New Roman"/>
          <w:i/>
          <w:sz w:val="28"/>
          <w:szCs w:val="28"/>
          <w:lang w:val="en-US"/>
        </w:rPr>
        <w:t>.</w:t>
      </w:r>
      <w:r w:rsidRPr="007F5722">
        <w:rPr>
          <w:rFonts w:ascii="Times New Roman" w:hAnsi="Times New Roman" w:cs="Times New Roman"/>
          <w:sz w:val="28"/>
          <w:szCs w:val="28"/>
          <w:lang w:val="en-US"/>
        </w:rPr>
        <w:t xml:space="preserve"> 2010</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318(1-2)</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69-78.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 xml:space="preserve"> </w:t>
      </w:r>
      <w:r w:rsidRPr="007F5722">
        <w:rPr>
          <w:rFonts w:ascii="Times New Roman" w:hAnsi="Times New Roman" w:cs="Times New Roman"/>
          <w:sz w:val="28"/>
          <w:szCs w:val="28"/>
          <w:shd w:val="clear" w:color="auto" w:fill="FFFFFF"/>
          <w:lang w:val="en-US"/>
        </w:rPr>
        <w:t xml:space="preserve">Shiina Y, Homma Y. Relationships between the visceral fat area on CT and coronary risk factor markers. </w:t>
      </w:r>
      <w:r w:rsidRPr="007F5722">
        <w:rPr>
          <w:rStyle w:val="af"/>
          <w:rFonts w:ascii="Times New Roman" w:hAnsi="Times New Roman" w:cs="Times New Roman"/>
          <w:sz w:val="28"/>
          <w:szCs w:val="28"/>
          <w:shd w:val="clear" w:color="auto" w:fill="FFFFFF"/>
          <w:lang w:val="en-US"/>
        </w:rPr>
        <w:t>Internal Medi</w:t>
      </w:r>
      <w:r w:rsidRPr="007F5722">
        <w:rPr>
          <w:rFonts w:ascii="Times New Roman" w:hAnsi="Times New Roman" w:cs="Times New Roman"/>
          <w:sz w:val="28"/>
          <w:szCs w:val="28"/>
          <w:shd w:val="clear" w:color="auto" w:fill="FFFFFF"/>
          <w:lang w:val="en-US"/>
        </w:rPr>
        <w:t>cine</w:t>
      </w:r>
      <w:r w:rsidRPr="007F5722">
        <w:rPr>
          <w:rFonts w:ascii="Times New Roman" w:hAnsi="Times New Roman" w:cs="Times New Roman"/>
          <w:i/>
          <w:sz w:val="28"/>
          <w:szCs w:val="28"/>
          <w:shd w:val="clear" w:color="auto" w:fill="FFFFFF"/>
          <w:lang w:val="en-US"/>
        </w:rPr>
        <w:t xml:space="preserve">. </w:t>
      </w:r>
      <w:r w:rsidRPr="007F5722">
        <w:rPr>
          <w:rFonts w:ascii="Times New Roman" w:hAnsi="Times New Roman" w:cs="Times New Roman"/>
          <w:sz w:val="28"/>
          <w:szCs w:val="28"/>
          <w:shd w:val="clear" w:color="auto" w:fill="FFFFFF"/>
          <w:lang w:val="en-US"/>
        </w:rPr>
        <w:t xml:space="preserve">2013;52:1775–1780.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rPr>
        <w:t xml:space="preserve"> </w:t>
      </w:r>
      <w:r w:rsidRPr="007F5722">
        <w:rPr>
          <w:rFonts w:ascii="Times New Roman" w:hAnsi="Times New Roman" w:cs="Times New Roman"/>
          <w:sz w:val="28"/>
          <w:szCs w:val="28"/>
          <w:shd w:val="clear" w:color="auto" w:fill="FFFFFF"/>
          <w:lang w:val="en-US"/>
        </w:rPr>
        <w:t>Shah</w:t>
      </w:r>
      <w:r w:rsidRPr="007F5722">
        <w:rPr>
          <w:rFonts w:ascii="Times New Roman" w:hAnsi="Times New Roman" w:cs="Times New Roman"/>
          <w:sz w:val="28"/>
          <w:szCs w:val="28"/>
          <w:shd w:val="clear" w:color="auto" w:fill="FFFFFF"/>
        </w:rPr>
        <w:t xml:space="preserve"> </w:t>
      </w:r>
      <w:r w:rsidRPr="007F5722">
        <w:rPr>
          <w:rFonts w:ascii="Times New Roman" w:hAnsi="Times New Roman" w:cs="Times New Roman"/>
          <w:sz w:val="28"/>
          <w:szCs w:val="28"/>
          <w:shd w:val="clear" w:color="auto" w:fill="FFFFFF"/>
          <w:lang w:val="en-US"/>
        </w:rPr>
        <w:t>RV</w:t>
      </w:r>
      <w:r w:rsidRPr="007F5722">
        <w:rPr>
          <w:rFonts w:ascii="Times New Roman" w:hAnsi="Times New Roman" w:cs="Times New Roman"/>
          <w:sz w:val="28"/>
          <w:szCs w:val="28"/>
          <w:shd w:val="clear" w:color="auto" w:fill="FFFFFF"/>
        </w:rPr>
        <w:t xml:space="preserve">, </w:t>
      </w:r>
      <w:r w:rsidRPr="007F5722">
        <w:rPr>
          <w:rFonts w:ascii="Times New Roman" w:hAnsi="Times New Roman" w:cs="Times New Roman"/>
          <w:sz w:val="28"/>
          <w:szCs w:val="28"/>
          <w:shd w:val="clear" w:color="auto" w:fill="FFFFFF"/>
          <w:lang w:val="en-US"/>
        </w:rPr>
        <w:t>Murthy</w:t>
      </w:r>
      <w:r w:rsidRPr="007F5722">
        <w:rPr>
          <w:rFonts w:ascii="Times New Roman" w:hAnsi="Times New Roman" w:cs="Times New Roman"/>
          <w:sz w:val="28"/>
          <w:szCs w:val="28"/>
          <w:shd w:val="clear" w:color="auto" w:fill="FFFFFF"/>
        </w:rPr>
        <w:t xml:space="preserve"> </w:t>
      </w:r>
      <w:r w:rsidRPr="007F5722">
        <w:rPr>
          <w:rFonts w:ascii="Times New Roman" w:hAnsi="Times New Roman" w:cs="Times New Roman"/>
          <w:sz w:val="28"/>
          <w:szCs w:val="28"/>
          <w:shd w:val="clear" w:color="auto" w:fill="FFFFFF"/>
          <w:lang w:val="en-US"/>
        </w:rPr>
        <w:t>VL</w:t>
      </w:r>
      <w:r w:rsidRPr="007F5722">
        <w:rPr>
          <w:rFonts w:ascii="Times New Roman" w:hAnsi="Times New Roman" w:cs="Times New Roman"/>
          <w:sz w:val="28"/>
          <w:szCs w:val="28"/>
          <w:shd w:val="clear" w:color="auto" w:fill="FFFFFF"/>
        </w:rPr>
        <w:t xml:space="preserve">, </w:t>
      </w:r>
      <w:r w:rsidRPr="007F5722">
        <w:rPr>
          <w:rFonts w:ascii="Times New Roman" w:hAnsi="Times New Roman" w:cs="Times New Roman"/>
          <w:sz w:val="28"/>
          <w:szCs w:val="28"/>
          <w:shd w:val="clear" w:color="auto" w:fill="FFFFFF"/>
          <w:lang w:val="en-US"/>
        </w:rPr>
        <w:t>Abbasi</w:t>
      </w:r>
      <w:r w:rsidRPr="007F5722">
        <w:rPr>
          <w:rFonts w:ascii="Times New Roman" w:hAnsi="Times New Roman" w:cs="Times New Roman"/>
          <w:sz w:val="28"/>
          <w:szCs w:val="28"/>
          <w:shd w:val="clear" w:color="auto" w:fill="FFFFFF"/>
        </w:rPr>
        <w:t xml:space="preserve"> </w:t>
      </w:r>
      <w:r w:rsidRPr="007F5722">
        <w:rPr>
          <w:rFonts w:ascii="Times New Roman" w:hAnsi="Times New Roman" w:cs="Times New Roman"/>
          <w:sz w:val="28"/>
          <w:szCs w:val="28"/>
          <w:shd w:val="clear" w:color="auto" w:fill="FFFFFF"/>
          <w:lang w:val="en-US"/>
        </w:rPr>
        <w:t>SA</w:t>
      </w:r>
      <w:r w:rsidRPr="007F5722">
        <w:rPr>
          <w:rFonts w:ascii="Times New Roman" w:hAnsi="Times New Roman" w:cs="Times New Roman"/>
          <w:sz w:val="28"/>
          <w:szCs w:val="28"/>
          <w:shd w:val="clear" w:color="auto" w:fill="FFFFFF"/>
        </w:rPr>
        <w:t xml:space="preserve">, </w:t>
      </w:r>
      <w:r w:rsidRPr="007F5722">
        <w:rPr>
          <w:rFonts w:ascii="Times New Roman" w:hAnsi="Times New Roman" w:cs="Times New Roman"/>
          <w:sz w:val="28"/>
          <w:szCs w:val="28"/>
          <w:shd w:val="clear" w:color="auto" w:fill="FFFFFF"/>
          <w:lang w:val="en-US"/>
        </w:rPr>
        <w:t>Blankstein</w:t>
      </w:r>
      <w:r w:rsidRPr="007F5722">
        <w:rPr>
          <w:rFonts w:ascii="Times New Roman" w:hAnsi="Times New Roman" w:cs="Times New Roman"/>
          <w:sz w:val="28"/>
          <w:szCs w:val="28"/>
          <w:shd w:val="clear" w:color="auto" w:fill="FFFFFF"/>
        </w:rPr>
        <w:t xml:space="preserve"> </w:t>
      </w:r>
      <w:r w:rsidRPr="007F5722">
        <w:rPr>
          <w:rFonts w:ascii="Times New Roman" w:hAnsi="Times New Roman" w:cs="Times New Roman"/>
          <w:sz w:val="28"/>
          <w:szCs w:val="28"/>
          <w:shd w:val="clear" w:color="auto" w:fill="FFFFFF"/>
          <w:lang w:val="en-US"/>
        </w:rPr>
        <w:t>R</w:t>
      </w:r>
      <w:r w:rsidRPr="007F5722">
        <w:rPr>
          <w:rFonts w:ascii="Times New Roman" w:hAnsi="Times New Roman" w:cs="Times New Roman"/>
          <w:sz w:val="28"/>
          <w:szCs w:val="28"/>
          <w:shd w:val="clear" w:color="auto" w:fill="FFFFFF"/>
        </w:rPr>
        <w:t xml:space="preserve">, </w:t>
      </w:r>
      <w:r w:rsidRPr="007F5722">
        <w:rPr>
          <w:rFonts w:ascii="Times New Roman" w:hAnsi="Times New Roman" w:cs="Times New Roman"/>
          <w:sz w:val="28"/>
          <w:szCs w:val="28"/>
          <w:shd w:val="clear" w:color="auto" w:fill="FFFFFF"/>
          <w:lang w:val="en-US"/>
        </w:rPr>
        <w:t>Kwong</w:t>
      </w:r>
      <w:r w:rsidRPr="007F5722">
        <w:rPr>
          <w:rFonts w:ascii="Times New Roman" w:hAnsi="Times New Roman" w:cs="Times New Roman"/>
          <w:sz w:val="28"/>
          <w:szCs w:val="28"/>
          <w:shd w:val="clear" w:color="auto" w:fill="FFFFFF"/>
        </w:rPr>
        <w:t xml:space="preserve"> </w:t>
      </w:r>
      <w:r w:rsidRPr="007F5722">
        <w:rPr>
          <w:rFonts w:ascii="Times New Roman" w:hAnsi="Times New Roman" w:cs="Times New Roman"/>
          <w:sz w:val="28"/>
          <w:szCs w:val="28"/>
          <w:shd w:val="clear" w:color="auto" w:fill="FFFFFF"/>
          <w:lang w:val="en-US"/>
        </w:rPr>
        <w:t>RY</w:t>
      </w:r>
      <w:r w:rsidRPr="007F5722">
        <w:rPr>
          <w:rFonts w:ascii="Times New Roman" w:hAnsi="Times New Roman" w:cs="Times New Roman"/>
          <w:sz w:val="28"/>
          <w:szCs w:val="28"/>
          <w:shd w:val="clear" w:color="auto" w:fill="FFFFFF"/>
        </w:rPr>
        <w:t xml:space="preserve">, </w:t>
      </w:r>
      <w:r w:rsidRPr="007F5722">
        <w:rPr>
          <w:rFonts w:ascii="Times New Roman" w:hAnsi="Times New Roman" w:cs="Times New Roman"/>
          <w:sz w:val="28"/>
          <w:szCs w:val="28"/>
          <w:shd w:val="clear" w:color="auto" w:fill="FFFFFF"/>
          <w:lang w:val="en-US"/>
        </w:rPr>
        <w:t>Goldfine</w:t>
      </w:r>
      <w:r w:rsidRPr="007F5722">
        <w:rPr>
          <w:rFonts w:ascii="Times New Roman" w:hAnsi="Times New Roman" w:cs="Times New Roman"/>
          <w:sz w:val="28"/>
          <w:szCs w:val="28"/>
          <w:shd w:val="clear" w:color="auto" w:fill="FFFFFF"/>
        </w:rPr>
        <w:t xml:space="preserve"> </w:t>
      </w:r>
      <w:r w:rsidRPr="007F5722">
        <w:rPr>
          <w:rFonts w:ascii="Times New Roman" w:hAnsi="Times New Roman" w:cs="Times New Roman"/>
          <w:sz w:val="28"/>
          <w:szCs w:val="28"/>
          <w:shd w:val="clear" w:color="auto" w:fill="FFFFFF"/>
          <w:lang w:val="en-US"/>
        </w:rPr>
        <w:t>AB</w:t>
      </w:r>
      <w:r w:rsidRPr="007F5722">
        <w:rPr>
          <w:rFonts w:ascii="Times New Roman" w:hAnsi="Times New Roman" w:cs="Times New Roman"/>
          <w:sz w:val="28"/>
          <w:szCs w:val="28"/>
          <w:shd w:val="clear" w:color="auto" w:fill="FFFFFF"/>
        </w:rPr>
        <w:t xml:space="preserve"> </w:t>
      </w:r>
      <w:r w:rsidRPr="007F5722">
        <w:rPr>
          <w:rFonts w:ascii="Times New Roman" w:hAnsi="Times New Roman" w:cs="Times New Roman"/>
          <w:sz w:val="28"/>
          <w:szCs w:val="28"/>
          <w:shd w:val="clear" w:color="auto" w:fill="FFFFFF"/>
          <w:lang w:val="en-US"/>
        </w:rPr>
        <w:t>et</w:t>
      </w:r>
      <w:r w:rsidRPr="007F5722">
        <w:rPr>
          <w:rFonts w:ascii="Times New Roman" w:hAnsi="Times New Roman" w:cs="Times New Roman"/>
          <w:sz w:val="28"/>
          <w:szCs w:val="28"/>
          <w:shd w:val="clear" w:color="auto" w:fill="FFFFFF"/>
        </w:rPr>
        <w:t xml:space="preserve"> </w:t>
      </w:r>
      <w:r w:rsidRPr="007F5722">
        <w:rPr>
          <w:rFonts w:ascii="Times New Roman" w:hAnsi="Times New Roman" w:cs="Times New Roman"/>
          <w:sz w:val="28"/>
          <w:szCs w:val="28"/>
          <w:shd w:val="clear" w:color="auto" w:fill="FFFFFF"/>
          <w:lang w:val="en-US"/>
        </w:rPr>
        <w:t>al</w:t>
      </w:r>
      <w:r w:rsidRPr="007F5722">
        <w:rPr>
          <w:rFonts w:ascii="Times New Roman" w:hAnsi="Times New Roman" w:cs="Times New Roman"/>
          <w:sz w:val="28"/>
          <w:szCs w:val="28"/>
          <w:shd w:val="clear" w:color="auto" w:fill="FFFFFF"/>
        </w:rPr>
        <w:t xml:space="preserve">. </w:t>
      </w:r>
      <w:r w:rsidRPr="007F5722">
        <w:rPr>
          <w:rFonts w:ascii="Times New Roman" w:hAnsi="Times New Roman" w:cs="Times New Roman"/>
          <w:sz w:val="28"/>
          <w:szCs w:val="28"/>
          <w:shd w:val="clear" w:color="auto" w:fill="FFFFFF"/>
          <w:lang w:val="en-US"/>
        </w:rPr>
        <w:t xml:space="preserve">Visceral adiposity and the risk of metabolic syndrome across body mass index: </w:t>
      </w:r>
      <w:r w:rsidRPr="007F5722">
        <w:rPr>
          <w:rFonts w:ascii="Times New Roman" w:hAnsi="Times New Roman" w:cs="Times New Roman"/>
          <w:sz w:val="28"/>
          <w:szCs w:val="28"/>
          <w:shd w:val="clear" w:color="auto" w:fill="FFFFFF"/>
          <w:lang w:val="en-US"/>
        </w:rPr>
        <w:lastRenderedPageBreak/>
        <w:t xml:space="preserve">the MESA Study. </w:t>
      </w:r>
      <w:r w:rsidRPr="007F5722">
        <w:rPr>
          <w:rFonts w:ascii="Times New Roman" w:hAnsi="Times New Roman" w:cs="Times New Roman"/>
          <w:iCs/>
          <w:sz w:val="28"/>
          <w:szCs w:val="28"/>
          <w:shd w:val="clear" w:color="auto" w:fill="FFFFFF"/>
          <w:lang w:val="en-US"/>
        </w:rPr>
        <w:t>JACC. Cardiovascular imaging</w:t>
      </w:r>
      <w:r w:rsidRPr="007F5722">
        <w:rPr>
          <w:rFonts w:ascii="Times New Roman" w:hAnsi="Times New Roman" w:cs="Times New Roman"/>
          <w:sz w:val="28"/>
          <w:szCs w:val="28"/>
          <w:shd w:val="clear" w:color="auto" w:fill="FFFFFF"/>
          <w:lang w:val="en-US"/>
        </w:rPr>
        <w:t>. 2014;</w:t>
      </w:r>
      <w:r w:rsidRPr="007F5722">
        <w:rPr>
          <w:rFonts w:ascii="Times New Roman" w:hAnsi="Times New Roman" w:cs="Times New Roman"/>
          <w:iCs/>
          <w:sz w:val="28"/>
          <w:szCs w:val="28"/>
          <w:shd w:val="clear" w:color="auto" w:fill="FFFFFF"/>
          <w:lang w:val="en-US"/>
        </w:rPr>
        <w:t>7</w:t>
      </w:r>
      <w:r w:rsidRPr="007F5722">
        <w:rPr>
          <w:rFonts w:ascii="Times New Roman" w:hAnsi="Times New Roman" w:cs="Times New Roman"/>
          <w:sz w:val="28"/>
          <w:szCs w:val="28"/>
          <w:shd w:val="clear" w:color="auto" w:fill="FFFFFF"/>
          <w:lang w:val="en-US"/>
        </w:rPr>
        <w:t xml:space="preserve">(12),1221–1235. doi:10.1016/j.jcmg.2014.07.017.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 xml:space="preserve"> Hansson G. Mechanisms of disease: inflammation, atherosclerosis, and coronary artery disease. New England Journal of Medicine</w:t>
      </w:r>
      <w:r w:rsidRPr="007F5722">
        <w:rPr>
          <w:rFonts w:ascii="Times New Roman" w:hAnsi="Times New Roman" w:cs="Times New Roman"/>
          <w:i/>
          <w:sz w:val="28"/>
          <w:szCs w:val="28"/>
          <w:lang w:val="en-US"/>
        </w:rPr>
        <w:t>.</w:t>
      </w:r>
      <w:r w:rsidRPr="007F5722">
        <w:rPr>
          <w:rFonts w:ascii="Times New Roman" w:hAnsi="Times New Roman" w:cs="Times New Roman"/>
          <w:sz w:val="28"/>
          <w:szCs w:val="28"/>
          <w:lang w:val="en-US"/>
        </w:rPr>
        <w:t xml:space="preserve"> 2005</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352(16)</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1685-1695.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 xml:space="preserve"> Emanuela F, Grazia M, De Robertis M, Luconi MP, Furlani G, Boscaro M. Inflammation a link between obesity and metabolic syndrome. Journal of Nutrition and Metabolism. 2012</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476380. </w:t>
      </w:r>
      <w:r w:rsidRPr="007F5722">
        <w:rPr>
          <w:rFonts w:ascii="Times New Roman" w:hAnsi="Times New Roman" w:cs="Times New Roman"/>
          <w:sz w:val="28"/>
          <w:szCs w:val="28"/>
        </w:rPr>
        <w:t>doi:</w:t>
      </w:r>
      <w:r w:rsidRPr="007F5722">
        <w:rPr>
          <w:rFonts w:ascii="Times New Roman" w:hAnsi="Times New Roman" w:cs="Times New Roman"/>
          <w:sz w:val="28"/>
          <w:szCs w:val="28"/>
          <w:lang w:val="en-US"/>
        </w:rPr>
        <w:t xml:space="preserve"> </w:t>
      </w:r>
      <w:hyperlink r:id="rId61" w:tgtFrame="pmc_ext" w:history="1">
        <w:r w:rsidRPr="007F5722">
          <w:rPr>
            <w:rFonts w:ascii="Times New Roman" w:hAnsi="Times New Roman" w:cs="Times New Roman"/>
            <w:sz w:val="28"/>
            <w:szCs w:val="28"/>
            <w:lang w:val="ru-RU"/>
          </w:rPr>
          <w:t>10.1155/2012/476380</w:t>
        </w:r>
      </w:hyperlink>
      <w:r w:rsidRPr="007F5722">
        <w:rPr>
          <w:rFonts w:ascii="Times New Roman" w:hAnsi="Times New Roman" w:cs="Times New Roman"/>
          <w:sz w:val="28"/>
          <w:szCs w:val="28"/>
          <w:lang w:val="en-US"/>
        </w:rPr>
        <w:t xml:space="preserve">.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rPr>
        <w:t xml:space="preserve"> </w:t>
      </w:r>
      <w:r w:rsidRPr="007F5722">
        <w:rPr>
          <w:rFonts w:ascii="Times New Roman" w:hAnsi="Times New Roman" w:cs="Times New Roman"/>
          <w:color w:val="000000"/>
          <w:sz w:val="28"/>
          <w:szCs w:val="28"/>
          <w:shd w:val="clear" w:color="auto" w:fill="FDFDFD"/>
        </w:rPr>
        <w:t xml:space="preserve">Горбась ІМ, Смирнова ІП, Вакалюк ІП, Кайдашев ІП, Кваша ОО, Срібна ОВ. </w:t>
      </w:r>
      <w:r w:rsidRPr="007F5722">
        <w:rPr>
          <w:rFonts w:ascii="Times New Roman" w:hAnsi="Times New Roman" w:cs="Times New Roman"/>
          <w:bCs/>
          <w:color w:val="000000"/>
          <w:sz w:val="28"/>
          <w:szCs w:val="28"/>
          <w:shd w:val="clear" w:color="auto" w:fill="FDFDFD"/>
        </w:rPr>
        <w:t>Епідеміологічна ситуація щодо артеріальної гіпертензії у сільській популяції україни</w:t>
      </w:r>
      <w:r w:rsidRPr="007F5722">
        <w:rPr>
          <w:rFonts w:ascii="Times New Roman" w:hAnsi="Times New Roman" w:cs="Times New Roman"/>
          <w:color w:val="000000"/>
          <w:sz w:val="28"/>
          <w:szCs w:val="28"/>
          <w:shd w:val="clear" w:color="auto" w:fill="FDFDFD"/>
        </w:rPr>
        <w:t xml:space="preserve">. </w:t>
      </w:r>
      <w:hyperlink r:id="rId62" w:tooltip="Періодичне видання" w:history="1">
        <w:r w:rsidRPr="007F5722">
          <w:rPr>
            <w:rFonts w:ascii="Times New Roman" w:hAnsi="Times New Roman" w:cs="Times New Roman"/>
            <w:sz w:val="28"/>
            <w:szCs w:val="28"/>
            <w:shd w:val="clear" w:color="auto" w:fill="FDFDFD"/>
          </w:rPr>
          <w:t>Ліки України</w:t>
        </w:r>
      </w:hyperlink>
      <w:r w:rsidRPr="007F5722">
        <w:rPr>
          <w:rFonts w:ascii="Times New Roman" w:hAnsi="Times New Roman" w:cs="Times New Roman"/>
          <w:color w:val="000000"/>
          <w:sz w:val="28"/>
          <w:szCs w:val="28"/>
          <w:shd w:val="clear" w:color="auto" w:fill="FDFDFD"/>
        </w:rPr>
        <w:t>. 2013;7:</w:t>
      </w:r>
      <w:r w:rsidRPr="007F5722">
        <w:rPr>
          <w:rFonts w:ascii="Times New Roman" w:hAnsi="Times New Roman" w:cs="Times New Roman"/>
          <w:color w:val="000000"/>
          <w:sz w:val="28"/>
          <w:szCs w:val="28"/>
          <w:shd w:val="clear" w:color="auto" w:fill="FDFDFD"/>
          <w:lang w:val="ru-RU"/>
        </w:rPr>
        <w:t xml:space="preserve">88-91.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color w:val="000000"/>
          <w:sz w:val="28"/>
          <w:szCs w:val="28"/>
          <w:shd w:val="clear" w:color="auto" w:fill="FDFDFD"/>
          <w:lang w:val="ru-RU"/>
        </w:rPr>
        <w:t xml:space="preserve"> </w:t>
      </w:r>
      <w:r w:rsidRPr="007F5722">
        <w:rPr>
          <w:rFonts w:ascii="Times New Roman" w:hAnsi="Times New Roman" w:cs="Times New Roman"/>
          <w:sz w:val="28"/>
          <w:szCs w:val="28"/>
          <w:lang w:val="ru-RU"/>
        </w:rPr>
        <w:t>Єрмоленко</w:t>
      </w:r>
      <w:r w:rsidRPr="007F5722">
        <w:rPr>
          <w:rFonts w:ascii="Times New Roman" w:hAnsi="Times New Roman" w:cs="Times New Roman"/>
          <w:sz w:val="28"/>
          <w:szCs w:val="28"/>
        </w:rPr>
        <w:t xml:space="preserve"> НО, </w:t>
      </w:r>
      <w:r w:rsidRPr="007F5722">
        <w:rPr>
          <w:rFonts w:ascii="Times New Roman" w:hAnsi="Times New Roman" w:cs="Times New Roman"/>
          <w:sz w:val="28"/>
          <w:szCs w:val="28"/>
          <w:lang w:val="ru-RU"/>
        </w:rPr>
        <w:t>Зарудна</w:t>
      </w:r>
      <w:r w:rsidRPr="007F5722">
        <w:rPr>
          <w:rFonts w:ascii="Times New Roman" w:hAnsi="Times New Roman" w:cs="Times New Roman"/>
          <w:sz w:val="28"/>
          <w:szCs w:val="28"/>
        </w:rPr>
        <w:t xml:space="preserve"> ОІ, </w:t>
      </w:r>
      <w:r w:rsidRPr="007F5722">
        <w:rPr>
          <w:rFonts w:ascii="Times New Roman" w:hAnsi="Times New Roman" w:cs="Times New Roman"/>
          <w:sz w:val="28"/>
          <w:szCs w:val="28"/>
          <w:lang w:val="ru-RU"/>
        </w:rPr>
        <w:t>Голик</w:t>
      </w:r>
      <w:r w:rsidRPr="007F5722">
        <w:rPr>
          <w:rFonts w:ascii="Times New Roman" w:hAnsi="Times New Roman" w:cs="Times New Roman"/>
          <w:sz w:val="28"/>
          <w:szCs w:val="28"/>
        </w:rPr>
        <w:t xml:space="preserve"> ІВ. Ожиріння</w:t>
      </w:r>
      <w:r w:rsidRPr="007F5722">
        <w:rPr>
          <w:rFonts w:ascii="Times New Roman" w:hAnsi="Times New Roman" w:cs="Times New Roman"/>
          <w:sz w:val="28"/>
          <w:szCs w:val="28"/>
          <w:lang w:val="en-US"/>
        </w:rPr>
        <w:t xml:space="preserve"> – </w:t>
      </w:r>
      <w:r w:rsidRPr="007F5722">
        <w:rPr>
          <w:rFonts w:ascii="Times New Roman" w:hAnsi="Times New Roman" w:cs="Times New Roman"/>
          <w:sz w:val="28"/>
          <w:szCs w:val="28"/>
        </w:rPr>
        <w:t>проблема</w:t>
      </w:r>
      <w:r w:rsidRPr="007F5722">
        <w:rPr>
          <w:rFonts w:ascii="Times New Roman" w:hAnsi="Times New Roman" w:cs="Times New Roman"/>
          <w:sz w:val="28"/>
          <w:szCs w:val="28"/>
          <w:lang w:val="en-US"/>
        </w:rPr>
        <w:t xml:space="preserve"> </w:t>
      </w:r>
      <w:r w:rsidRPr="007F5722">
        <w:rPr>
          <w:rFonts w:ascii="Times New Roman" w:hAnsi="Times New Roman" w:cs="Times New Roman"/>
          <w:sz w:val="28"/>
          <w:szCs w:val="28"/>
        </w:rPr>
        <w:t xml:space="preserve">сучасності. Медсестринство. 2016;1:23-26.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rPr>
        <w:t xml:space="preserve"> </w:t>
      </w:r>
      <w:r w:rsidRPr="007F5722">
        <w:rPr>
          <w:rFonts w:ascii="Times New Roman" w:hAnsi="Times New Roman" w:cs="Times New Roman"/>
          <w:sz w:val="28"/>
          <w:szCs w:val="28"/>
          <w:shd w:val="clear" w:color="auto" w:fill="FFFFFF"/>
          <w:lang w:val="en-US"/>
        </w:rPr>
        <w:t xml:space="preserve">Sironi AM, Gastaldelli A, Mari A, </w:t>
      </w:r>
      <w:hyperlink r:id="rId63" w:tooltip="Demetrio Ciociaro" w:history="1">
        <w:r w:rsidRPr="007F5722">
          <w:rPr>
            <w:rFonts w:ascii="Times New Roman" w:hAnsi="Times New Roman" w:cs="Times New Roman"/>
            <w:bCs/>
            <w:sz w:val="28"/>
            <w:szCs w:val="28"/>
            <w:shd w:val="clear" w:color="auto" w:fill="FFFFFF"/>
            <w:lang w:val="en-US"/>
          </w:rPr>
          <w:t>Ciociaro</w:t>
        </w:r>
      </w:hyperlink>
      <w:r w:rsidRPr="007F5722">
        <w:rPr>
          <w:rFonts w:ascii="Times New Roman" w:hAnsi="Times New Roman" w:cs="Times New Roman"/>
          <w:sz w:val="28"/>
          <w:szCs w:val="28"/>
          <w:shd w:val="clear" w:color="auto" w:fill="FFFFFF"/>
          <w:lang w:val="en-US"/>
        </w:rPr>
        <w:t xml:space="preserve"> D, </w:t>
      </w:r>
      <w:hyperlink r:id="rId64" w:tooltip="Vincenzo Postano" w:history="1">
        <w:r w:rsidRPr="007F5722">
          <w:rPr>
            <w:rFonts w:ascii="Times New Roman" w:hAnsi="Times New Roman" w:cs="Times New Roman"/>
            <w:bCs/>
            <w:sz w:val="28"/>
            <w:szCs w:val="28"/>
            <w:shd w:val="clear" w:color="auto" w:fill="FFFFFF"/>
            <w:lang w:val="en-US"/>
          </w:rPr>
          <w:t>Postano</w:t>
        </w:r>
      </w:hyperlink>
      <w:r w:rsidRPr="007F5722">
        <w:rPr>
          <w:rFonts w:ascii="Times New Roman" w:hAnsi="Times New Roman" w:cs="Times New Roman"/>
          <w:sz w:val="28"/>
          <w:szCs w:val="28"/>
          <w:shd w:val="clear" w:color="auto" w:fill="FFFFFF"/>
          <w:lang w:val="en-US"/>
        </w:rPr>
        <w:t xml:space="preserve"> V, </w:t>
      </w:r>
      <w:hyperlink r:id="rId65" w:tooltip="Emma Buzzigoli" w:history="1">
        <w:r w:rsidRPr="007F5722">
          <w:rPr>
            <w:rFonts w:ascii="Times New Roman" w:hAnsi="Times New Roman" w:cs="Times New Roman"/>
            <w:bCs/>
            <w:sz w:val="28"/>
            <w:szCs w:val="28"/>
            <w:shd w:val="clear" w:color="auto" w:fill="FFFFFF"/>
            <w:lang w:val="en-US"/>
          </w:rPr>
          <w:t>Buzzigoli</w:t>
        </w:r>
      </w:hyperlink>
      <w:r w:rsidRPr="007F5722">
        <w:rPr>
          <w:rFonts w:ascii="Times New Roman" w:hAnsi="Times New Roman" w:cs="Times New Roman"/>
          <w:sz w:val="28"/>
          <w:szCs w:val="28"/>
          <w:shd w:val="clear" w:color="auto" w:fill="FFFFFF"/>
          <w:lang w:val="en-US"/>
        </w:rPr>
        <w:t xml:space="preserve"> E et al. Visceral fat in hypertension: influence on insulin resistance and beta-cell function. </w:t>
      </w:r>
      <w:r w:rsidRPr="007F5722">
        <w:rPr>
          <w:rStyle w:val="af"/>
          <w:rFonts w:ascii="Times New Roman" w:hAnsi="Times New Roman" w:cs="Times New Roman"/>
          <w:sz w:val="28"/>
          <w:szCs w:val="28"/>
          <w:shd w:val="clear" w:color="auto" w:fill="FFFFFF"/>
          <w:lang w:val="en-US"/>
        </w:rPr>
        <w:t>Hypertension</w:t>
      </w:r>
      <w:r w:rsidRPr="007F5722">
        <w:rPr>
          <w:rStyle w:val="af"/>
          <w:rFonts w:ascii="Times New Roman" w:hAnsi="Times New Roman" w:cs="Times New Roman"/>
          <w:sz w:val="28"/>
          <w:szCs w:val="28"/>
          <w:shd w:val="clear" w:color="auto" w:fill="FFFFFF"/>
        </w:rPr>
        <w:t>.</w:t>
      </w:r>
      <w:r w:rsidRPr="007F5722">
        <w:rPr>
          <w:rStyle w:val="af"/>
          <w:rFonts w:ascii="Times New Roman" w:hAnsi="Times New Roman" w:cs="Times New Roman"/>
          <w:sz w:val="28"/>
          <w:szCs w:val="28"/>
          <w:shd w:val="clear" w:color="auto" w:fill="FFFFFF"/>
          <w:lang w:val="en-US"/>
        </w:rPr>
        <w:t xml:space="preserve"> </w:t>
      </w:r>
      <w:r w:rsidRPr="007F5722">
        <w:rPr>
          <w:rFonts w:ascii="Times New Roman" w:hAnsi="Times New Roman" w:cs="Times New Roman"/>
          <w:sz w:val="28"/>
          <w:szCs w:val="28"/>
          <w:shd w:val="clear" w:color="auto" w:fill="FFFFFF"/>
          <w:lang w:val="en-US"/>
        </w:rPr>
        <w:t xml:space="preserve">2004;44:127–133.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rPr>
        <w:t xml:space="preserve"> </w:t>
      </w:r>
      <w:r w:rsidRPr="007F5722">
        <w:rPr>
          <w:rFonts w:ascii="Times New Roman" w:hAnsi="Times New Roman" w:cs="Times New Roman"/>
          <w:sz w:val="28"/>
          <w:szCs w:val="28"/>
          <w:shd w:val="clear" w:color="auto" w:fill="FFFFFF"/>
          <w:lang w:val="en-US"/>
        </w:rPr>
        <w:t>Matsushita</w:t>
      </w:r>
      <w:r w:rsidRPr="007F5722">
        <w:rPr>
          <w:rFonts w:ascii="Times New Roman" w:hAnsi="Times New Roman" w:cs="Times New Roman"/>
          <w:sz w:val="28"/>
          <w:szCs w:val="28"/>
          <w:shd w:val="clear" w:color="auto" w:fill="FFFFFF"/>
        </w:rPr>
        <w:t xml:space="preserve"> </w:t>
      </w:r>
      <w:r w:rsidRPr="007F5722">
        <w:rPr>
          <w:rFonts w:ascii="Times New Roman" w:hAnsi="Times New Roman" w:cs="Times New Roman"/>
          <w:sz w:val="28"/>
          <w:szCs w:val="28"/>
          <w:shd w:val="clear" w:color="auto" w:fill="FFFFFF"/>
          <w:lang w:val="en-US"/>
        </w:rPr>
        <w:t>Y</w:t>
      </w:r>
      <w:r w:rsidRPr="007F5722">
        <w:rPr>
          <w:rFonts w:ascii="Times New Roman" w:hAnsi="Times New Roman" w:cs="Times New Roman"/>
          <w:sz w:val="28"/>
          <w:szCs w:val="28"/>
          <w:shd w:val="clear" w:color="auto" w:fill="FFFFFF"/>
        </w:rPr>
        <w:t xml:space="preserve">, </w:t>
      </w:r>
      <w:r w:rsidRPr="007F5722">
        <w:rPr>
          <w:rFonts w:ascii="Times New Roman" w:hAnsi="Times New Roman" w:cs="Times New Roman"/>
          <w:sz w:val="28"/>
          <w:szCs w:val="28"/>
          <w:shd w:val="clear" w:color="auto" w:fill="FFFFFF"/>
          <w:lang w:val="en-US"/>
        </w:rPr>
        <w:t>Nakagawa</w:t>
      </w:r>
      <w:r w:rsidRPr="007F5722">
        <w:rPr>
          <w:rFonts w:ascii="Times New Roman" w:hAnsi="Times New Roman" w:cs="Times New Roman"/>
          <w:sz w:val="28"/>
          <w:szCs w:val="28"/>
          <w:shd w:val="clear" w:color="auto" w:fill="FFFFFF"/>
        </w:rPr>
        <w:t xml:space="preserve"> </w:t>
      </w:r>
      <w:r w:rsidRPr="007F5722">
        <w:rPr>
          <w:rFonts w:ascii="Times New Roman" w:hAnsi="Times New Roman" w:cs="Times New Roman"/>
          <w:sz w:val="28"/>
          <w:szCs w:val="28"/>
          <w:shd w:val="clear" w:color="auto" w:fill="FFFFFF"/>
          <w:lang w:val="en-US"/>
        </w:rPr>
        <w:t>T</w:t>
      </w:r>
      <w:r w:rsidRPr="007F5722">
        <w:rPr>
          <w:rFonts w:ascii="Times New Roman" w:hAnsi="Times New Roman" w:cs="Times New Roman"/>
          <w:sz w:val="28"/>
          <w:szCs w:val="28"/>
          <w:shd w:val="clear" w:color="auto" w:fill="FFFFFF"/>
        </w:rPr>
        <w:t xml:space="preserve">, </w:t>
      </w:r>
      <w:r w:rsidRPr="007F5722">
        <w:rPr>
          <w:rFonts w:ascii="Times New Roman" w:hAnsi="Times New Roman" w:cs="Times New Roman"/>
          <w:sz w:val="28"/>
          <w:szCs w:val="28"/>
          <w:shd w:val="clear" w:color="auto" w:fill="FFFFFF"/>
          <w:lang w:val="en-US"/>
        </w:rPr>
        <w:t>Yamamoto</w:t>
      </w:r>
      <w:r w:rsidRPr="007F5722">
        <w:rPr>
          <w:rFonts w:ascii="Times New Roman" w:hAnsi="Times New Roman" w:cs="Times New Roman"/>
          <w:sz w:val="28"/>
          <w:szCs w:val="28"/>
          <w:shd w:val="clear" w:color="auto" w:fill="FFFFFF"/>
        </w:rPr>
        <w:t xml:space="preserve"> </w:t>
      </w:r>
      <w:r w:rsidRPr="007F5722">
        <w:rPr>
          <w:rFonts w:ascii="Times New Roman" w:hAnsi="Times New Roman" w:cs="Times New Roman"/>
          <w:sz w:val="28"/>
          <w:szCs w:val="28"/>
          <w:shd w:val="clear" w:color="auto" w:fill="FFFFFF"/>
          <w:lang w:val="en-US"/>
        </w:rPr>
        <w:t>S</w:t>
      </w:r>
      <w:r w:rsidRPr="007F5722">
        <w:rPr>
          <w:rFonts w:ascii="Times New Roman" w:hAnsi="Times New Roman" w:cs="Times New Roman"/>
          <w:sz w:val="28"/>
          <w:szCs w:val="28"/>
          <w:shd w:val="clear" w:color="auto" w:fill="FFFFFF"/>
        </w:rPr>
        <w:t xml:space="preserve">, </w:t>
      </w:r>
      <w:hyperlink r:id="rId66" w:history="1">
        <w:r w:rsidRPr="007F5722">
          <w:rPr>
            <w:rFonts w:ascii="Times New Roman" w:hAnsi="Times New Roman" w:cs="Times New Roman"/>
            <w:sz w:val="28"/>
            <w:szCs w:val="28"/>
            <w:shd w:val="clear" w:color="auto" w:fill="FFFFFF"/>
            <w:lang w:val="en-US"/>
          </w:rPr>
          <w:t>Takahashi</w:t>
        </w:r>
        <w:r w:rsidRPr="007F5722">
          <w:rPr>
            <w:rFonts w:ascii="Times New Roman" w:hAnsi="Times New Roman" w:cs="Times New Roman"/>
            <w:sz w:val="28"/>
            <w:szCs w:val="28"/>
            <w:shd w:val="clear" w:color="auto" w:fill="FFFFFF"/>
          </w:rPr>
          <w:t xml:space="preserve"> </w:t>
        </w:r>
        <w:r w:rsidRPr="007F5722">
          <w:rPr>
            <w:rFonts w:ascii="Times New Roman" w:hAnsi="Times New Roman" w:cs="Times New Roman"/>
            <w:sz w:val="28"/>
            <w:szCs w:val="28"/>
            <w:shd w:val="clear" w:color="auto" w:fill="FFFFFF"/>
            <w:lang w:val="en-US"/>
          </w:rPr>
          <w:t>Y</w:t>
        </w:r>
      </w:hyperlink>
      <w:r w:rsidRPr="007F5722">
        <w:rPr>
          <w:rFonts w:ascii="Times New Roman" w:hAnsi="Times New Roman" w:cs="Times New Roman"/>
          <w:sz w:val="28"/>
          <w:szCs w:val="28"/>
          <w:shd w:val="clear" w:color="auto" w:fill="FFFFFF"/>
        </w:rPr>
        <w:t xml:space="preserve">, </w:t>
      </w:r>
      <w:hyperlink r:id="rId67" w:history="1">
        <w:r w:rsidRPr="007F5722">
          <w:rPr>
            <w:rFonts w:ascii="Times New Roman" w:hAnsi="Times New Roman" w:cs="Times New Roman"/>
            <w:sz w:val="28"/>
            <w:szCs w:val="28"/>
            <w:shd w:val="clear" w:color="auto" w:fill="FFFFFF"/>
            <w:lang w:val="en-US"/>
          </w:rPr>
          <w:t>Yokoyama</w:t>
        </w:r>
        <w:r w:rsidRPr="007F5722">
          <w:rPr>
            <w:rFonts w:ascii="Times New Roman" w:hAnsi="Times New Roman" w:cs="Times New Roman"/>
            <w:sz w:val="28"/>
            <w:szCs w:val="28"/>
            <w:shd w:val="clear" w:color="auto" w:fill="FFFFFF"/>
          </w:rPr>
          <w:t xml:space="preserve"> </w:t>
        </w:r>
        <w:r w:rsidRPr="007F5722">
          <w:rPr>
            <w:rFonts w:ascii="Times New Roman" w:hAnsi="Times New Roman" w:cs="Times New Roman"/>
            <w:sz w:val="28"/>
            <w:szCs w:val="28"/>
            <w:shd w:val="clear" w:color="auto" w:fill="FFFFFF"/>
            <w:lang w:val="en-US"/>
          </w:rPr>
          <w:t>T</w:t>
        </w:r>
      </w:hyperlink>
      <w:r w:rsidRPr="007F5722">
        <w:rPr>
          <w:rFonts w:ascii="Times New Roman" w:hAnsi="Times New Roman" w:cs="Times New Roman"/>
          <w:sz w:val="28"/>
          <w:szCs w:val="28"/>
          <w:shd w:val="clear" w:color="auto" w:fill="FFFFFF"/>
        </w:rPr>
        <w:t xml:space="preserve">, </w:t>
      </w:r>
      <w:hyperlink r:id="rId68" w:history="1">
        <w:r w:rsidRPr="007F5722">
          <w:rPr>
            <w:rFonts w:ascii="Times New Roman" w:hAnsi="Times New Roman" w:cs="Times New Roman"/>
            <w:sz w:val="28"/>
            <w:szCs w:val="28"/>
            <w:shd w:val="clear" w:color="auto" w:fill="FFFFFF"/>
            <w:lang w:val="en-US"/>
          </w:rPr>
          <w:t>Mizoue T</w:t>
        </w:r>
      </w:hyperlink>
      <w:r w:rsidRPr="007F5722">
        <w:rPr>
          <w:rFonts w:ascii="Times New Roman" w:hAnsi="Times New Roman" w:cs="Times New Roman"/>
          <w:sz w:val="28"/>
          <w:szCs w:val="28"/>
          <w:shd w:val="clear" w:color="auto" w:fill="FFFFFF"/>
        </w:rPr>
        <w:t xml:space="preserve"> </w:t>
      </w:r>
      <w:r w:rsidRPr="007F5722">
        <w:rPr>
          <w:rFonts w:ascii="Times New Roman" w:hAnsi="Times New Roman" w:cs="Times New Roman"/>
          <w:sz w:val="28"/>
          <w:szCs w:val="28"/>
          <w:shd w:val="clear" w:color="auto" w:fill="FFFFFF"/>
          <w:lang w:val="en-US"/>
        </w:rPr>
        <w:t>et</w:t>
      </w:r>
      <w:r w:rsidRPr="007F5722">
        <w:rPr>
          <w:rFonts w:ascii="Times New Roman" w:hAnsi="Times New Roman" w:cs="Times New Roman"/>
          <w:sz w:val="28"/>
          <w:szCs w:val="28"/>
          <w:shd w:val="clear" w:color="auto" w:fill="FFFFFF"/>
        </w:rPr>
        <w:t xml:space="preserve"> </w:t>
      </w:r>
      <w:r w:rsidRPr="007F5722">
        <w:rPr>
          <w:rFonts w:ascii="Times New Roman" w:hAnsi="Times New Roman" w:cs="Times New Roman"/>
          <w:sz w:val="28"/>
          <w:szCs w:val="28"/>
          <w:shd w:val="clear" w:color="auto" w:fill="FFFFFF"/>
          <w:lang w:val="en-US"/>
        </w:rPr>
        <w:t>al</w:t>
      </w:r>
      <w:r w:rsidRPr="007F5722">
        <w:rPr>
          <w:rFonts w:ascii="Times New Roman" w:hAnsi="Times New Roman" w:cs="Times New Roman"/>
          <w:sz w:val="28"/>
          <w:szCs w:val="28"/>
          <w:shd w:val="clear" w:color="auto" w:fill="FFFFFF"/>
        </w:rPr>
        <w:t xml:space="preserve">. </w:t>
      </w:r>
      <w:r w:rsidRPr="007F5722">
        <w:rPr>
          <w:rFonts w:ascii="Times New Roman" w:hAnsi="Times New Roman" w:cs="Times New Roman"/>
          <w:sz w:val="28"/>
          <w:szCs w:val="28"/>
          <w:shd w:val="clear" w:color="auto" w:fill="FFFFFF"/>
          <w:lang w:val="en-US"/>
        </w:rPr>
        <w:t xml:space="preserve">Effect of longitudinal changes in visceral fat area on incidence of metabolic risk factors: the Hitachi health study. </w:t>
      </w:r>
      <w:r w:rsidRPr="007F5722">
        <w:rPr>
          <w:rStyle w:val="af"/>
          <w:rFonts w:ascii="Times New Roman" w:hAnsi="Times New Roman" w:cs="Times New Roman"/>
          <w:sz w:val="28"/>
          <w:szCs w:val="28"/>
          <w:shd w:val="clear" w:color="auto" w:fill="FFFFFF"/>
          <w:lang w:val="en-US"/>
        </w:rPr>
        <w:t>Obesity</w:t>
      </w:r>
      <w:r w:rsidRPr="007F5722">
        <w:rPr>
          <w:rStyle w:val="af"/>
          <w:rFonts w:ascii="Times New Roman" w:hAnsi="Times New Roman" w:cs="Times New Roman"/>
          <w:sz w:val="28"/>
          <w:szCs w:val="28"/>
          <w:shd w:val="clear" w:color="auto" w:fill="FFFFFF"/>
        </w:rPr>
        <w:t>.</w:t>
      </w:r>
      <w:r w:rsidRPr="007F5722">
        <w:rPr>
          <w:rFonts w:ascii="Times New Roman" w:hAnsi="Times New Roman" w:cs="Times New Roman"/>
          <w:sz w:val="28"/>
          <w:szCs w:val="28"/>
          <w:shd w:val="clear" w:color="auto" w:fill="FFFFFF"/>
          <w:lang w:val="en-US"/>
        </w:rPr>
        <w:t xml:space="preserve"> 2013;21:2126–2129.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 xml:space="preserve"> </w:t>
      </w:r>
      <w:r w:rsidRPr="007F5722">
        <w:rPr>
          <w:rFonts w:ascii="Times New Roman" w:hAnsi="Times New Roman" w:cs="Times New Roman"/>
          <w:sz w:val="28"/>
          <w:szCs w:val="28"/>
        </w:rPr>
        <w:t>Chandran M, Phillips SA, Ciaraldi T, Henry RR. Adiponectin: more than just another fat cell hormone?. </w:t>
      </w:r>
      <w:r w:rsidRPr="007F5722">
        <w:rPr>
          <w:rFonts w:ascii="Times New Roman" w:hAnsi="Times New Roman" w:cs="Times New Roman"/>
          <w:i/>
          <w:iCs/>
          <w:sz w:val="28"/>
          <w:szCs w:val="28"/>
        </w:rPr>
        <w:t>Diabetes Care</w:t>
      </w:r>
      <w:r w:rsidRPr="007F5722">
        <w:rPr>
          <w:rFonts w:ascii="Times New Roman" w:hAnsi="Times New Roman" w:cs="Times New Roman"/>
          <w:sz w:val="28"/>
          <w:szCs w:val="28"/>
        </w:rPr>
        <w:t>. 2003;26(8):2442-2450. doi:10.2337/diacare.26.8.2442</w:t>
      </w:r>
      <w:r w:rsidRPr="007F5722">
        <w:rPr>
          <w:rFonts w:ascii="Times New Roman" w:hAnsi="Times New Roman" w:cs="Times New Roman"/>
          <w:sz w:val="28"/>
          <w:szCs w:val="28"/>
          <w:lang w:val="en-US"/>
        </w:rPr>
        <w:t>.</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ru-RU"/>
        </w:rPr>
        <w:t xml:space="preserve"> </w:t>
      </w:r>
      <w:r w:rsidRPr="007F5722">
        <w:rPr>
          <w:rFonts w:ascii="Times New Roman" w:hAnsi="Times New Roman" w:cs="Times New Roman"/>
          <w:sz w:val="28"/>
          <w:szCs w:val="28"/>
        </w:rPr>
        <w:t xml:space="preserve">Белова ОВ, Арион ВЯ, Сергиенко ВИ. </w:t>
      </w:r>
      <w:r w:rsidRPr="007F5722">
        <w:rPr>
          <w:rFonts w:ascii="Times New Roman" w:hAnsi="Times New Roman"/>
          <w:sz w:val="28"/>
          <w:szCs w:val="28"/>
          <w:shd w:val="clear" w:color="auto" w:fill="FFFFFF"/>
        </w:rPr>
        <w:t>Роль цитокинов в иммуологической функции кожи. Иммунопатология, аллергология, инфектология</w:t>
      </w:r>
      <w:r w:rsidRPr="007F5722">
        <w:rPr>
          <w:rFonts w:ascii="Times New Roman" w:hAnsi="Times New Roman"/>
          <w:i/>
          <w:sz w:val="28"/>
          <w:szCs w:val="28"/>
          <w:shd w:val="clear" w:color="auto" w:fill="FFFFFF"/>
        </w:rPr>
        <w:t>.</w:t>
      </w:r>
      <w:r w:rsidRPr="007F5722">
        <w:rPr>
          <w:rFonts w:ascii="Times New Roman" w:hAnsi="Times New Roman"/>
          <w:sz w:val="28"/>
          <w:szCs w:val="28"/>
          <w:shd w:val="clear" w:color="auto" w:fill="FFFFFF"/>
        </w:rPr>
        <w:t xml:space="preserve"> 2008;1:41-55</w:t>
      </w:r>
      <w:r w:rsidRPr="007F5722">
        <w:rPr>
          <w:rFonts w:ascii="Times New Roman" w:hAnsi="Times New Roman"/>
          <w:sz w:val="28"/>
          <w:szCs w:val="28"/>
        </w:rPr>
        <w:t>.</w:t>
      </w:r>
      <w:r w:rsidRPr="007F5722">
        <w:rPr>
          <w:rFonts w:ascii="Times New Roman" w:hAnsi="Times New Roman"/>
          <w:sz w:val="28"/>
          <w:szCs w:val="28"/>
          <w:lang w:val="ru-RU"/>
        </w:rPr>
        <w:t xml:space="preserve">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de-DE"/>
        </w:rPr>
        <w:t xml:space="preserve"> </w:t>
      </w:r>
      <w:r w:rsidRPr="007F5722">
        <w:rPr>
          <w:rFonts w:ascii="Times New Roman" w:hAnsi="Times New Roman"/>
          <w:sz w:val="28"/>
          <w:szCs w:val="28"/>
        </w:rPr>
        <w:t xml:space="preserve">Wolk </w:t>
      </w:r>
      <w:r w:rsidRPr="007F5722">
        <w:rPr>
          <w:rFonts w:ascii="Times New Roman" w:hAnsi="Times New Roman"/>
          <w:sz w:val="28"/>
          <w:szCs w:val="28"/>
          <w:lang w:val="de-DE"/>
        </w:rPr>
        <w:t>K</w:t>
      </w:r>
      <w:r w:rsidRPr="007F5722">
        <w:rPr>
          <w:rFonts w:ascii="Times New Roman" w:hAnsi="Times New Roman"/>
          <w:sz w:val="28"/>
          <w:szCs w:val="28"/>
        </w:rPr>
        <w:t xml:space="preserve">, Witte </w:t>
      </w:r>
      <w:r w:rsidRPr="007F5722">
        <w:rPr>
          <w:rFonts w:ascii="Times New Roman" w:hAnsi="Times New Roman"/>
          <w:sz w:val="28"/>
          <w:szCs w:val="28"/>
          <w:lang w:val="de-DE"/>
        </w:rPr>
        <w:t>E</w:t>
      </w:r>
      <w:r w:rsidRPr="007F5722">
        <w:rPr>
          <w:rFonts w:ascii="Times New Roman" w:hAnsi="Times New Roman"/>
          <w:sz w:val="28"/>
          <w:szCs w:val="28"/>
        </w:rPr>
        <w:t xml:space="preserve">, Witte </w:t>
      </w:r>
      <w:r w:rsidRPr="007F5722">
        <w:rPr>
          <w:rFonts w:ascii="Times New Roman" w:hAnsi="Times New Roman"/>
          <w:sz w:val="28"/>
          <w:szCs w:val="28"/>
          <w:lang w:val="de-DE"/>
        </w:rPr>
        <w:t xml:space="preserve">K, </w:t>
      </w:r>
      <w:hyperlink r:id="rId69" w:history="1">
        <w:r w:rsidRPr="007F5722">
          <w:rPr>
            <w:rFonts w:ascii="Times New Roman" w:hAnsi="Times New Roman"/>
            <w:sz w:val="28"/>
            <w:szCs w:val="28"/>
            <w:lang w:val="de-DE"/>
          </w:rPr>
          <w:t>Warszawska K</w:t>
        </w:r>
      </w:hyperlink>
      <w:r w:rsidRPr="007F5722">
        <w:rPr>
          <w:rFonts w:ascii="Times New Roman" w:hAnsi="Times New Roman"/>
          <w:sz w:val="28"/>
          <w:szCs w:val="28"/>
          <w:lang w:val="de-DE"/>
        </w:rPr>
        <w:t xml:space="preserve">, </w:t>
      </w:r>
      <w:hyperlink r:id="rId70" w:history="1">
        <w:r w:rsidRPr="007F5722">
          <w:rPr>
            <w:rFonts w:ascii="Times New Roman" w:hAnsi="Times New Roman"/>
            <w:sz w:val="28"/>
            <w:szCs w:val="28"/>
            <w:lang w:val="de-DE"/>
          </w:rPr>
          <w:t>Sabat R</w:t>
        </w:r>
      </w:hyperlink>
      <w:r w:rsidRPr="007F5722">
        <w:rPr>
          <w:rFonts w:ascii="Times New Roman" w:hAnsi="Times New Roman"/>
          <w:sz w:val="28"/>
          <w:szCs w:val="28"/>
        </w:rPr>
        <w:t>. Biology of interleukin-22. Semin</w:t>
      </w:r>
      <w:r w:rsidRPr="007F5722">
        <w:rPr>
          <w:rFonts w:ascii="Times New Roman" w:hAnsi="Times New Roman"/>
          <w:sz w:val="28"/>
          <w:szCs w:val="28"/>
          <w:lang w:val="en-US"/>
        </w:rPr>
        <w:t>ars</w:t>
      </w:r>
      <w:r w:rsidRPr="007F5722">
        <w:rPr>
          <w:rFonts w:ascii="Times New Roman" w:hAnsi="Times New Roman"/>
          <w:sz w:val="28"/>
          <w:szCs w:val="28"/>
        </w:rPr>
        <w:t xml:space="preserve"> Immunopathol</w:t>
      </w:r>
      <w:r w:rsidRPr="007F5722">
        <w:rPr>
          <w:rFonts w:ascii="Times New Roman" w:hAnsi="Times New Roman"/>
          <w:sz w:val="28"/>
          <w:szCs w:val="28"/>
          <w:lang w:val="en-US"/>
        </w:rPr>
        <w:t>ogy</w:t>
      </w:r>
      <w:r w:rsidRPr="007F5722">
        <w:rPr>
          <w:rFonts w:ascii="Times New Roman" w:hAnsi="Times New Roman"/>
          <w:sz w:val="28"/>
          <w:szCs w:val="28"/>
        </w:rPr>
        <w:t>. 2010;32:17–31.</w:t>
      </w:r>
      <w:r w:rsidRPr="007F5722">
        <w:rPr>
          <w:rFonts w:ascii="Times New Roman" w:hAnsi="Times New Roman"/>
          <w:sz w:val="28"/>
          <w:szCs w:val="28"/>
          <w:lang w:val="en-US"/>
        </w:rPr>
        <w:t xml:space="preserve">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de-DE"/>
        </w:rPr>
        <w:t xml:space="preserve"> </w:t>
      </w:r>
      <w:r w:rsidRPr="007F5722">
        <w:rPr>
          <w:rFonts w:ascii="Times New Roman" w:hAnsi="Times New Roman"/>
          <w:sz w:val="28"/>
          <w:szCs w:val="28"/>
        </w:rPr>
        <w:t xml:space="preserve">Yang </w:t>
      </w:r>
      <w:r w:rsidRPr="007F5722">
        <w:rPr>
          <w:rFonts w:ascii="Times New Roman" w:hAnsi="Times New Roman"/>
          <w:sz w:val="28"/>
          <w:szCs w:val="28"/>
          <w:lang w:val="de-DE"/>
        </w:rPr>
        <w:t>L</w:t>
      </w:r>
      <w:r w:rsidRPr="007F5722">
        <w:rPr>
          <w:rFonts w:ascii="Times New Roman" w:hAnsi="Times New Roman"/>
          <w:sz w:val="28"/>
          <w:szCs w:val="28"/>
        </w:rPr>
        <w:t xml:space="preserve">, Zhang </w:t>
      </w:r>
      <w:r w:rsidRPr="007F5722">
        <w:rPr>
          <w:rFonts w:ascii="Times New Roman" w:hAnsi="Times New Roman"/>
          <w:sz w:val="28"/>
          <w:szCs w:val="28"/>
          <w:lang w:val="de-DE"/>
        </w:rPr>
        <w:t>Y</w:t>
      </w:r>
      <w:r w:rsidRPr="007F5722">
        <w:rPr>
          <w:rFonts w:ascii="Times New Roman" w:hAnsi="Times New Roman"/>
          <w:sz w:val="28"/>
          <w:szCs w:val="28"/>
        </w:rPr>
        <w:t>, Wang</w:t>
      </w:r>
      <w:r w:rsidRPr="007F5722">
        <w:rPr>
          <w:rFonts w:ascii="Times New Roman" w:hAnsi="Times New Roman"/>
          <w:sz w:val="28"/>
          <w:szCs w:val="28"/>
          <w:lang w:val="de-DE"/>
        </w:rPr>
        <w:t xml:space="preserve"> L, </w:t>
      </w:r>
      <w:hyperlink r:id="rId71" w:history="1">
        <w:r w:rsidRPr="007F5722">
          <w:rPr>
            <w:rFonts w:ascii="Times New Roman" w:hAnsi="Times New Roman"/>
            <w:sz w:val="28"/>
            <w:szCs w:val="28"/>
            <w:lang w:val="de-DE"/>
          </w:rPr>
          <w:t>Fan F</w:t>
        </w:r>
      </w:hyperlink>
      <w:r w:rsidRPr="007F5722">
        <w:rPr>
          <w:rFonts w:ascii="Times New Roman" w:hAnsi="Times New Roman"/>
          <w:sz w:val="28"/>
          <w:szCs w:val="28"/>
          <w:lang w:val="de-DE"/>
        </w:rPr>
        <w:t xml:space="preserve">, </w:t>
      </w:r>
      <w:hyperlink r:id="rId72" w:history="1">
        <w:r w:rsidRPr="007F5722">
          <w:rPr>
            <w:rFonts w:ascii="Times New Roman" w:hAnsi="Times New Roman"/>
            <w:sz w:val="28"/>
            <w:szCs w:val="28"/>
            <w:lang w:val="de-DE"/>
          </w:rPr>
          <w:t>Zhu L</w:t>
        </w:r>
      </w:hyperlink>
      <w:r w:rsidRPr="007F5722">
        <w:rPr>
          <w:rFonts w:ascii="Times New Roman" w:hAnsi="Times New Roman"/>
          <w:sz w:val="28"/>
          <w:szCs w:val="28"/>
          <w:lang w:val="de-DE"/>
        </w:rPr>
        <w:t xml:space="preserve">, </w:t>
      </w:r>
      <w:hyperlink r:id="rId73" w:history="1">
        <w:r w:rsidRPr="007F5722">
          <w:rPr>
            <w:rFonts w:ascii="Times New Roman" w:hAnsi="Times New Roman"/>
            <w:sz w:val="28"/>
            <w:szCs w:val="28"/>
            <w:lang w:val="de-DE"/>
          </w:rPr>
          <w:t>Li Z</w:t>
        </w:r>
      </w:hyperlink>
      <w:r w:rsidRPr="007F5722">
        <w:rPr>
          <w:rFonts w:ascii="Times New Roman" w:hAnsi="Times New Roman"/>
          <w:sz w:val="28"/>
          <w:szCs w:val="28"/>
          <w:lang w:val="de-DE"/>
        </w:rPr>
        <w:t>. et al</w:t>
      </w:r>
      <w:r w:rsidRPr="007F5722">
        <w:rPr>
          <w:rFonts w:ascii="Times New Roman" w:hAnsi="Times New Roman"/>
          <w:sz w:val="28"/>
          <w:szCs w:val="28"/>
        </w:rPr>
        <w:t>. Amelioration of high fat diet іnduced liver lipogenesis and hepatic steatosis by interleukin-22. Journal of Hepatology. 2010;53:339–347</w:t>
      </w:r>
      <w:r w:rsidRPr="007F5722">
        <w:rPr>
          <w:rFonts w:ascii="Times New Roman" w:hAnsi="Times New Roman"/>
          <w:sz w:val="28"/>
          <w:szCs w:val="28"/>
          <w:lang w:val="en-US"/>
        </w:rPr>
        <w:t xml:space="preserve">.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pacing w:val="3"/>
          <w:sz w:val="28"/>
          <w:szCs w:val="28"/>
          <w:lang w:val="en-US"/>
        </w:rPr>
        <w:lastRenderedPageBreak/>
        <w:t xml:space="preserve"> Dumoutier L</w:t>
      </w:r>
      <w:r w:rsidRPr="007F5722">
        <w:rPr>
          <w:rFonts w:ascii="Times New Roman" w:eastAsia="Times New Roman" w:hAnsi="Times New Roman" w:cs="Times New Roman"/>
          <w:spacing w:val="3"/>
          <w:sz w:val="28"/>
          <w:szCs w:val="28"/>
          <w:shd w:val="clear" w:color="auto" w:fill="FFFFFF"/>
          <w:lang w:val="en-US"/>
        </w:rPr>
        <w:t xml:space="preserve">, </w:t>
      </w:r>
      <w:r w:rsidRPr="007F5722">
        <w:rPr>
          <w:rFonts w:ascii="Times New Roman" w:eastAsia="Times New Roman" w:hAnsi="Times New Roman" w:cs="Times New Roman"/>
          <w:spacing w:val="3"/>
          <w:sz w:val="28"/>
          <w:szCs w:val="28"/>
          <w:lang w:val="en-US"/>
        </w:rPr>
        <w:t>Louahed J,</w:t>
      </w:r>
      <w:r w:rsidRPr="007F5722">
        <w:rPr>
          <w:rFonts w:ascii="Times New Roman" w:eastAsia="Times New Roman" w:hAnsi="Times New Roman" w:cs="Times New Roman"/>
          <w:spacing w:val="3"/>
          <w:sz w:val="28"/>
          <w:szCs w:val="28"/>
          <w:shd w:val="clear" w:color="auto" w:fill="FFFFFF"/>
          <w:lang w:val="en-US"/>
        </w:rPr>
        <w:t xml:space="preserve"> </w:t>
      </w:r>
      <w:r w:rsidRPr="007F5722">
        <w:rPr>
          <w:rFonts w:ascii="Times New Roman" w:eastAsia="Times New Roman" w:hAnsi="Times New Roman" w:cs="Times New Roman"/>
          <w:spacing w:val="3"/>
          <w:sz w:val="28"/>
          <w:szCs w:val="28"/>
          <w:lang w:val="en-US"/>
        </w:rPr>
        <w:t>Renauld JC.</w:t>
      </w:r>
      <w:r w:rsidRPr="007F5722">
        <w:rPr>
          <w:rFonts w:ascii="Times New Roman" w:eastAsia="Times New Roman" w:hAnsi="Times New Roman" w:cs="Times New Roman"/>
          <w:spacing w:val="3"/>
          <w:sz w:val="28"/>
          <w:szCs w:val="28"/>
          <w:shd w:val="clear" w:color="auto" w:fill="FFFFFF"/>
          <w:lang w:val="en-US"/>
        </w:rPr>
        <w:t xml:space="preserve"> </w:t>
      </w:r>
      <w:r w:rsidRPr="007F5722">
        <w:rPr>
          <w:rFonts w:ascii="Times New Roman" w:eastAsia="Times New Roman" w:hAnsi="Times New Roman" w:cs="Times New Roman"/>
          <w:spacing w:val="3"/>
          <w:sz w:val="28"/>
          <w:szCs w:val="28"/>
          <w:lang w:val="en-US"/>
        </w:rPr>
        <w:t>Cloning and characterization of IL-10-related T cell-derived inducible factor (IL-TIF), a novel cytokine structurally related to IL-10 and inducible by IL-9</w:t>
      </w:r>
      <w:r w:rsidRPr="007F5722">
        <w:rPr>
          <w:rFonts w:ascii="Times New Roman" w:eastAsia="Times New Roman" w:hAnsi="Times New Roman" w:cs="Times New Roman"/>
          <w:spacing w:val="3"/>
          <w:sz w:val="28"/>
          <w:szCs w:val="28"/>
          <w:shd w:val="clear" w:color="auto" w:fill="FFFFFF"/>
          <w:lang w:val="en-US"/>
        </w:rPr>
        <w:t xml:space="preserve">. The </w:t>
      </w:r>
      <w:r w:rsidRPr="007F5722">
        <w:rPr>
          <w:rFonts w:ascii="Times New Roman" w:eastAsia="Times New Roman" w:hAnsi="Times New Roman" w:cs="Times New Roman"/>
          <w:iCs/>
          <w:spacing w:val="3"/>
          <w:sz w:val="28"/>
          <w:szCs w:val="28"/>
          <w:lang w:val="en-US"/>
        </w:rPr>
        <w:t>Journal of Immunology</w:t>
      </w:r>
      <w:r w:rsidRPr="007F5722">
        <w:rPr>
          <w:rFonts w:ascii="Times New Roman" w:eastAsia="Times New Roman" w:hAnsi="Times New Roman" w:cs="Times New Roman"/>
          <w:i/>
          <w:iCs/>
          <w:spacing w:val="3"/>
          <w:sz w:val="28"/>
          <w:szCs w:val="28"/>
          <w:lang w:val="en-US"/>
        </w:rPr>
        <w:t>.</w:t>
      </w:r>
      <w:r w:rsidRPr="007F5722">
        <w:rPr>
          <w:rFonts w:ascii="Times New Roman" w:eastAsia="Times New Roman" w:hAnsi="Times New Roman" w:cs="Times New Roman"/>
          <w:spacing w:val="3"/>
          <w:sz w:val="28"/>
          <w:szCs w:val="28"/>
          <w:shd w:val="clear" w:color="auto" w:fill="FFFFFF"/>
          <w:lang w:val="en-US"/>
        </w:rPr>
        <w:t xml:space="preserve"> 2000;</w:t>
      </w:r>
      <w:r w:rsidRPr="007F5722">
        <w:rPr>
          <w:rFonts w:ascii="Times New Roman" w:eastAsia="Times New Roman" w:hAnsi="Times New Roman" w:cs="Times New Roman"/>
          <w:bCs/>
          <w:spacing w:val="3"/>
          <w:sz w:val="28"/>
          <w:szCs w:val="28"/>
          <w:lang w:val="en-US"/>
        </w:rPr>
        <w:t>164</w:t>
      </w:r>
      <w:r w:rsidRPr="007F5722">
        <w:rPr>
          <w:rFonts w:ascii="Times New Roman" w:eastAsia="Times New Roman" w:hAnsi="Times New Roman" w:cs="Times New Roman"/>
          <w:spacing w:val="3"/>
          <w:sz w:val="28"/>
          <w:szCs w:val="28"/>
          <w:shd w:val="clear" w:color="auto" w:fill="FFFFFF"/>
        </w:rPr>
        <w:t>:</w:t>
      </w:r>
      <w:r w:rsidRPr="007F5722">
        <w:rPr>
          <w:rFonts w:ascii="Times New Roman" w:eastAsia="Times New Roman" w:hAnsi="Times New Roman" w:cs="Times New Roman"/>
          <w:spacing w:val="3"/>
          <w:sz w:val="28"/>
          <w:szCs w:val="28"/>
          <w:shd w:val="clear" w:color="auto" w:fill="FFFFFF"/>
          <w:lang w:val="en-US"/>
        </w:rPr>
        <w:t xml:space="preserve">1814–1819. </w:t>
      </w:r>
    </w:p>
    <w:p w:rsidR="007F5722" w:rsidRPr="007F5722" w:rsidRDefault="007F5722" w:rsidP="007F5722">
      <w:pPr>
        <w:pStyle w:val="a8"/>
        <w:numPr>
          <w:ilvl w:val="0"/>
          <w:numId w:val="25"/>
        </w:numPr>
        <w:spacing w:after="0" w:line="360" w:lineRule="auto"/>
        <w:ind w:left="0" w:firstLine="357"/>
        <w:jc w:val="both"/>
        <w:rPr>
          <w:rStyle w:val="cit-lpage"/>
          <w:rFonts w:ascii="Times New Roman" w:hAnsi="Times New Roman" w:cs="Times New Roman"/>
          <w:sz w:val="28"/>
          <w:szCs w:val="28"/>
        </w:rPr>
      </w:pPr>
      <w:r w:rsidRPr="007F5722">
        <w:rPr>
          <w:rFonts w:ascii="Times New Roman" w:hAnsi="Times New Roman" w:cs="Times New Roman"/>
          <w:sz w:val="28"/>
          <w:szCs w:val="28"/>
          <w:lang w:val="de-DE"/>
        </w:rPr>
        <w:t xml:space="preserve"> </w:t>
      </w:r>
      <w:r w:rsidRPr="007F5722">
        <w:rPr>
          <w:rStyle w:val="cit-name-surname"/>
          <w:rFonts w:ascii="Times New Roman" w:eastAsia="Times New Roman" w:hAnsi="Times New Roman" w:cs="Times New Roman"/>
          <w:sz w:val="28"/>
          <w:szCs w:val="28"/>
          <w:lang w:val="de-DE"/>
        </w:rPr>
        <w:t>Kamat</w:t>
      </w:r>
      <w:r w:rsidRPr="007F5722">
        <w:rPr>
          <w:rStyle w:val="apple-converted-space"/>
          <w:rFonts w:ascii="Times New Roman" w:eastAsia="Times New Roman" w:hAnsi="Times New Roman" w:cs="Times New Roman"/>
          <w:sz w:val="28"/>
          <w:szCs w:val="28"/>
          <w:lang w:val="de-DE"/>
        </w:rPr>
        <w:t xml:space="preserve"> </w:t>
      </w:r>
      <w:r w:rsidRPr="007F5722">
        <w:rPr>
          <w:rStyle w:val="cit-name-given-names"/>
          <w:rFonts w:ascii="Times New Roman" w:eastAsia="Times New Roman" w:hAnsi="Times New Roman" w:cs="Times New Roman"/>
          <w:sz w:val="28"/>
          <w:szCs w:val="28"/>
          <w:lang w:val="de-DE"/>
        </w:rPr>
        <w:t>NV</w:t>
      </w:r>
      <w:r w:rsidRPr="007F5722">
        <w:rPr>
          <w:rStyle w:val="HTML"/>
          <w:rFonts w:ascii="Times New Roman" w:eastAsia="Times New Roman" w:hAnsi="Times New Roman" w:cs="Times New Roman"/>
          <w:sz w:val="28"/>
          <w:szCs w:val="28"/>
          <w:lang w:val="de-DE"/>
        </w:rPr>
        <w:t>,</w:t>
      </w:r>
      <w:r w:rsidRPr="007F5722">
        <w:rPr>
          <w:rStyle w:val="apple-converted-space"/>
          <w:rFonts w:ascii="Times New Roman" w:eastAsia="Times New Roman" w:hAnsi="Times New Roman" w:cs="Times New Roman"/>
          <w:sz w:val="28"/>
          <w:szCs w:val="28"/>
          <w:lang w:val="de-DE"/>
        </w:rPr>
        <w:t xml:space="preserve"> </w:t>
      </w:r>
      <w:r w:rsidRPr="007F5722">
        <w:rPr>
          <w:rStyle w:val="cit-name-surname"/>
          <w:rFonts w:ascii="Times New Roman" w:eastAsia="Times New Roman" w:hAnsi="Times New Roman" w:cs="Times New Roman"/>
          <w:sz w:val="28"/>
          <w:szCs w:val="28"/>
          <w:lang w:val="de-DE"/>
        </w:rPr>
        <w:t>Thabet</w:t>
      </w:r>
      <w:r w:rsidRPr="007F5722">
        <w:rPr>
          <w:rStyle w:val="apple-converted-space"/>
          <w:rFonts w:ascii="Times New Roman" w:eastAsia="Times New Roman" w:hAnsi="Times New Roman" w:cs="Times New Roman"/>
          <w:sz w:val="28"/>
          <w:szCs w:val="28"/>
          <w:lang w:val="de-DE"/>
        </w:rPr>
        <w:t xml:space="preserve"> </w:t>
      </w:r>
      <w:r w:rsidRPr="007F5722">
        <w:rPr>
          <w:rStyle w:val="cit-name-given-names"/>
          <w:rFonts w:ascii="Times New Roman" w:eastAsia="Times New Roman" w:hAnsi="Times New Roman" w:cs="Times New Roman"/>
          <w:sz w:val="28"/>
          <w:szCs w:val="28"/>
          <w:lang w:val="de-DE"/>
        </w:rPr>
        <w:t>SR</w:t>
      </w:r>
      <w:r w:rsidRPr="007F5722">
        <w:rPr>
          <w:rStyle w:val="HTML"/>
          <w:rFonts w:ascii="Times New Roman" w:eastAsia="Times New Roman" w:hAnsi="Times New Roman" w:cs="Times New Roman"/>
          <w:sz w:val="28"/>
          <w:szCs w:val="28"/>
          <w:lang w:val="de-DE"/>
        </w:rPr>
        <w:t>,</w:t>
      </w:r>
      <w:r w:rsidRPr="007F5722">
        <w:rPr>
          <w:rStyle w:val="apple-converted-space"/>
          <w:rFonts w:ascii="Times New Roman" w:eastAsia="Times New Roman" w:hAnsi="Times New Roman" w:cs="Times New Roman"/>
          <w:sz w:val="28"/>
          <w:szCs w:val="28"/>
          <w:lang w:val="de-DE"/>
        </w:rPr>
        <w:t xml:space="preserve"> </w:t>
      </w:r>
      <w:r w:rsidRPr="007F5722">
        <w:rPr>
          <w:rStyle w:val="cit-name-surname"/>
          <w:rFonts w:ascii="Times New Roman" w:eastAsia="Times New Roman" w:hAnsi="Times New Roman" w:cs="Times New Roman"/>
          <w:sz w:val="28"/>
          <w:szCs w:val="28"/>
          <w:lang w:val="de-DE"/>
        </w:rPr>
        <w:t>Xiao</w:t>
      </w:r>
      <w:r w:rsidRPr="007F5722">
        <w:rPr>
          <w:rStyle w:val="apple-converted-space"/>
          <w:rFonts w:ascii="Times New Roman" w:eastAsia="Times New Roman" w:hAnsi="Times New Roman" w:cs="Times New Roman"/>
          <w:sz w:val="28"/>
          <w:szCs w:val="28"/>
          <w:lang w:val="de-DE"/>
        </w:rPr>
        <w:t xml:space="preserve"> </w:t>
      </w:r>
      <w:r w:rsidRPr="007F5722">
        <w:rPr>
          <w:rStyle w:val="cit-name-given-names"/>
          <w:rFonts w:ascii="Times New Roman" w:eastAsia="Times New Roman" w:hAnsi="Times New Roman" w:cs="Times New Roman"/>
          <w:sz w:val="28"/>
          <w:szCs w:val="28"/>
          <w:lang w:val="de-DE"/>
        </w:rPr>
        <w:t>L</w:t>
      </w:r>
      <w:r w:rsidRPr="007F5722">
        <w:rPr>
          <w:rStyle w:val="HTML"/>
          <w:rFonts w:ascii="Times New Roman" w:eastAsia="Times New Roman" w:hAnsi="Times New Roman" w:cs="Times New Roman"/>
          <w:sz w:val="28"/>
          <w:szCs w:val="28"/>
          <w:lang w:val="de-DE"/>
        </w:rPr>
        <w:t>,</w:t>
      </w:r>
      <w:r w:rsidRPr="007F5722">
        <w:rPr>
          <w:rStyle w:val="apple-converted-space"/>
          <w:rFonts w:ascii="Times New Roman" w:eastAsia="Times New Roman" w:hAnsi="Times New Roman" w:cs="Times New Roman"/>
          <w:sz w:val="28"/>
          <w:szCs w:val="28"/>
          <w:lang w:val="de-DE"/>
        </w:rPr>
        <w:t xml:space="preserve"> </w:t>
      </w:r>
      <w:r w:rsidRPr="007F5722">
        <w:rPr>
          <w:rStyle w:val="cit-name-surname"/>
          <w:rFonts w:ascii="Times New Roman" w:eastAsia="Times New Roman" w:hAnsi="Times New Roman" w:cs="Times New Roman"/>
          <w:sz w:val="28"/>
          <w:szCs w:val="28"/>
          <w:lang w:val="de-DE"/>
        </w:rPr>
        <w:t>Saleh</w:t>
      </w:r>
      <w:r w:rsidRPr="007F5722">
        <w:rPr>
          <w:rStyle w:val="cit-auth"/>
          <w:rFonts w:ascii="Times New Roman" w:eastAsia="Times New Roman" w:hAnsi="Times New Roman" w:cs="Times New Roman"/>
          <w:sz w:val="28"/>
          <w:szCs w:val="28"/>
          <w:lang w:val="de-DE"/>
        </w:rPr>
        <w:t xml:space="preserve"> </w:t>
      </w:r>
      <w:r w:rsidRPr="007F5722">
        <w:rPr>
          <w:rStyle w:val="cit-name-given-names"/>
          <w:rFonts w:ascii="Times New Roman" w:eastAsia="Times New Roman" w:hAnsi="Times New Roman" w:cs="Times New Roman"/>
          <w:sz w:val="28"/>
          <w:szCs w:val="28"/>
          <w:lang w:val="de-DE"/>
        </w:rPr>
        <w:t>MA</w:t>
      </w:r>
      <w:r w:rsidRPr="007F5722">
        <w:rPr>
          <w:rStyle w:val="HTML"/>
          <w:rFonts w:ascii="Times New Roman" w:eastAsia="Times New Roman" w:hAnsi="Times New Roman" w:cs="Times New Roman"/>
          <w:sz w:val="28"/>
          <w:szCs w:val="28"/>
          <w:lang w:val="de-DE"/>
        </w:rPr>
        <w:t>,</w:t>
      </w:r>
      <w:r w:rsidRPr="007F5722">
        <w:rPr>
          <w:rStyle w:val="apple-converted-space"/>
          <w:rFonts w:ascii="Times New Roman" w:eastAsia="Times New Roman" w:hAnsi="Times New Roman" w:cs="Times New Roman"/>
          <w:sz w:val="28"/>
          <w:szCs w:val="28"/>
          <w:lang w:val="de-DE"/>
        </w:rPr>
        <w:t xml:space="preserve"> </w:t>
      </w:r>
      <w:r w:rsidRPr="007F5722">
        <w:rPr>
          <w:rStyle w:val="cit-name-surname"/>
          <w:rFonts w:ascii="Times New Roman" w:eastAsia="Times New Roman" w:hAnsi="Times New Roman" w:cs="Times New Roman"/>
          <w:sz w:val="28"/>
          <w:szCs w:val="28"/>
          <w:lang w:val="de-DE"/>
        </w:rPr>
        <w:t>Kirabo</w:t>
      </w:r>
      <w:r w:rsidRPr="007F5722">
        <w:rPr>
          <w:rStyle w:val="cit-auth"/>
          <w:rFonts w:ascii="Times New Roman" w:eastAsia="Times New Roman" w:hAnsi="Times New Roman" w:cs="Times New Roman"/>
          <w:sz w:val="28"/>
          <w:szCs w:val="28"/>
          <w:lang w:val="de-DE"/>
        </w:rPr>
        <w:t xml:space="preserve"> </w:t>
      </w:r>
      <w:r w:rsidRPr="007F5722">
        <w:rPr>
          <w:rStyle w:val="cit-name-given-names"/>
          <w:rFonts w:ascii="Times New Roman" w:eastAsia="Times New Roman" w:hAnsi="Times New Roman" w:cs="Times New Roman"/>
          <w:sz w:val="28"/>
          <w:szCs w:val="28"/>
          <w:lang w:val="de-DE"/>
        </w:rPr>
        <w:t>A</w:t>
      </w:r>
      <w:r w:rsidRPr="007F5722">
        <w:rPr>
          <w:rStyle w:val="HTML"/>
          <w:rFonts w:ascii="Times New Roman" w:eastAsia="Times New Roman" w:hAnsi="Times New Roman" w:cs="Times New Roman"/>
          <w:sz w:val="28"/>
          <w:szCs w:val="28"/>
          <w:lang w:val="de-DE"/>
        </w:rPr>
        <w:t>,</w:t>
      </w:r>
      <w:r w:rsidRPr="007F5722">
        <w:rPr>
          <w:rStyle w:val="apple-converted-space"/>
          <w:rFonts w:ascii="Times New Roman" w:eastAsia="Times New Roman" w:hAnsi="Times New Roman" w:cs="Times New Roman"/>
          <w:sz w:val="28"/>
          <w:szCs w:val="28"/>
          <w:lang w:val="de-DE"/>
        </w:rPr>
        <w:t xml:space="preserve"> </w:t>
      </w:r>
      <w:r w:rsidRPr="007F5722">
        <w:rPr>
          <w:rStyle w:val="cit-name-surname"/>
          <w:rFonts w:ascii="Times New Roman" w:eastAsia="Times New Roman" w:hAnsi="Times New Roman" w:cs="Times New Roman"/>
          <w:sz w:val="28"/>
          <w:szCs w:val="28"/>
          <w:lang w:val="de-DE"/>
        </w:rPr>
        <w:t>Madhur</w:t>
      </w:r>
      <w:r w:rsidRPr="007F5722">
        <w:rPr>
          <w:rStyle w:val="cit-auth"/>
          <w:rFonts w:ascii="Times New Roman" w:eastAsia="Times New Roman" w:hAnsi="Times New Roman" w:cs="Times New Roman"/>
          <w:sz w:val="28"/>
          <w:szCs w:val="28"/>
          <w:lang w:val="de-DE"/>
        </w:rPr>
        <w:t xml:space="preserve"> </w:t>
      </w:r>
      <w:r w:rsidRPr="007F5722">
        <w:rPr>
          <w:rStyle w:val="cit-name-given-names"/>
          <w:rFonts w:ascii="Times New Roman" w:eastAsia="Times New Roman" w:hAnsi="Times New Roman" w:cs="Times New Roman"/>
          <w:sz w:val="28"/>
          <w:szCs w:val="28"/>
          <w:lang w:val="de-DE"/>
        </w:rPr>
        <w:t>MS et al.</w:t>
      </w:r>
      <w:r w:rsidRPr="007F5722">
        <w:rPr>
          <w:rStyle w:val="HTML"/>
          <w:rFonts w:ascii="Times New Roman" w:eastAsia="Times New Roman" w:hAnsi="Times New Roman" w:cs="Times New Roman"/>
          <w:sz w:val="28"/>
          <w:szCs w:val="28"/>
          <w:lang w:val="de-DE"/>
        </w:rPr>
        <w:t xml:space="preserve"> </w:t>
      </w:r>
      <w:r w:rsidRPr="007F5722">
        <w:rPr>
          <w:rStyle w:val="cit-article-title"/>
          <w:rFonts w:ascii="Times New Roman" w:eastAsia="Times New Roman" w:hAnsi="Times New Roman" w:cs="Times New Roman"/>
          <w:sz w:val="28"/>
          <w:szCs w:val="28"/>
          <w:lang w:val="en-US"/>
        </w:rPr>
        <w:t>Renal transporter activation during angiotensin</w:t>
      </w:r>
      <w:r w:rsidRPr="007F5722">
        <w:rPr>
          <w:rStyle w:val="cit-article-title"/>
          <w:rFonts w:ascii="Times New Roman" w:eastAsia="Times New Roman" w:hAnsi="Times New Roman" w:cs="Times New Roman"/>
          <w:sz w:val="28"/>
          <w:szCs w:val="28"/>
        </w:rPr>
        <w:t xml:space="preserve"> </w:t>
      </w:r>
      <w:r w:rsidRPr="007F5722">
        <w:rPr>
          <w:rStyle w:val="cit-article-title"/>
          <w:rFonts w:ascii="Times New Roman" w:eastAsia="Times New Roman" w:hAnsi="Times New Roman" w:cs="Times New Roman"/>
          <w:sz w:val="28"/>
          <w:szCs w:val="28"/>
          <w:lang w:val="en-US"/>
        </w:rPr>
        <w:t>II hypertension is blunted in interferon</w:t>
      </w:r>
      <w:r w:rsidRPr="007F5722">
        <w:rPr>
          <w:rStyle w:val="cit-article-title"/>
          <w:rFonts w:ascii="Times New Roman" w:eastAsia="Times New Roman" w:hAnsi="Times New Roman" w:cs="Times New Roman"/>
          <w:sz w:val="28"/>
          <w:szCs w:val="28"/>
        </w:rPr>
        <w:t xml:space="preserve"> </w:t>
      </w:r>
      <w:r w:rsidRPr="007F5722">
        <w:rPr>
          <w:rStyle w:val="cit-article-title"/>
          <w:rFonts w:ascii="Times New Roman" w:eastAsia="Times New Roman" w:hAnsi="Times New Roman" w:cs="Times New Roman"/>
          <w:sz w:val="28"/>
          <w:szCs w:val="28"/>
          <w:lang w:val="en-US"/>
        </w:rPr>
        <w:t>gamma and interleukin</w:t>
      </w:r>
      <w:r w:rsidRPr="007F5722">
        <w:rPr>
          <w:rStyle w:val="cit-article-title"/>
          <w:rFonts w:ascii="Times New Roman" w:eastAsia="Times New Roman" w:hAnsi="Times New Roman" w:cs="Times New Roman"/>
          <w:sz w:val="28"/>
          <w:szCs w:val="28"/>
        </w:rPr>
        <w:t xml:space="preserve"> </w:t>
      </w:r>
      <w:r w:rsidRPr="007F5722">
        <w:rPr>
          <w:rStyle w:val="cit-article-title"/>
          <w:rFonts w:ascii="Times New Roman" w:eastAsia="Times New Roman" w:hAnsi="Times New Roman" w:cs="Times New Roman"/>
          <w:sz w:val="28"/>
          <w:szCs w:val="28"/>
          <w:lang w:val="en-US"/>
        </w:rPr>
        <w:t>17A</w:t>
      </w:r>
      <w:r w:rsidRPr="007F5722">
        <w:rPr>
          <w:rStyle w:val="cit-article-title"/>
          <w:rFonts w:ascii="Times New Roman" w:eastAsia="Times New Roman" w:hAnsi="Times New Roman" w:cs="Times New Roman"/>
          <w:sz w:val="28"/>
          <w:szCs w:val="28"/>
        </w:rPr>
        <w:t xml:space="preserve"> </w:t>
      </w:r>
      <w:r w:rsidRPr="007F5722">
        <w:rPr>
          <w:rStyle w:val="cit-article-title"/>
          <w:rFonts w:ascii="Times New Roman" w:eastAsia="Times New Roman" w:hAnsi="Times New Roman" w:cs="Times New Roman"/>
          <w:sz w:val="28"/>
          <w:szCs w:val="28"/>
          <w:lang w:val="en-US"/>
        </w:rPr>
        <w:t>mice</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xml:space="preserve"> </w:t>
      </w:r>
      <w:r w:rsidRPr="007F5722">
        <w:rPr>
          <w:rStyle w:val="HTML"/>
          <w:rFonts w:ascii="Times New Roman" w:eastAsia="Times New Roman" w:hAnsi="Times New Roman" w:cs="Times New Roman"/>
          <w:sz w:val="28"/>
          <w:szCs w:val="28"/>
          <w:lang w:val="en-US"/>
        </w:rPr>
        <w:t>Hypertension.</w:t>
      </w:r>
      <w:r w:rsidRPr="007F5722">
        <w:rPr>
          <w:rStyle w:val="apple-converted-space"/>
          <w:rFonts w:ascii="Times New Roman" w:eastAsia="Times New Roman" w:hAnsi="Times New Roman" w:cs="Times New Roman"/>
          <w:sz w:val="28"/>
          <w:szCs w:val="28"/>
          <w:lang w:val="en-US"/>
        </w:rPr>
        <w:t xml:space="preserve"> </w:t>
      </w:r>
      <w:r w:rsidRPr="007F5722">
        <w:rPr>
          <w:rStyle w:val="cit-pub-date"/>
          <w:rFonts w:ascii="Times New Roman" w:eastAsia="Times New Roman" w:hAnsi="Times New Roman" w:cs="Times New Roman"/>
          <w:sz w:val="28"/>
          <w:szCs w:val="28"/>
          <w:lang w:val="en-US"/>
        </w:rPr>
        <w:t>2015</w:t>
      </w:r>
      <w:r w:rsidRPr="007F5722">
        <w:rPr>
          <w:rStyle w:val="HTML"/>
          <w:rFonts w:ascii="Times New Roman" w:eastAsia="Times New Roman" w:hAnsi="Times New Roman" w:cs="Times New Roman"/>
          <w:sz w:val="28"/>
          <w:szCs w:val="28"/>
          <w:lang w:val="en-US"/>
        </w:rPr>
        <w:t>;</w:t>
      </w:r>
      <w:r w:rsidRPr="007F5722">
        <w:rPr>
          <w:rStyle w:val="cit-vol"/>
          <w:rFonts w:ascii="Times New Roman" w:eastAsia="Times New Roman" w:hAnsi="Times New Roman" w:cs="Times New Roman"/>
          <w:bCs/>
          <w:sz w:val="28"/>
          <w:szCs w:val="28"/>
          <w:lang w:val="en-US"/>
        </w:rPr>
        <w:t>65</w:t>
      </w:r>
      <w:r w:rsidRPr="007F5722">
        <w:rPr>
          <w:rStyle w:val="HTML"/>
          <w:rFonts w:ascii="Times New Roman" w:eastAsia="Times New Roman" w:hAnsi="Times New Roman" w:cs="Times New Roman"/>
          <w:sz w:val="28"/>
          <w:szCs w:val="28"/>
          <w:lang w:val="en-US"/>
        </w:rPr>
        <w:t>:</w:t>
      </w:r>
      <w:r w:rsidRPr="007F5722">
        <w:rPr>
          <w:rStyle w:val="cit-fpage"/>
          <w:rFonts w:ascii="Times New Roman" w:eastAsia="Times New Roman" w:hAnsi="Times New Roman" w:cs="Times New Roman"/>
          <w:sz w:val="28"/>
          <w:szCs w:val="28"/>
          <w:lang w:val="en-US"/>
        </w:rPr>
        <w:t>569</w:t>
      </w:r>
      <w:r w:rsidRPr="007F5722">
        <w:rPr>
          <w:rStyle w:val="HTML"/>
          <w:rFonts w:ascii="Times New Roman" w:eastAsia="Times New Roman" w:hAnsi="Times New Roman" w:cs="Times New Roman"/>
          <w:sz w:val="28"/>
          <w:szCs w:val="28"/>
          <w:lang w:val="en-US"/>
        </w:rPr>
        <w:t>–</w:t>
      </w:r>
      <w:r w:rsidRPr="007F5722">
        <w:rPr>
          <w:rStyle w:val="cit-lpage"/>
          <w:rFonts w:ascii="Times New Roman" w:eastAsia="Times New Roman" w:hAnsi="Times New Roman" w:cs="Times New Roman"/>
          <w:sz w:val="28"/>
          <w:szCs w:val="28"/>
          <w:lang w:val="en-US"/>
        </w:rPr>
        <w:t xml:space="preserve">576. </w:t>
      </w:r>
    </w:p>
    <w:p w:rsidR="007F5722" w:rsidRPr="007F5722" w:rsidRDefault="007F5722" w:rsidP="007F5722">
      <w:pPr>
        <w:pStyle w:val="a8"/>
        <w:numPr>
          <w:ilvl w:val="0"/>
          <w:numId w:val="25"/>
        </w:numPr>
        <w:spacing w:after="0" w:line="360" w:lineRule="auto"/>
        <w:ind w:left="0" w:firstLine="357"/>
        <w:jc w:val="both"/>
        <w:rPr>
          <w:rStyle w:val="HTML"/>
          <w:rFonts w:ascii="Times New Roman" w:hAnsi="Times New Roman" w:cs="Times New Roman"/>
          <w:i w:val="0"/>
          <w:iCs w:val="0"/>
          <w:sz w:val="28"/>
          <w:szCs w:val="28"/>
        </w:rPr>
      </w:pPr>
      <w:r w:rsidRPr="007F5722">
        <w:rPr>
          <w:rFonts w:ascii="Times New Roman" w:hAnsi="Times New Roman" w:cs="Times New Roman"/>
          <w:sz w:val="28"/>
          <w:szCs w:val="28"/>
        </w:rPr>
        <w:t xml:space="preserve"> </w:t>
      </w:r>
      <w:r w:rsidRPr="007F5722">
        <w:rPr>
          <w:rStyle w:val="cit-name-surname"/>
          <w:rFonts w:ascii="Times New Roman" w:eastAsia="Times New Roman" w:hAnsi="Times New Roman" w:cs="Times New Roman"/>
          <w:sz w:val="28"/>
          <w:szCs w:val="28"/>
          <w:lang w:val="en-US"/>
        </w:rPr>
        <w:t>Madhur</w:t>
      </w:r>
      <w:r w:rsidRPr="007F5722">
        <w:rPr>
          <w:rStyle w:val="cit-auth"/>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MS</w:t>
      </w:r>
      <w:r w:rsidRPr="007F5722">
        <w:rPr>
          <w:rStyle w:val="HTML"/>
          <w:rFonts w:ascii="Times New Roman" w:eastAsia="Times New Roman" w:hAnsi="Times New Roman" w:cs="Times New Roman"/>
          <w:sz w:val="28"/>
          <w:szCs w:val="28"/>
        </w:rPr>
        <w:t>,</w:t>
      </w:r>
      <w:r w:rsidRPr="007F5722">
        <w:rPr>
          <w:rStyle w:val="apple-converted-space"/>
          <w:rFonts w:ascii="Times New Roman" w:eastAsia="Times New Roman" w:hAnsi="Times New Roman" w:cs="Times New Roman"/>
          <w:sz w:val="28"/>
          <w:szCs w:val="28"/>
        </w:rPr>
        <w:t xml:space="preserve"> </w:t>
      </w:r>
      <w:r w:rsidRPr="007F5722">
        <w:rPr>
          <w:rStyle w:val="cit-name-surname"/>
          <w:rFonts w:ascii="Times New Roman" w:eastAsia="Times New Roman" w:hAnsi="Times New Roman" w:cs="Times New Roman"/>
          <w:sz w:val="28"/>
          <w:szCs w:val="28"/>
          <w:lang w:val="en-US"/>
        </w:rPr>
        <w:t>Lob</w:t>
      </w:r>
      <w:r w:rsidRPr="007F5722">
        <w:rPr>
          <w:rStyle w:val="cit-auth"/>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HE</w:t>
      </w:r>
      <w:r w:rsidRPr="007F5722">
        <w:rPr>
          <w:rStyle w:val="HTML"/>
          <w:rFonts w:ascii="Times New Roman" w:eastAsia="Times New Roman" w:hAnsi="Times New Roman" w:cs="Times New Roman"/>
          <w:sz w:val="28"/>
          <w:szCs w:val="28"/>
        </w:rPr>
        <w:t>,</w:t>
      </w:r>
      <w:r w:rsidRPr="007F5722">
        <w:rPr>
          <w:rStyle w:val="apple-converted-space"/>
          <w:rFonts w:ascii="Times New Roman" w:eastAsia="Times New Roman" w:hAnsi="Times New Roman" w:cs="Times New Roman"/>
          <w:sz w:val="28"/>
          <w:szCs w:val="28"/>
        </w:rPr>
        <w:t xml:space="preserve"> </w:t>
      </w:r>
      <w:r w:rsidRPr="007F5722">
        <w:rPr>
          <w:rStyle w:val="cit-name-surname"/>
          <w:rFonts w:ascii="Times New Roman" w:eastAsia="Times New Roman" w:hAnsi="Times New Roman" w:cs="Times New Roman"/>
          <w:sz w:val="28"/>
          <w:szCs w:val="28"/>
          <w:lang w:val="en-US"/>
        </w:rPr>
        <w:t>McCann</w:t>
      </w:r>
      <w:r w:rsidRPr="007F5722">
        <w:rPr>
          <w:rStyle w:val="cit-auth"/>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LA</w:t>
      </w:r>
      <w:r w:rsidRPr="007F5722">
        <w:rPr>
          <w:rStyle w:val="HTML"/>
          <w:rFonts w:ascii="Times New Roman" w:eastAsia="Times New Roman" w:hAnsi="Times New Roman" w:cs="Times New Roman"/>
          <w:sz w:val="28"/>
          <w:szCs w:val="28"/>
        </w:rPr>
        <w:t>,</w:t>
      </w:r>
      <w:r w:rsidRPr="007F5722">
        <w:rPr>
          <w:rStyle w:val="apple-converted-space"/>
          <w:rFonts w:ascii="Times New Roman" w:eastAsia="Times New Roman" w:hAnsi="Times New Roman" w:cs="Times New Roman"/>
          <w:sz w:val="28"/>
          <w:szCs w:val="28"/>
        </w:rPr>
        <w:t xml:space="preserve"> </w:t>
      </w:r>
      <w:r w:rsidRPr="007F5722">
        <w:rPr>
          <w:rStyle w:val="cit-name-surname"/>
          <w:rFonts w:ascii="Times New Roman" w:eastAsia="Times New Roman" w:hAnsi="Times New Roman" w:cs="Times New Roman"/>
          <w:sz w:val="28"/>
          <w:szCs w:val="28"/>
          <w:lang w:val="en-US"/>
        </w:rPr>
        <w:t>Iwakura</w:t>
      </w:r>
      <w:r w:rsidRPr="007F5722">
        <w:rPr>
          <w:rStyle w:val="cit-auth"/>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Y</w:t>
      </w:r>
      <w:r w:rsidRPr="007F5722">
        <w:rPr>
          <w:rStyle w:val="cit-name-surname"/>
          <w:rFonts w:ascii="Times New Roman" w:eastAsia="Times New Roman" w:hAnsi="Times New Roman" w:cs="Times New Roman"/>
          <w:sz w:val="28"/>
          <w:szCs w:val="28"/>
          <w:lang w:val="en-US"/>
        </w:rPr>
        <w:t>B</w:t>
      </w:r>
      <w:r w:rsidRPr="007F5722">
        <w:rPr>
          <w:rStyle w:val="cit-name-surname"/>
          <w:rFonts w:ascii="Times New Roman" w:eastAsia="Times New Roman" w:hAnsi="Times New Roman" w:cs="Times New Roman"/>
          <w:sz w:val="28"/>
          <w:szCs w:val="28"/>
        </w:rPr>
        <w:t xml:space="preserve">, </w:t>
      </w:r>
      <w:r w:rsidRPr="007F5722">
        <w:rPr>
          <w:rStyle w:val="cit-name-surname"/>
          <w:rFonts w:ascii="Times New Roman" w:eastAsia="Times New Roman" w:hAnsi="Times New Roman" w:cs="Times New Roman"/>
          <w:sz w:val="28"/>
          <w:szCs w:val="28"/>
          <w:lang w:val="en-US"/>
        </w:rPr>
        <w:t>linder</w:t>
      </w:r>
      <w:r w:rsidRPr="007F5722">
        <w:rPr>
          <w:rStyle w:val="cit-auth"/>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Y</w:t>
      </w:r>
      <w:r w:rsidRPr="007F5722">
        <w:rPr>
          <w:rStyle w:val="HTML"/>
          <w:rFonts w:ascii="Times New Roman" w:eastAsia="Times New Roman" w:hAnsi="Times New Roman" w:cs="Times New Roman"/>
          <w:sz w:val="28"/>
          <w:szCs w:val="28"/>
        </w:rPr>
        <w:t xml:space="preserve">, </w:t>
      </w:r>
      <w:r w:rsidRPr="007F5722">
        <w:rPr>
          <w:rStyle w:val="cit-name-surname"/>
          <w:rFonts w:ascii="Times New Roman" w:eastAsia="Times New Roman" w:hAnsi="Times New Roman" w:cs="Times New Roman"/>
          <w:sz w:val="28"/>
          <w:szCs w:val="28"/>
          <w:lang w:val="en-US"/>
        </w:rPr>
        <w:t>Guzik</w:t>
      </w:r>
      <w:r w:rsidRPr="007F5722">
        <w:rPr>
          <w:rStyle w:val="cit-auth"/>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TJ</w:t>
      </w:r>
      <w:r w:rsidRPr="007F5722">
        <w:rPr>
          <w:rStyle w:val="cit-name-given-names"/>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et</w:t>
      </w:r>
      <w:r w:rsidRPr="007F5722">
        <w:rPr>
          <w:rStyle w:val="cit-name-given-names"/>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al</w:t>
      </w:r>
      <w:r w:rsidRPr="007F5722">
        <w:rPr>
          <w:rStyle w:val="HTML"/>
          <w:rFonts w:ascii="Times New Roman" w:eastAsia="Times New Roman" w:hAnsi="Times New Roman" w:cs="Times New Roman"/>
          <w:sz w:val="28"/>
          <w:szCs w:val="28"/>
        </w:rPr>
        <w:t>.</w:t>
      </w:r>
      <w:r w:rsidRPr="007F5722">
        <w:rPr>
          <w:rStyle w:val="apple-converted-space"/>
          <w:rFonts w:ascii="Times New Roman" w:eastAsia="Times New Roman" w:hAnsi="Times New Roman" w:cs="Times New Roman"/>
          <w:sz w:val="28"/>
          <w:szCs w:val="28"/>
        </w:rPr>
        <w:t xml:space="preserve"> </w:t>
      </w:r>
      <w:r w:rsidRPr="007F5722">
        <w:rPr>
          <w:rStyle w:val="cit-article-title"/>
          <w:rFonts w:ascii="Times New Roman" w:eastAsia="Times New Roman" w:hAnsi="Times New Roman" w:cs="Times New Roman"/>
          <w:sz w:val="28"/>
          <w:szCs w:val="28"/>
          <w:lang w:val="en-US"/>
        </w:rPr>
        <w:t>Interleukin 17 promotes angiotensin II</w:t>
      </w:r>
      <w:r w:rsidRPr="007F5722">
        <w:rPr>
          <w:rStyle w:val="cit-article-title"/>
          <w:rFonts w:ascii="Times New Roman" w:eastAsia="Times New Roman" w:hAnsi="Times New Roman" w:cs="Times New Roman"/>
          <w:sz w:val="28"/>
          <w:szCs w:val="28"/>
        </w:rPr>
        <w:t xml:space="preserve"> </w:t>
      </w:r>
      <w:r w:rsidRPr="007F5722">
        <w:rPr>
          <w:rStyle w:val="cit-article-title"/>
          <w:rFonts w:ascii="Times New Roman" w:eastAsia="Times New Roman" w:hAnsi="Times New Roman" w:cs="Times New Roman"/>
          <w:sz w:val="28"/>
          <w:szCs w:val="28"/>
          <w:lang w:val="en-US"/>
        </w:rPr>
        <w:t>induced hypertension and vascular dysfunction</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xml:space="preserve"> </w:t>
      </w:r>
      <w:r w:rsidRPr="007F5722">
        <w:rPr>
          <w:rStyle w:val="HTML"/>
          <w:rFonts w:ascii="Times New Roman" w:eastAsia="Times New Roman" w:hAnsi="Times New Roman" w:cs="Times New Roman"/>
          <w:sz w:val="28"/>
          <w:szCs w:val="28"/>
          <w:lang w:val="en-US"/>
        </w:rPr>
        <w:t>Hypertension.</w:t>
      </w:r>
      <w:r w:rsidRPr="007F5722">
        <w:rPr>
          <w:rStyle w:val="apple-converted-space"/>
          <w:rFonts w:ascii="Times New Roman" w:eastAsia="Times New Roman" w:hAnsi="Times New Roman" w:cs="Times New Roman"/>
          <w:sz w:val="28"/>
          <w:szCs w:val="28"/>
          <w:lang w:val="en-US"/>
        </w:rPr>
        <w:t xml:space="preserve"> </w:t>
      </w:r>
      <w:r w:rsidRPr="007F5722">
        <w:rPr>
          <w:rStyle w:val="cit-pub-date"/>
          <w:rFonts w:ascii="Times New Roman" w:eastAsia="Times New Roman" w:hAnsi="Times New Roman" w:cs="Times New Roman"/>
          <w:sz w:val="28"/>
          <w:szCs w:val="28"/>
          <w:lang w:val="en-US"/>
        </w:rPr>
        <w:t>2015</w:t>
      </w:r>
      <w:r w:rsidRPr="007F5722">
        <w:rPr>
          <w:rStyle w:val="HTML"/>
          <w:rFonts w:ascii="Times New Roman" w:eastAsia="Times New Roman" w:hAnsi="Times New Roman" w:cs="Times New Roman"/>
          <w:sz w:val="28"/>
          <w:szCs w:val="28"/>
          <w:lang w:val="en-US"/>
        </w:rPr>
        <w:t>;</w:t>
      </w:r>
      <w:r w:rsidRPr="007F5722">
        <w:rPr>
          <w:rStyle w:val="cit-vol"/>
          <w:rFonts w:ascii="Times New Roman" w:eastAsia="Times New Roman" w:hAnsi="Times New Roman" w:cs="Times New Roman"/>
          <w:bCs/>
          <w:sz w:val="28"/>
          <w:szCs w:val="28"/>
          <w:lang w:val="en-US"/>
        </w:rPr>
        <w:t>55</w:t>
      </w:r>
      <w:r w:rsidRPr="007F5722">
        <w:rPr>
          <w:rStyle w:val="HTML"/>
          <w:rFonts w:ascii="Times New Roman" w:eastAsia="Times New Roman" w:hAnsi="Times New Roman" w:cs="Times New Roman"/>
          <w:sz w:val="28"/>
          <w:szCs w:val="28"/>
          <w:lang w:val="en-US"/>
        </w:rPr>
        <w:t>:</w:t>
      </w:r>
      <w:r w:rsidRPr="007F5722">
        <w:rPr>
          <w:rStyle w:val="cit-fpage"/>
          <w:rFonts w:ascii="Times New Roman" w:eastAsia="Times New Roman" w:hAnsi="Times New Roman" w:cs="Times New Roman"/>
          <w:sz w:val="28"/>
          <w:szCs w:val="28"/>
          <w:lang w:val="en-US"/>
        </w:rPr>
        <w:t>500</w:t>
      </w:r>
      <w:r w:rsidRPr="007F5722">
        <w:rPr>
          <w:rStyle w:val="HTML"/>
          <w:rFonts w:ascii="Times New Roman" w:eastAsia="Times New Roman" w:hAnsi="Times New Roman" w:cs="Times New Roman"/>
          <w:sz w:val="28"/>
          <w:szCs w:val="28"/>
          <w:lang w:val="en-US"/>
        </w:rPr>
        <w:t>–</w:t>
      </w:r>
      <w:r w:rsidRPr="007F5722">
        <w:rPr>
          <w:rStyle w:val="cit-lpage"/>
          <w:rFonts w:ascii="Times New Roman" w:eastAsia="Times New Roman" w:hAnsi="Times New Roman" w:cs="Times New Roman"/>
          <w:sz w:val="28"/>
          <w:szCs w:val="28"/>
          <w:lang w:val="en-US"/>
        </w:rPr>
        <w:t>507</w:t>
      </w:r>
      <w:r w:rsidRPr="007F5722">
        <w:rPr>
          <w:rStyle w:val="HTML"/>
          <w:rFonts w:ascii="Times New Roman" w:eastAsia="Times New Roman" w:hAnsi="Times New Roman" w:cs="Times New Roman"/>
          <w:sz w:val="28"/>
          <w:szCs w:val="28"/>
          <w:lang w:val="en-US"/>
        </w:rPr>
        <w:t xml:space="preserve">. </w:t>
      </w:r>
    </w:p>
    <w:p w:rsidR="007F5722" w:rsidRPr="007F5722" w:rsidRDefault="007F5722" w:rsidP="007F5722">
      <w:pPr>
        <w:pStyle w:val="a8"/>
        <w:numPr>
          <w:ilvl w:val="0"/>
          <w:numId w:val="25"/>
        </w:numPr>
        <w:spacing w:after="0" w:line="360" w:lineRule="auto"/>
        <w:ind w:left="0" w:firstLine="357"/>
        <w:jc w:val="both"/>
        <w:rPr>
          <w:rStyle w:val="HTML"/>
          <w:rFonts w:ascii="Times New Roman" w:hAnsi="Times New Roman" w:cs="Times New Roman"/>
          <w:i w:val="0"/>
          <w:iCs w:val="0"/>
          <w:sz w:val="28"/>
          <w:szCs w:val="28"/>
        </w:rPr>
      </w:pPr>
      <w:r w:rsidRPr="007F5722">
        <w:rPr>
          <w:rStyle w:val="cit-name-surname"/>
          <w:rFonts w:ascii="Times New Roman" w:eastAsia="Times New Roman" w:hAnsi="Times New Roman" w:cs="Times New Roman"/>
          <w:sz w:val="28"/>
          <w:szCs w:val="28"/>
          <w:lang w:val="en-US"/>
        </w:rPr>
        <w:t>Peng</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H</w:t>
      </w:r>
      <w:r w:rsidRPr="007F5722">
        <w:rPr>
          <w:rStyle w:val="HTML"/>
          <w:rFonts w:ascii="Times New Roman" w:eastAsia="Times New Roman" w:hAnsi="Times New Roman" w:cs="Times New Roman"/>
          <w:sz w:val="28"/>
          <w:szCs w:val="28"/>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Sarwar</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Z</w:t>
      </w:r>
      <w:r w:rsidRPr="007F5722">
        <w:rPr>
          <w:rStyle w:val="HTML"/>
          <w:rFonts w:ascii="Times New Roman" w:eastAsia="Times New Roman" w:hAnsi="Times New Roman" w:cs="Times New Roman"/>
          <w:sz w:val="28"/>
          <w:szCs w:val="28"/>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Yang</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XP</w:t>
      </w:r>
      <w:r w:rsidRPr="007F5722">
        <w:rPr>
          <w:rStyle w:val="HTML"/>
          <w:rFonts w:ascii="Times New Roman" w:eastAsia="Times New Roman" w:hAnsi="Times New Roman" w:cs="Times New Roman"/>
          <w:sz w:val="28"/>
          <w:szCs w:val="28"/>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Peterson</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EL</w:t>
      </w:r>
      <w:r w:rsidRPr="007F5722">
        <w:rPr>
          <w:rStyle w:val="HTML"/>
          <w:rFonts w:ascii="Times New Roman" w:eastAsia="Times New Roman" w:hAnsi="Times New Roman" w:cs="Times New Roman"/>
          <w:sz w:val="28"/>
          <w:szCs w:val="28"/>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Xu</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J</w:t>
      </w:r>
      <w:r w:rsidRPr="007F5722">
        <w:rPr>
          <w:rStyle w:val="HTML"/>
          <w:rFonts w:ascii="Times New Roman" w:eastAsia="Times New Roman" w:hAnsi="Times New Roman" w:cs="Times New Roman"/>
          <w:sz w:val="28"/>
          <w:szCs w:val="28"/>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Janic</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B</w:t>
      </w:r>
      <w:r w:rsidRPr="007F5722">
        <w:rPr>
          <w:rStyle w:val="HTML"/>
          <w:rFonts w:ascii="Times New Roman" w:eastAsia="Times New Roman" w:hAnsi="Times New Roman" w:cs="Times New Roman"/>
          <w:sz w:val="28"/>
          <w:szCs w:val="28"/>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Rhaleb</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N</w:t>
      </w:r>
      <w:r w:rsidRPr="007F5722">
        <w:rPr>
          <w:rStyle w:val="HTML"/>
          <w:rFonts w:ascii="Times New Roman" w:eastAsia="Times New Roman" w:hAnsi="Times New Roman" w:cs="Times New Roman"/>
          <w:sz w:val="28"/>
          <w:szCs w:val="28"/>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Carretero</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OA</w:t>
      </w:r>
      <w:r w:rsidRPr="007F5722">
        <w:rPr>
          <w:rStyle w:val="HTML"/>
          <w:rFonts w:ascii="Times New Roman" w:eastAsia="Times New Roman" w:hAnsi="Times New Roman" w:cs="Times New Roman"/>
          <w:sz w:val="28"/>
          <w:szCs w:val="28"/>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Rhaleb</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NE</w:t>
      </w:r>
      <w:r w:rsidRPr="007F5722">
        <w:rPr>
          <w:rStyle w:val="HTML"/>
          <w:rFonts w:ascii="Times New Roman" w:eastAsia="Times New Roman" w:hAnsi="Times New Roman" w:cs="Times New Roman"/>
          <w:sz w:val="28"/>
          <w:szCs w:val="28"/>
        </w:rPr>
        <w:t>.</w:t>
      </w:r>
      <w:r w:rsidRPr="007F5722">
        <w:rPr>
          <w:rStyle w:val="apple-converted-space"/>
          <w:rFonts w:ascii="Times New Roman" w:eastAsia="Times New Roman" w:hAnsi="Times New Roman" w:cs="Times New Roman"/>
          <w:sz w:val="28"/>
          <w:szCs w:val="28"/>
          <w:lang w:val="en-US"/>
        </w:rPr>
        <w:t> </w:t>
      </w:r>
      <w:r w:rsidRPr="007F5722">
        <w:rPr>
          <w:rStyle w:val="cit-article-title"/>
          <w:rFonts w:ascii="Times New Roman" w:eastAsia="Times New Roman" w:hAnsi="Times New Roman" w:cs="Times New Roman"/>
          <w:sz w:val="28"/>
          <w:szCs w:val="28"/>
          <w:lang w:val="en-US"/>
        </w:rPr>
        <w:t>Profibrotic role for interleukin</w:t>
      </w:r>
      <w:r w:rsidRPr="007F5722">
        <w:rPr>
          <w:rStyle w:val="cit-article-title"/>
          <w:rFonts w:ascii="Times New Roman" w:eastAsia="Times New Roman" w:hAnsi="Times New Roman" w:cs="Times New Roman"/>
          <w:sz w:val="28"/>
          <w:szCs w:val="28"/>
        </w:rPr>
        <w:t xml:space="preserve"> </w:t>
      </w:r>
      <w:r w:rsidRPr="007F5722">
        <w:rPr>
          <w:rStyle w:val="cit-article-title"/>
          <w:rFonts w:ascii="Times New Roman" w:eastAsia="Times New Roman" w:hAnsi="Times New Roman" w:cs="Times New Roman"/>
          <w:sz w:val="28"/>
          <w:szCs w:val="28"/>
          <w:lang w:val="en-US"/>
        </w:rPr>
        <w:t>4 in cardiac remodeling and dysfunction</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HTML"/>
          <w:rFonts w:ascii="Times New Roman" w:eastAsia="Times New Roman" w:hAnsi="Times New Roman" w:cs="Times New Roman"/>
          <w:sz w:val="28"/>
          <w:szCs w:val="28"/>
          <w:lang w:val="en-US"/>
        </w:rPr>
        <w:t>Hypertension.</w:t>
      </w:r>
      <w:r w:rsidRPr="007F5722">
        <w:rPr>
          <w:rStyle w:val="apple-converted-space"/>
          <w:rFonts w:ascii="Times New Roman" w:eastAsia="Times New Roman" w:hAnsi="Times New Roman" w:cs="Times New Roman"/>
          <w:sz w:val="28"/>
          <w:szCs w:val="28"/>
          <w:lang w:val="en-US"/>
        </w:rPr>
        <w:t> </w:t>
      </w:r>
      <w:r w:rsidRPr="007F5722">
        <w:rPr>
          <w:rStyle w:val="cit-pub-date"/>
          <w:rFonts w:ascii="Times New Roman" w:eastAsia="Times New Roman" w:hAnsi="Times New Roman" w:cs="Times New Roman"/>
          <w:sz w:val="28"/>
          <w:szCs w:val="28"/>
          <w:lang w:val="en-US"/>
        </w:rPr>
        <w:t>2015</w:t>
      </w:r>
      <w:r w:rsidRPr="007F5722">
        <w:rPr>
          <w:rStyle w:val="HTML"/>
          <w:rFonts w:ascii="Times New Roman" w:eastAsia="Times New Roman" w:hAnsi="Times New Roman" w:cs="Times New Roman"/>
          <w:sz w:val="28"/>
          <w:szCs w:val="28"/>
          <w:lang w:val="en-US"/>
        </w:rPr>
        <w:t xml:space="preserve">; </w:t>
      </w:r>
      <w:r w:rsidRPr="007F5722">
        <w:rPr>
          <w:rStyle w:val="cit-vol"/>
          <w:rFonts w:ascii="Times New Roman" w:eastAsia="Times New Roman" w:hAnsi="Times New Roman" w:cs="Times New Roman"/>
          <w:bCs/>
          <w:sz w:val="28"/>
          <w:szCs w:val="28"/>
          <w:lang w:val="en-US"/>
        </w:rPr>
        <w:t>66</w:t>
      </w:r>
      <w:r w:rsidRPr="007F5722">
        <w:rPr>
          <w:rStyle w:val="HTML"/>
          <w:rFonts w:ascii="Times New Roman" w:eastAsia="Times New Roman" w:hAnsi="Times New Roman" w:cs="Times New Roman"/>
          <w:sz w:val="28"/>
          <w:szCs w:val="28"/>
          <w:lang w:val="en-US"/>
        </w:rPr>
        <w:t>:</w:t>
      </w:r>
      <w:r w:rsidRPr="007F5722">
        <w:rPr>
          <w:rStyle w:val="cit-fpage"/>
          <w:rFonts w:ascii="Times New Roman" w:eastAsia="Times New Roman" w:hAnsi="Times New Roman" w:cs="Times New Roman"/>
          <w:sz w:val="28"/>
          <w:szCs w:val="28"/>
          <w:lang w:val="en-US"/>
        </w:rPr>
        <w:t>582</w:t>
      </w:r>
      <w:r w:rsidRPr="007F5722">
        <w:rPr>
          <w:rStyle w:val="HTML"/>
          <w:rFonts w:ascii="Times New Roman" w:eastAsia="Times New Roman" w:hAnsi="Times New Roman" w:cs="Times New Roman"/>
          <w:sz w:val="28"/>
          <w:szCs w:val="28"/>
          <w:lang w:val="en-US"/>
        </w:rPr>
        <w:t>–</w:t>
      </w:r>
      <w:r w:rsidRPr="007F5722">
        <w:rPr>
          <w:rStyle w:val="cit-lpage"/>
          <w:rFonts w:ascii="Times New Roman" w:eastAsia="Times New Roman" w:hAnsi="Times New Roman" w:cs="Times New Roman"/>
          <w:sz w:val="28"/>
          <w:szCs w:val="28"/>
          <w:lang w:val="en-US"/>
        </w:rPr>
        <w:t>589</w:t>
      </w:r>
      <w:r w:rsidRPr="007F5722">
        <w:rPr>
          <w:rStyle w:val="HTML"/>
          <w:rFonts w:ascii="Times New Roman" w:eastAsia="Times New Roman" w:hAnsi="Times New Roman" w:cs="Times New Roman"/>
          <w:sz w:val="28"/>
          <w:szCs w:val="28"/>
          <w:lang w:val="en-US"/>
        </w:rPr>
        <w:t>.</w:t>
      </w:r>
    </w:p>
    <w:p w:rsidR="007F5722" w:rsidRPr="007F5722" w:rsidRDefault="007F5722" w:rsidP="007F5722">
      <w:pPr>
        <w:pStyle w:val="a8"/>
        <w:numPr>
          <w:ilvl w:val="0"/>
          <w:numId w:val="25"/>
        </w:numPr>
        <w:spacing w:after="0" w:line="360" w:lineRule="auto"/>
        <w:ind w:left="0" w:firstLine="357"/>
        <w:jc w:val="both"/>
        <w:rPr>
          <w:rStyle w:val="cit-lpage"/>
          <w:rFonts w:ascii="Times New Roman" w:hAnsi="Times New Roman" w:cs="Times New Roman"/>
          <w:sz w:val="28"/>
          <w:szCs w:val="28"/>
        </w:rPr>
      </w:pPr>
      <w:r w:rsidRPr="007F5722">
        <w:rPr>
          <w:rStyle w:val="cit-name-surname"/>
          <w:rFonts w:ascii="Times New Roman" w:eastAsia="Times New Roman" w:hAnsi="Times New Roman" w:cs="Times New Roman"/>
          <w:sz w:val="28"/>
          <w:szCs w:val="28"/>
          <w:lang w:val="en-US"/>
        </w:rPr>
        <w:t>Eyerich</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S</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Eyerich</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K</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Pennino</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D</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Carbone</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Nasorri</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F</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Pallotta</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S</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Cianfarani</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F</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rPr>
        <w:t xml:space="preserve"> </w:t>
      </w:r>
      <w:r w:rsidRPr="007F5722">
        <w:rPr>
          <w:rStyle w:val="cit-name-surname"/>
          <w:rFonts w:ascii="Times New Roman" w:eastAsia="Times New Roman" w:hAnsi="Times New Roman" w:cs="Times New Roman"/>
          <w:sz w:val="28"/>
          <w:szCs w:val="28"/>
          <w:lang w:val="en-US"/>
        </w:rPr>
        <w:t>Odorisio</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T</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HTML"/>
          <w:rFonts w:ascii="Times New Roman" w:eastAsia="Times New Roman" w:hAnsi="Times New Roman" w:cs="Times New Roman"/>
          <w:sz w:val="28"/>
          <w:szCs w:val="28"/>
        </w:rPr>
        <w:t xml:space="preserve"> </w:t>
      </w:r>
      <w:r w:rsidRPr="007F5722">
        <w:rPr>
          <w:rStyle w:val="cit-name-surname"/>
          <w:rFonts w:ascii="Times New Roman" w:eastAsia="Times New Roman" w:hAnsi="Times New Roman" w:cs="Times New Roman"/>
          <w:sz w:val="28"/>
          <w:szCs w:val="28"/>
          <w:lang w:val="en-US"/>
        </w:rPr>
        <w:t>Traidl</w:t>
      </w:r>
      <w:r w:rsidRPr="007F5722">
        <w:rPr>
          <w:rStyle w:val="cit-name-surname"/>
          <w:rFonts w:ascii="Times New Roman" w:eastAsia="Times New Roman" w:hAnsi="Times New Roman" w:cs="Times New Roman"/>
          <w:sz w:val="28"/>
          <w:szCs w:val="28"/>
        </w:rPr>
        <w:t xml:space="preserve"> </w:t>
      </w:r>
      <w:r w:rsidRPr="007F5722">
        <w:rPr>
          <w:rStyle w:val="cit-name-surname"/>
          <w:rFonts w:ascii="Times New Roman" w:eastAsia="Times New Roman" w:hAnsi="Times New Roman" w:cs="Times New Roman"/>
          <w:sz w:val="28"/>
          <w:szCs w:val="28"/>
          <w:lang w:val="en-US"/>
        </w:rPr>
        <w:t>Hoffmann</w:t>
      </w:r>
      <w:r w:rsidRPr="007F5722">
        <w:rPr>
          <w:rStyle w:val="apple-converted-space"/>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C</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cit-name-surname"/>
          <w:rFonts w:ascii="Times New Roman" w:eastAsia="Times New Roman" w:hAnsi="Times New Roman" w:cs="Times New Roman"/>
          <w:sz w:val="28"/>
          <w:szCs w:val="28"/>
          <w:lang w:val="en-US"/>
        </w:rPr>
        <w:t xml:space="preserve"> Behrendt</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H</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cit-name-surname"/>
          <w:rFonts w:ascii="Times New Roman" w:eastAsia="Times New Roman" w:hAnsi="Times New Roman" w:cs="Times New Roman"/>
          <w:sz w:val="28"/>
          <w:szCs w:val="28"/>
          <w:lang w:val="en-US"/>
        </w:rPr>
        <w:t xml:space="preserve"> Durham</w:t>
      </w:r>
      <w:r w:rsidRPr="007F5722">
        <w:rPr>
          <w:rStyle w:val="apple-converted-space"/>
          <w:rFonts w:ascii="Times New Roman" w:eastAsia="Times New Roman" w:hAnsi="Times New Roman" w:cs="Times New Roman"/>
          <w:sz w:val="28"/>
          <w:szCs w:val="28"/>
        </w:rPr>
        <w:t xml:space="preserve">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SR</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SchmidtWeber</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CB</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Cavani</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A</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article-title"/>
          <w:rFonts w:ascii="Times New Roman" w:eastAsia="Times New Roman" w:hAnsi="Times New Roman" w:cs="Times New Roman"/>
          <w:sz w:val="28"/>
          <w:szCs w:val="28"/>
          <w:lang w:val="en-US"/>
        </w:rPr>
        <w:t>Th22 cells represent a distinct human T cell subset involved in epidermal immunity and remodeling</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HTML"/>
          <w:rFonts w:ascii="Times New Roman" w:eastAsia="Times New Roman" w:hAnsi="Times New Roman" w:cs="Times New Roman"/>
          <w:sz w:val="28"/>
          <w:szCs w:val="28"/>
          <w:lang w:val="en-US"/>
        </w:rPr>
        <w:t>J Clin Invest.</w:t>
      </w:r>
      <w:r w:rsidRPr="007F5722">
        <w:rPr>
          <w:rStyle w:val="apple-converted-space"/>
          <w:rFonts w:ascii="Times New Roman" w:eastAsia="Times New Roman" w:hAnsi="Times New Roman" w:cs="Times New Roman"/>
          <w:sz w:val="28"/>
          <w:szCs w:val="28"/>
          <w:lang w:val="en-US"/>
        </w:rPr>
        <w:t> </w:t>
      </w:r>
      <w:r w:rsidRPr="007F5722">
        <w:rPr>
          <w:rStyle w:val="cit-pub-date"/>
          <w:rFonts w:ascii="Times New Roman" w:eastAsia="Times New Roman" w:hAnsi="Times New Roman" w:cs="Times New Roman"/>
          <w:sz w:val="28"/>
          <w:szCs w:val="28"/>
          <w:lang w:val="en-US"/>
        </w:rPr>
        <w:t>2009</w:t>
      </w:r>
      <w:r w:rsidRPr="007F5722">
        <w:rPr>
          <w:rStyle w:val="HTML"/>
          <w:rFonts w:ascii="Times New Roman" w:eastAsia="Times New Roman" w:hAnsi="Times New Roman" w:cs="Times New Roman"/>
          <w:sz w:val="28"/>
          <w:szCs w:val="28"/>
          <w:lang w:val="en-US"/>
        </w:rPr>
        <w:t>;</w:t>
      </w:r>
      <w:r w:rsidRPr="007F5722">
        <w:rPr>
          <w:rStyle w:val="cit-vol"/>
          <w:rFonts w:ascii="Times New Roman" w:eastAsia="Times New Roman" w:hAnsi="Times New Roman" w:cs="Times New Roman"/>
          <w:bCs/>
          <w:sz w:val="28"/>
          <w:szCs w:val="28"/>
          <w:lang w:val="en-US"/>
        </w:rPr>
        <w:t>119</w:t>
      </w:r>
      <w:r w:rsidRPr="007F5722">
        <w:rPr>
          <w:rStyle w:val="HTML"/>
          <w:rFonts w:ascii="Times New Roman" w:eastAsia="Times New Roman" w:hAnsi="Times New Roman" w:cs="Times New Roman"/>
          <w:sz w:val="28"/>
          <w:szCs w:val="28"/>
          <w:lang w:val="en-US"/>
        </w:rPr>
        <w:t>:</w:t>
      </w:r>
      <w:r w:rsidRPr="007F5722">
        <w:rPr>
          <w:rStyle w:val="cit-fpage"/>
          <w:rFonts w:ascii="Times New Roman" w:eastAsia="Times New Roman" w:hAnsi="Times New Roman" w:cs="Times New Roman"/>
          <w:sz w:val="28"/>
          <w:szCs w:val="28"/>
          <w:lang w:val="en-US"/>
        </w:rPr>
        <w:t>3573</w:t>
      </w:r>
      <w:r w:rsidRPr="007F5722">
        <w:rPr>
          <w:rStyle w:val="HTML"/>
          <w:rFonts w:ascii="Times New Roman" w:eastAsia="Times New Roman" w:hAnsi="Times New Roman" w:cs="Times New Roman"/>
          <w:sz w:val="28"/>
          <w:szCs w:val="28"/>
          <w:lang w:val="en-US"/>
        </w:rPr>
        <w:t>–</w:t>
      </w:r>
      <w:r w:rsidRPr="007F5722">
        <w:rPr>
          <w:rStyle w:val="cit-lpage"/>
          <w:rFonts w:ascii="Times New Roman" w:eastAsia="Times New Roman" w:hAnsi="Times New Roman" w:cs="Times New Roman"/>
          <w:sz w:val="28"/>
          <w:szCs w:val="28"/>
          <w:lang w:val="en-US"/>
        </w:rPr>
        <w:t>3585</w:t>
      </w:r>
      <w:r w:rsidRPr="007F5722">
        <w:rPr>
          <w:rStyle w:val="cit-lpage"/>
          <w:rFonts w:ascii="Times New Roman" w:eastAsia="Times New Roman" w:hAnsi="Times New Roman" w:cs="Times New Roman"/>
          <w:sz w:val="28"/>
          <w:szCs w:val="28"/>
        </w:rPr>
        <w:t>.</w:t>
      </w:r>
    </w:p>
    <w:p w:rsidR="007F5722" w:rsidRPr="007F5722" w:rsidRDefault="007F5722" w:rsidP="007F5722">
      <w:pPr>
        <w:pStyle w:val="a8"/>
        <w:numPr>
          <w:ilvl w:val="0"/>
          <w:numId w:val="25"/>
        </w:numPr>
        <w:spacing w:after="0" w:line="360" w:lineRule="auto"/>
        <w:ind w:left="0" w:firstLine="357"/>
        <w:jc w:val="both"/>
        <w:rPr>
          <w:rStyle w:val="HTML"/>
          <w:rFonts w:ascii="Times New Roman" w:hAnsi="Times New Roman" w:cs="Times New Roman"/>
          <w:i w:val="0"/>
          <w:iCs w:val="0"/>
          <w:sz w:val="28"/>
          <w:szCs w:val="28"/>
        </w:rPr>
      </w:pPr>
      <w:r w:rsidRPr="007F5722">
        <w:rPr>
          <w:rStyle w:val="cit-name-surname"/>
          <w:rFonts w:ascii="Times New Roman" w:eastAsia="Times New Roman" w:hAnsi="Times New Roman" w:cs="Times New Roman"/>
          <w:sz w:val="28"/>
          <w:szCs w:val="28"/>
          <w:lang w:val="en-US"/>
        </w:rPr>
        <w:t>Rattik</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S</w:t>
      </w:r>
      <w:r w:rsidRPr="007F5722">
        <w:rPr>
          <w:rStyle w:val="HTML"/>
          <w:rFonts w:ascii="Times New Roman" w:eastAsia="Times New Roman" w:hAnsi="Times New Roman" w:cs="Times New Roman"/>
          <w:sz w:val="28"/>
          <w:szCs w:val="28"/>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Hultman</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K</w:t>
      </w:r>
      <w:r w:rsidRPr="007F5722">
        <w:rPr>
          <w:rStyle w:val="HTML"/>
          <w:rFonts w:ascii="Times New Roman" w:eastAsia="Times New Roman" w:hAnsi="Times New Roman" w:cs="Times New Roman"/>
          <w:sz w:val="28"/>
          <w:szCs w:val="28"/>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Rauch</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U</w:t>
      </w:r>
      <w:r w:rsidRPr="007F5722">
        <w:rPr>
          <w:rStyle w:val="HTML"/>
          <w:rFonts w:ascii="Times New Roman" w:eastAsia="Times New Roman" w:hAnsi="Times New Roman" w:cs="Times New Roman"/>
          <w:sz w:val="28"/>
          <w:szCs w:val="28"/>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Soderberg</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I</w:t>
      </w:r>
      <w:r w:rsidRPr="007F5722">
        <w:rPr>
          <w:rStyle w:val="HTML"/>
          <w:rFonts w:ascii="Times New Roman" w:eastAsia="Times New Roman" w:hAnsi="Times New Roman" w:cs="Times New Roman"/>
          <w:sz w:val="28"/>
          <w:szCs w:val="28"/>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Sundius</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L</w:t>
      </w:r>
      <w:r w:rsidRPr="007F5722">
        <w:rPr>
          <w:rStyle w:val="HTML"/>
          <w:rFonts w:ascii="Times New Roman" w:eastAsia="Times New Roman" w:hAnsi="Times New Roman" w:cs="Times New Roman"/>
          <w:sz w:val="28"/>
          <w:szCs w:val="28"/>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Ljungcrantz</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I</w:t>
      </w:r>
      <w:r w:rsidRPr="007F5722">
        <w:rPr>
          <w:rStyle w:val="HTML"/>
          <w:rFonts w:ascii="Times New Roman" w:eastAsia="Times New Roman" w:hAnsi="Times New Roman" w:cs="Times New Roman"/>
          <w:sz w:val="28"/>
          <w:szCs w:val="28"/>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Hultgardh</w:t>
      </w:r>
      <w:r w:rsidRPr="007F5722">
        <w:rPr>
          <w:rStyle w:val="cit-name-surname"/>
          <w:rFonts w:ascii="Times New Roman" w:eastAsia="Times New Roman" w:hAnsi="Times New Roman" w:cs="Times New Roman"/>
          <w:sz w:val="28"/>
          <w:szCs w:val="28"/>
        </w:rPr>
        <w:t>,</w:t>
      </w:r>
      <w:r w:rsidRPr="007F5722">
        <w:rPr>
          <w:rStyle w:val="cit-name-surname"/>
          <w:rFonts w:ascii="Times New Roman" w:eastAsia="Times New Roman" w:hAnsi="Times New Roman" w:cs="Times New Roman"/>
          <w:sz w:val="28"/>
          <w:szCs w:val="28"/>
          <w:lang w:val="en-US"/>
        </w:rPr>
        <w:t>Nilsson</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A</w:t>
      </w:r>
      <w:r w:rsidRPr="007F5722">
        <w:rPr>
          <w:rStyle w:val="HTML"/>
          <w:rFonts w:ascii="Times New Roman" w:eastAsia="Times New Roman" w:hAnsi="Times New Roman" w:cs="Times New Roman"/>
          <w:sz w:val="28"/>
          <w:szCs w:val="28"/>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Wigren</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M</w:t>
      </w:r>
      <w:r w:rsidRPr="007F5722">
        <w:rPr>
          <w:rStyle w:val="HTML"/>
          <w:rFonts w:ascii="Times New Roman" w:eastAsia="Times New Roman" w:hAnsi="Times New Roman" w:cs="Times New Roman"/>
          <w:sz w:val="28"/>
          <w:szCs w:val="28"/>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Bjorkbacka</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H</w:t>
      </w:r>
      <w:r w:rsidRPr="007F5722">
        <w:rPr>
          <w:rStyle w:val="HTML"/>
          <w:rFonts w:ascii="Times New Roman" w:eastAsia="Times New Roman" w:hAnsi="Times New Roman" w:cs="Times New Roman"/>
          <w:sz w:val="28"/>
          <w:szCs w:val="28"/>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Fredrikson</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GN</w:t>
      </w:r>
      <w:r w:rsidRPr="007F5722">
        <w:rPr>
          <w:rStyle w:val="HTML"/>
          <w:rFonts w:ascii="Times New Roman" w:eastAsia="Times New Roman" w:hAnsi="Times New Roman" w:cs="Times New Roman"/>
          <w:sz w:val="28"/>
          <w:szCs w:val="28"/>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Nilsson</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J</w:t>
      </w:r>
      <w:r w:rsidRPr="007F5722">
        <w:rPr>
          <w:rStyle w:val="HTML"/>
          <w:rFonts w:ascii="Times New Roman" w:eastAsia="Times New Roman" w:hAnsi="Times New Roman" w:cs="Times New Roman"/>
          <w:sz w:val="28"/>
          <w:szCs w:val="28"/>
        </w:rPr>
        <w:t>.</w:t>
      </w:r>
      <w:r w:rsidRPr="007F5722">
        <w:rPr>
          <w:rStyle w:val="apple-converted-space"/>
          <w:rFonts w:ascii="Times New Roman" w:eastAsia="Times New Roman" w:hAnsi="Times New Roman" w:cs="Times New Roman"/>
          <w:sz w:val="28"/>
          <w:szCs w:val="28"/>
          <w:lang w:val="en-US"/>
        </w:rPr>
        <w:t> </w:t>
      </w:r>
      <w:r w:rsidRPr="007F5722">
        <w:rPr>
          <w:rStyle w:val="cit-article-title"/>
          <w:rFonts w:ascii="Times New Roman" w:eastAsia="Times New Roman" w:hAnsi="Times New Roman" w:cs="Times New Roman"/>
          <w:sz w:val="28"/>
          <w:szCs w:val="28"/>
          <w:lang w:val="en-US"/>
        </w:rPr>
        <w:t>IL</w:t>
      </w:r>
      <w:r w:rsidRPr="007F5722">
        <w:rPr>
          <w:rStyle w:val="cit-article-title"/>
          <w:rFonts w:ascii="Times New Roman" w:eastAsia="Times New Roman" w:hAnsi="Times New Roman" w:cs="Times New Roman"/>
          <w:sz w:val="28"/>
          <w:szCs w:val="28"/>
        </w:rPr>
        <w:t xml:space="preserve"> 22 </w:t>
      </w:r>
      <w:r w:rsidRPr="007F5722">
        <w:rPr>
          <w:rStyle w:val="cit-article-title"/>
          <w:rFonts w:ascii="Times New Roman" w:eastAsia="Times New Roman" w:hAnsi="Times New Roman" w:cs="Times New Roman"/>
          <w:sz w:val="28"/>
          <w:szCs w:val="28"/>
          <w:lang w:val="en-US"/>
        </w:rPr>
        <w:t>affects</w:t>
      </w:r>
      <w:r w:rsidRPr="007F5722">
        <w:rPr>
          <w:rStyle w:val="cit-article-title"/>
          <w:rFonts w:ascii="Times New Roman" w:eastAsia="Times New Roman" w:hAnsi="Times New Roman" w:cs="Times New Roman"/>
          <w:sz w:val="28"/>
          <w:szCs w:val="28"/>
        </w:rPr>
        <w:t xml:space="preserve"> </w:t>
      </w:r>
      <w:r w:rsidRPr="007F5722">
        <w:rPr>
          <w:rStyle w:val="cit-article-title"/>
          <w:rFonts w:ascii="Times New Roman" w:eastAsia="Times New Roman" w:hAnsi="Times New Roman" w:cs="Times New Roman"/>
          <w:sz w:val="28"/>
          <w:szCs w:val="28"/>
          <w:lang w:val="en-US"/>
        </w:rPr>
        <w:t>smooth</w:t>
      </w:r>
      <w:r w:rsidRPr="007F5722">
        <w:rPr>
          <w:rStyle w:val="cit-article-title"/>
          <w:rFonts w:ascii="Times New Roman" w:eastAsia="Times New Roman" w:hAnsi="Times New Roman" w:cs="Times New Roman"/>
          <w:sz w:val="28"/>
          <w:szCs w:val="28"/>
        </w:rPr>
        <w:t xml:space="preserve"> </w:t>
      </w:r>
      <w:r w:rsidRPr="007F5722">
        <w:rPr>
          <w:rStyle w:val="cit-article-title"/>
          <w:rFonts w:ascii="Times New Roman" w:eastAsia="Times New Roman" w:hAnsi="Times New Roman" w:cs="Times New Roman"/>
          <w:sz w:val="28"/>
          <w:szCs w:val="28"/>
          <w:lang w:val="en-US"/>
        </w:rPr>
        <w:t>muscle</w:t>
      </w:r>
      <w:r w:rsidRPr="007F5722">
        <w:rPr>
          <w:rStyle w:val="cit-article-title"/>
          <w:rFonts w:ascii="Times New Roman" w:eastAsia="Times New Roman" w:hAnsi="Times New Roman" w:cs="Times New Roman"/>
          <w:sz w:val="28"/>
          <w:szCs w:val="28"/>
        </w:rPr>
        <w:t xml:space="preserve"> </w:t>
      </w:r>
      <w:r w:rsidRPr="007F5722">
        <w:rPr>
          <w:rStyle w:val="cit-article-title"/>
          <w:rFonts w:ascii="Times New Roman" w:eastAsia="Times New Roman" w:hAnsi="Times New Roman" w:cs="Times New Roman"/>
          <w:sz w:val="28"/>
          <w:szCs w:val="28"/>
          <w:lang w:val="en-US"/>
        </w:rPr>
        <w:t>cell</w:t>
      </w:r>
      <w:r w:rsidRPr="007F5722">
        <w:rPr>
          <w:rStyle w:val="cit-article-title"/>
          <w:rFonts w:ascii="Times New Roman" w:eastAsia="Times New Roman" w:hAnsi="Times New Roman" w:cs="Times New Roman"/>
          <w:sz w:val="28"/>
          <w:szCs w:val="28"/>
        </w:rPr>
        <w:t xml:space="preserve"> </w:t>
      </w:r>
      <w:r w:rsidRPr="007F5722">
        <w:rPr>
          <w:rStyle w:val="cit-article-title"/>
          <w:rFonts w:ascii="Times New Roman" w:eastAsia="Times New Roman" w:hAnsi="Times New Roman" w:cs="Times New Roman"/>
          <w:sz w:val="28"/>
          <w:szCs w:val="28"/>
          <w:lang w:val="en-US"/>
        </w:rPr>
        <w:t>phenotype</w:t>
      </w:r>
      <w:r w:rsidRPr="007F5722">
        <w:rPr>
          <w:rStyle w:val="cit-article-title"/>
          <w:rFonts w:ascii="Times New Roman" w:eastAsia="Times New Roman" w:hAnsi="Times New Roman" w:cs="Times New Roman"/>
          <w:sz w:val="28"/>
          <w:szCs w:val="28"/>
        </w:rPr>
        <w:t xml:space="preserve"> </w:t>
      </w:r>
      <w:r w:rsidRPr="007F5722">
        <w:rPr>
          <w:rStyle w:val="cit-article-title"/>
          <w:rFonts w:ascii="Times New Roman" w:eastAsia="Times New Roman" w:hAnsi="Times New Roman" w:cs="Times New Roman"/>
          <w:sz w:val="28"/>
          <w:szCs w:val="28"/>
          <w:lang w:val="en-US"/>
        </w:rPr>
        <w:t>and</w:t>
      </w:r>
      <w:r w:rsidRPr="007F5722">
        <w:rPr>
          <w:rStyle w:val="cit-article-title"/>
          <w:rFonts w:ascii="Times New Roman" w:eastAsia="Times New Roman" w:hAnsi="Times New Roman" w:cs="Times New Roman"/>
          <w:sz w:val="28"/>
          <w:szCs w:val="28"/>
        </w:rPr>
        <w:t xml:space="preserve"> </w:t>
      </w:r>
      <w:r w:rsidRPr="007F5722">
        <w:rPr>
          <w:rStyle w:val="cit-article-title"/>
          <w:rFonts w:ascii="Times New Roman" w:eastAsia="Times New Roman" w:hAnsi="Times New Roman" w:cs="Times New Roman"/>
          <w:sz w:val="28"/>
          <w:szCs w:val="28"/>
          <w:lang w:val="en-US"/>
        </w:rPr>
        <w:t>plaque</w:t>
      </w:r>
      <w:r w:rsidRPr="007F5722">
        <w:rPr>
          <w:rStyle w:val="cit-article-title"/>
          <w:rFonts w:ascii="Times New Roman" w:eastAsia="Times New Roman" w:hAnsi="Times New Roman" w:cs="Times New Roman"/>
          <w:sz w:val="28"/>
          <w:szCs w:val="28"/>
        </w:rPr>
        <w:t xml:space="preserve"> </w:t>
      </w:r>
      <w:r w:rsidRPr="007F5722">
        <w:rPr>
          <w:rStyle w:val="cit-article-title"/>
          <w:rFonts w:ascii="Times New Roman" w:eastAsia="Times New Roman" w:hAnsi="Times New Roman" w:cs="Times New Roman"/>
          <w:sz w:val="28"/>
          <w:szCs w:val="28"/>
          <w:lang w:val="en-US"/>
        </w:rPr>
        <w:t>formation</w:t>
      </w:r>
      <w:r w:rsidRPr="007F5722">
        <w:rPr>
          <w:rStyle w:val="cit-article-title"/>
          <w:rFonts w:ascii="Times New Roman" w:eastAsia="Times New Roman" w:hAnsi="Times New Roman" w:cs="Times New Roman"/>
          <w:sz w:val="28"/>
          <w:szCs w:val="28"/>
        </w:rPr>
        <w:t xml:space="preserve"> </w:t>
      </w:r>
      <w:r w:rsidRPr="007F5722">
        <w:rPr>
          <w:rStyle w:val="cit-article-title"/>
          <w:rFonts w:ascii="Times New Roman" w:eastAsia="Times New Roman" w:hAnsi="Times New Roman" w:cs="Times New Roman"/>
          <w:sz w:val="28"/>
          <w:szCs w:val="28"/>
          <w:lang w:val="en-US"/>
        </w:rPr>
        <w:t>in</w:t>
      </w:r>
      <w:r w:rsidRPr="007F5722">
        <w:rPr>
          <w:rStyle w:val="cit-article-title"/>
          <w:rFonts w:ascii="Times New Roman" w:eastAsia="Times New Roman" w:hAnsi="Times New Roman" w:cs="Times New Roman"/>
          <w:sz w:val="28"/>
          <w:szCs w:val="28"/>
        </w:rPr>
        <w:t xml:space="preserve"> </w:t>
      </w:r>
      <w:r w:rsidRPr="007F5722">
        <w:rPr>
          <w:rStyle w:val="cit-article-title"/>
          <w:rFonts w:ascii="Times New Roman" w:eastAsia="Times New Roman" w:hAnsi="Times New Roman" w:cs="Times New Roman"/>
          <w:sz w:val="28"/>
          <w:szCs w:val="28"/>
          <w:lang w:val="en-US"/>
        </w:rPr>
        <w:t>apolipoprotein</w:t>
      </w:r>
      <w:r w:rsidRPr="007F5722">
        <w:rPr>
          <w:rStyle w:val="cit-article-title"/>
          <w:rFonts w:ascii="Times New Roman" w:eastAsia="Times New Roman" w:hAnsi="Times New Roman" w:cs="Times New Roman"/>
          <w:sz w:val="28"/>
          <w:szCs w:val="28"/>
        </w:rPr>
        <w:t xml:space="preserve"> </w:t>
      </w:r>
      <w:r w:rsidRPr="007F5722">
        <w:rPr>
          <w:rStyle w:val="cit-article-title"/>
          <w:rFonts w:ascii="Times New Roman" w:eastAsia="Times New Roman" w:hAnsi="Times New Roman" w:cs="Times New Roman"/>
          <w:sz w:val="28"/>
          <w:szCs w:val="28"/>
          <w:lang w:val="en-US"/>
        </w:rPr>
        <w:t>E</w:t>
      </w:r>
      <w:r w:rsidRPr="007F5722">
        <w:rPr>
          <w:rStyle w:val="cit-article-title"/>
          <w:rFonts w:ascii="Times New Roman" w:eastAsia="Times New Roman" w:hAnsi="Times New Roman" w:cs="Times New Roman"/>
          <w:sz w:val="28"/>
          <w:szCs w:val="28"/>
        </w:rPr>
        <w:t xml:space="preserve"> </w:t>
      </w:r>
      <w:r w:rsidRPr="007F5722">
        <w:rPr>
          <w:rStyle w:val="cit-article-title"/>
          <w:rFonts w:ascii="Times New Roman" w:eastAsia="Times New Roman" w:hAnsi="Times New Roman" w:cs="Times New Roman"/>
          <w:sz w:val="28"/>
          <w:szCs w:val="28"/>
          <w:lang w:val="en-US"/>
        </w:rPr>
        <w:t>knockout</w:t>
      </w:r>
      <w:r w:rsidRPr="007F5722">
        <w:rPr>
          <w:rStyle w:val="cit-article-title"/>
          <w:rFonts w:ascii="Times New Roman" w:eastAsia="Times New Roman" w:hAnsi="Times New Roman" w:cs="Times New Roman"/>
          <w:sz w:val="28"/>
          <w:szCs w:val="28"/>
        </w:rPr>
        <w:t xml:space="preserve"> </w:t>
      </w:r>
      <w:r w:rsidRPr="007F5722">
        <w:rPr>
          <w:rStyle w:val="cit-article-title"/>
          <w:rFonts w:ascii="Times New Roman" w:eastAsia="Times New Roman" w:hAnsi="Times New Roman" w:cs="Times New Roman"/>
          <w:sz w:val="28"/>
          <w:szCs w:val="28"/>
          <w:lang w:val="en-US"/>
        </w:rPr>
        <w:t>mice</w:t>
      </w:r>
      <w:r w:rsidRPr="007F5722">
        <w:rPr>
          <w:rStyle w:val="HTML"/>
          <w:rFonts w:ascii="Times New Roman" w:eastAsia="Times New Roman" w:hAnsi="Times New Roman" w:cs="Times New Roman"/>
          <w:sz w:val="28"/>
          <w:szCs w:val="28"/>
        </w:rPr>
        <w:t>.</w:t>
      </w:r>
      <w:r w:rsidRPr="007F5722">
        <w:rPr>
          <w:rStyle w:val="apple-converted-space"/>
          <w:rFonts w:ascii="Times New Roman" w:eastAsia="Times New Roman" w:hAnsi="Times New Roman" w:cs="Times New Roman"/>
          <w:sz w:val="28"/>
          <w:szCs w:val="28"/>
          <w:lang w:val="en-US"/>
        </w:rPr>
        <w:t> </w:t>
      </w:r>
      <w:r w:rsidRPr="007F5722">
        <w:rPr>
          <w:rStyle w:val="HTML"/>
          <w:rFonts w:ascii="Times New Roman" w:eastAsia="Times New Roman" w:hAnsi="Times New Roman" w:cs="Times New Roman"/>
          <w:sz w:val="28"/>
          <w:szCs w:val="28"/>
          <w:lang w:val="en-US"/>
        </w:rPr>
        <w:t>Atherosclerosis.</w:t>
      </w:r>
      <w:r w:rsidRPr="007F5722">
        <w:rPr>
          <w:rStyle w:val="apple-converted-space"/>
          <w:rFonts w:ascii="Times New Roman" w:eastAsia="Times New Roman" w:hAnsi="Times New Roman" w:cs="Times New Roman"/>
          <w:sz w:val="28"/>
          <w:szCs w:val="28"/>
          <w:lang w:val="en-US"/>
        </w:rPr>
        <w:t> </w:t>
      </w:r>
      <w:r w:rsidRPr="007F5722">
        <w:rPr>
          <w:rStyle w:val="cit-pub-date"/>
          <w:rFonts w:ascii="Times New Roman" w:eastAsia="Times New Roman" w:hAnsi="Times New Roman" w:cs="Times New Roman"/>
          <w:sz w:val="28"/>
          <w:szCs w:val="28"/>
          <w:lang w:val="en-US"/>
        </w:rPr>
        <w:t>2015</w:t>
      </w:r>
      <w:r w:rsidRPr="007F5722">
        <w:rPr>
          <w:rStyle w:val="HTML"/>
          <w:rFonts w:ascii="Times New Roman" w:eastAsia="Times New Roman" w:hAnsi="Times New Roman" w:cs="Times New Roman"/>
          <w:sz w:val="28"/>
          <w:szCs w:val="28"/>
          <w:lang w:val="en-US"/>
        </w:rPr>
        <w:t>;</w:t>
      </w:r>
      <w:r w:rsidRPr="007F5722">
        <w:rPr>
          <w:rStyle w:val="cit-vol"/>
          <w:rFonts w:ascii="Times New Roman" w:eastAsia="Times New Roman" w:hAnsi="Times New Roman" w:cs="Times New Roman"/>
          <w:bCs/>
          <w:sz w:val="28"/>
          <w:szCs w:val="28"/>
          <w:lang w:val="en-US"/>
        </w:rPr>
        <w:t>242</w:t>
      </w:r>
      <w:r w:rsidRPr="007F5722">
        <w:rPr>
          <w:rStyle w:val="HTML"/>
          <w:rFonts w:ascii="Times New Roman" w:eastAsia="Times New Roman" w:hAnsi="Times New Roman" w:cs="Times New Roman"/>
          <w:sz w:val="28"/>
          <w:szCs w:val="28"/>
          <w:lang w:val="en-US"/>
        </w:rPr>
        <w:t>:</w:t>
      </w:r>
      <w:r w:rsidRPr="007F5722">
        <w:rPr>
          <w:rStyle w:val="cit-fpage"/>
          <w:rFonts w:ascii="Times New Roman" w:eastAsia="Times New Roman" w:hAnsi="Times New Roman" w:cs="Times New Roman"/>
          <w:sz w:val="28"/>
          <w:szCs w:val="28"/>
          <w:lang w:val="en-US"/>
        </w:rPr>
        <w:t>506</w:t>
      </w:r>
      <w:r w:rsidRPr="007F5722">
        <w:rPr>
          <w:rStyle w:val="HTML"/>
          <w:rFonts w:ascii="Times New Roman" w:eastAsia="Times New Roman" w:hAnsi="Times New Roman" w:cs="Times New Roman"/>
          <w:sz w:val="28"/>
          <w:szCs w:val="28"/>
          <w:lang w:val="en-US"/>
        </w:rPr>
        <w:t>–</w:t>
      </w:r>
      <w:r w:rsidRPr="007F5722">
        <w:rPr>
          <w:rStyle w:val="cit-lpage"/>
          <w:rFonts w:ascii="Times New Roman" w:eastAsia="Times New Roman" w:hAnsi="Times New Roman" w:cs="Times New Roman"/>
          <w:sz w:val="28"/>
          <w:szCs w:val="28"/>
          <w:lang w:val="en-US"/>
        </w:rPr>
        <w:t>514</w:t>
      </w:r>
      <w:r w:rsidRPr="007F5722">
        <w:rPr>
          <w:rStyle w:val="HTML"/>
          <w:rFonts w:ascii="Times New Roman" w:eastAsia="Times New Roman" w:hAnsi="Times New Roman" w:cs="Times New Roman"/>
          <w:sz w:val="28"/>
          <w:szCs w:val="28"/>
          <w:lang w:val="en-US"/>
        </w:rPr>
        <w:t>.</w:t>
      </w:r>
    </w:p>
    <w:p w:rsidR="007F5722" w:rsidRPr="007F5722" w:rsidRDefault="007F5722" w:rsidP="007F5722">
      <w:pPr>
        <w:pStyle w:val="a8"/>
        <w:numPr>
          <w:ilvl w:val="0"/>
          <w:numId w:val="25"/>
        </w:numPr>
        <w:spacing w:after="0" w:line="360" w:lineRule="auto"/>
        <w:ind w:left="0" w:firstLine="357"/>
        <w:jc w:val="both"/>
        <w:rPr>
          <w:rStyle w:val="HTML"/>
          <w:rFonts w:ascii="Times New Roman" w:hAnsi="Times New Roman" w:cs="Times New Roman"/>
          <w:i w:val="0"/>
          <w:iCs w:val="0"/>
          <w:sz w:val="28"/>
          <w:szCs w:val="28"/>
        </w:rPr>
      </w:pPr>
      <w:r w:rsidRPr="007F5722">
        <w:rPr>
          <w:rStyle w:val="cit-name-surname"/>
          <w:rFonts w:ascii="Times New Roman" w:eastAsia="Times New Roman" w:hAnsi="Times New Roman" w:cs="Times New Roman"/>
          <w:sz w:val="28"/>
          <w:szCs w:val="28"/>
          <w:lang w:val="en-US"/>
        </w:rPr>
        <w:t>Kong</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Q</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Wu</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W</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Yang</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F</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Liu</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Y</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Xue</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Y</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Gao</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M</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Lai</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W</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Pan</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X</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Yan</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Y</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Pang</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Y</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Deng</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Y</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article-title"/>
          <w:rFonts w:ascii="Times New Roman" w:eastAsia="Times New Roman" w:hAnsi="Times New Roman" w:cs="Times New Roman"/>
          <w:sz w:val="28"/>
          <w:szCs w:val="28"/>
          <w:lang w:val="en-US"/>
        </w:rPr>
        <w:t>Increased expressions of IL</w:t>
      </w:r>
      <w:r w:rsidRPr="007F5722">
        <w:rPr>
          <w:rStyle w:val="cit-article-title"/>
          <w:rFonts w:ascii="Times New Roman" w:eastAsia="Times New Roman" w:hAnsi="Times New Roman" w:cs="Times New Roman"/>
          <w:sz w:val="28"/>
          <w:szCs w:val="28"/>
        </w:rPr>
        <w:t xml:space="preserve"> </w:t>
      </w:r>
      <w:r w:rsidRPr="007F5722">
        <w:rPr>
          <w:rStyle w:val="cit-article-title"/>
          <w:rFonts w:ascii="Times New Roman" w:eastAsia="Times New Roman" w:hAnsi="Times New Roman" w:cs="Times New Roman"/>
          <w:sz w:val="28"/>
          <w:szCs w:val="28"/>
          <w:lang w:val="en-US"/>
        </w:rPr>
        <w:t>22 and Th22 cells in the coxsackievirus B3</w:t>
      </w:r>
      <w:r w:rsidRPr="007F5722">
        <w:rPr>
          <w:rStyle w:val="cit-article-title"/>
          <w:rFonts w:ascii="Times New Roman" w:eastAsia="Times New Roman" w:hAnsi="Times New Roman" w:cs="Times New Roman"/>
          <w:sz w:val="28"/>
          <w:szCs w:val="28"/>
        </w:rPr>
        <w:t xml:space="preserve"> </w:t>
      </w:r>
      <w:r w:rsidRPr="007F5722">
        <w:rPr>
          <w:rStyle w:val="cit-article-title"/>
          <w:rFonts w:ascii="Times New Roman" w:eastAsia="Times New Roman" w:hAnsi="Times New Roman" w:cs="Times New Roman"/>
          <w:sz w:val="28"/>
          <w:szCs w:val="28"/>
          <w:lang w:val="en-US"/>
        </w:rPr>
        <w:t>induced mice acute viral myocarditis</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HTML"/>
          <w:rFonts w:ascii="Times New Roman" w:eastAsia="Times New Roman" w:hAnsi="Times New Roman" w:cs="Times New Roman"/>
          <w:sz w:val="28"/>
          <w:szCs w:val="28"/>
          <w:lang w:val="en-US"/>
        </w:rPr>
        <w:t>Virol J.</w:t>
      </w:r>
      <w:r w:rsidRPr="007F5722">
        <w:rPr>
          <w:rStyle w:val="apple-converted-space"/>
          <w:rFonts w:ascii="Times New Roman" w:eastAsia="Times New Roman" w:hAnsi="Times New Roman" w:cs="Times New Roman"/>
          <w:sz w:val="28"/>
          <w:szCs w:val="28"/>
          <w:lang w:val="en-US"/>
        </w:rPr>
        <w:t> </w:t>
      </w:r>
      <w:r w:rsidRPr="007F5722">
        <w:rPr>
          <w:rStyle w:val="cit-pub-date"/>
          <w:rFonts w:ascii="Times New Roman" w:eastAsia="Times New Roman" w:hAnsi="Times New Roman" w:cs="Times New Roman"/>
          <w:sz w:val="28"/>
          <w:szCs w:val="28"/>
          <w:lang w:val="en-US"/>
        </w:rPr>
        <w:t>2012</w:t>
      </w:r>
      <w:r w:rsidRPr="007F5722">
        <w:rPr>
          <w:rStyle w:val="HTML"/>
          <w:rFonts w:ascii="Times New Roman" w:eastAsia="Times New Roman" w:hAnsi="Times New Roman" w:cs="Times New Roman"/>
          <w:sz w:val="28"/>
          <w:szCs w:val="28"/>
          <w:lang w:val="en-US"/>
        </w:rPr>
        <w:t>;</w:t>
      </w:r>
      <w:r w:rsidRPr="007F5722">
        <w:rPr>
          <w:rStyle w:val="cit-vol"/>
          <w:rFonts w:ascii="Times New Roman" w:eastAsia="Times New Roman" w:hAnsi="Times New Roman" w:cs="Times New Roman"/>
          <w:bCs/>
          <w:sz w:val="28"/>
          <w:szCs w:val="28"/>
          <w:lang w:val="en-US"/>
        </w:rPr>
        <w:t>9</w:t>
      </w:r>
      <w:r w:rsidRPr="007F5722">
        <w:rPr>
          <w:rStyle w:val="HTML"/>
          <w:rFonts w:ascii="Times New Roman" w:eastAsia="Times New Roman" w:hAnsi="Times New Roman" w:cs="Times New Roman"/>
          <w:sz w:val="28"/>
          <w:szCs w:val="28"/>
          <w:lang w:val="en-US"/>
        </w:rPr>
        <w:t>:</w:t>
      </w:r>
      <w:r w:rsidRPr="007F5722">
        <w:rPr>
          <w:rStyle w:val="cit-fpage"/>
          <w:rFonts w:ascii="Times New Roman" w:eastAsia="Times New Roman" w:hAnsi="Times New Roman" w:cs="Times New Roman"/>
          <w:sz w:val="28"/>
          <w:szCs w:val="28"/>
          <w:lang w:val="en-US"/>
        </w:rPr>
        <w:t>232</w:t>
      </w:r>
      <w:r w:rsidRPr="007F5722">
        <w:rPr>
          <w:rStyle w:val="HTML"/>
          <w:rFonts w:ascii="Times New Roman" w:eastAsia="Times New Roman" w:hAnsi="Times New Roman" w:cs="Times New Roman"/>
          <w:sz w:val="28"/>
          <w:szCs w:val="28"/>
          <w:lang w:val="en-US"/>
        </w:rPr>
        <w:t>–</w:t>
      </w:r>
      <w:r w:rsidRPr="007F5722">
        <w:rPr>
          <w:rStyle w:val="cit-lpage"/>
          <w:rFonts w:ascii="Times New Roman" w:eastAsia="Times New Roman" w:hAnsi="Times New Roman" w:cs="Times New Roman"/>
          <w:sz w:val="28"/>
          <w:szCs w:val="28"/>
          <w:lang w:val="en-US"/>
        </w:rPr>
        <w:t>241</w:t>
      </w:r>
      <w:r w:rsidRPr="007F5722">
        <w:rPr>
          <w:rStyle w:val="HTML"/>
          <w:rFonts w:ascii="Times New Roman" w:eastAsia="Times New Roman" w:hAnsi="Times New Roman" w:cs="Times New Roman"/>
          <w:sz w:val="28"/>
          <w:szCs w:val="28"/>
          <w:lang w:val="en-US"/>
        </w:rPr>
        <w:t>.</w:t>
      </w:r>
    </w:p>
    <w:p w:rsidR="007F5722" w:rsidRPr="007F5722" w:rsidRDefault="007F5722" w:rsidP="007F5722">
      <w:pPr>
        <w:pStyle w:val="a8"/>
        <w:numPr>
          <w:ilvl w:val="0"/>
          <w:numId w:val="25"/>
        </w:numPr>
        <w:spacing w:after="0" w:line="360" w:lineRule="auto"/>
        <w:ind w:left="0" w:firstLine="357"/>
        <w:jc w:val="both"/>
        <w:rPr>
          <w:rStyle w:val="HTML"/>
          <w:rFonts w:ascii="Times New Roman" w:hAnsi="Times New Roman" w:cs="Times New Roman"/>
          <w:i w:val="0"/>
          <w:iCs w:val="0"/>
          <w:sz w:val="28"/>
          <w:szCs w:val="28"/>
        </w:rPr>
      </w:pPr>
      <w:r w:rsidRPr="007F5722">
        <w:rPr>
          <w:rStyle w:val="cit-name-surname"/>
          <w:rFonts w:ascii="Times New Roman" w:eastAsia="Times New Roman" w:hAnsi="Times New Roman" w:cs="Times New Roman"/>
          <w:sz w:val="28"/>
          <w:szCs w:val="28"/>
          <w:lang w:val="en-US"/>
        </w:rPr>
        <w:t>Zhao</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M</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Li</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Y</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Xiao</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W</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article-title"/>
          <w:rFonts w:ascii="Times New Roman" w:eastAsia="Times New Roman" w:hAnsi="Times New Roman" w:cs="Times New Roman"/>
          <w:sz w:val="28"/>
          <w:szCs w:val="28"/>
          <w:lang w:val="en-US"/>
        </w:rPr>
        <w:t>Anti</w:t>
      </w:r>
      <w:r w:rsidRPr="007F5722">
        <w:rPr>
          <w:rStyle w:val="cit-article-title"/>
          <w:rFonts w:ascii="Times New Roman" w:eastAsia="Times New Roman" w:hAnsi="Times New Roman" w:cs="Times New Roman"/>
          <w:sz w:val="28"/>
          <w:szCs w:val="28"/>
        </w:rPr>
        <w:t xml:space="preserve"> </w:t>
      </w:r>
      <w:r w:rsidRPr="007F5722">
        <w:rPr>
          <w:rStyle w:val="cit-article-title"/>
          <w:rFonts w:ascii="Times New Roman" w:eastAsia="Times New Roman" w:hAnsi="Times New Roman" w:cs="Times New Roman"/>
          <w:sz w:val="28"/>
          <w:szCs w:val="28"/>
          <w:lang w:val="en-US"/>
        </w:rPr>
        <w:t>apoptotic effect of interleukin</w:t>
      </w:r>
      <w:r w:rsidRPr="007F5722">
        <w:rPr>
          <w:rStyle w:val="cit-article-title"/>
          <w:rFonts w:ascii="Times New Roman" w:eastAsia="Times New Roman" w:hAnsi="Times New Roman" w:cs="Times New Roman"/>
          <w:sz w:val="28"/>
          <w:szCs w:val="28"/>
        </w:rPr>
        <w:t xml:space="preserve">  </w:t>
      </w:r>
      <w:r w:rsidRPr="007F5722">
        <w:rPr>
          <w:rStyle w:val="cit-article-title"/>
          <w:rFonts w:ascii="Times New Roman" w:eastAsia="Times New Roman" w:hAnsi="Times New Roman" w:cs="Times New Roman"/>
          <w:sz w:val="28"/>
          <w:szCs w:val="28"/>
          <w:lang w:val="en-US"/>
        </w:rPr>
        <w:t>22 on fibroblast</w:t>
      </w:r>
      <w:r w:rsidRPr="007F5722">
        <w:rPr>
          <w:rStyle w:val="cit-article-title"/>
          <w:rFonts w:ascii="Times New Roman" w:eastAsia="Times New Roman" w:hAnsi="Times New Roman" w:cs="Times New Roman"/>
          <w:sz w:val="28"/>
          <w:szCs w:val="28"/>
        </w:rPr>
        <w:t xml:space="preserve"> </w:t>
      </w:r>
      <w:r w:rsidRPr="007F5722">
        <w:rPr>
          <w:rStyle w:val="cit-article-title"/>
          <w:rFonts w:ascii="Times New Roman" w:eastAsia="Times New Roman" w:hAnsi="Times New Roman" w:cs="Times New Roman"/>
          <w:sz w:val="28"/>
          <w:szCs w:val="28"/>
          <w:lang w:val="en-US"/>
        </w:rPr>
        <w:t>like synoviocytes in patients with rheumatoid arthritis is mediated via the signal transducer and activator of transcription 3 signaling pathway</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HTML"/>
          <w:rFonts w:ascii="Times New Roman" w:eastAsia="Times New Roman" w:hAnsi="Times New Roman" w:cs="Times New Roman"/>
          <w:sz w:val="28"/>
          <w:szCs w:val="28"/>
          <w:lang w:val="en-US"/>
        </w:rPr>
        <w:t>Int J Rheum Dis.</w:t>
      </w:r>
      <w:r w:rsidRPr="007F5722">
        <w:rPr>
          <w:rStyle w:val="apple-converted-space"/>
          <w:rFonts w:ascii="Times New Roman" w:eastAsia="Times New Roman" w:hAnsi="Times New Roman" w:cs="Times New Roman"/>
          <w:sz w:val="28"/>
          <w:szCs w:val="28"/>
          <w:lang w:val="en-US"/>
        </w:rPr>
        <w:t> </w:t>
      </w:r>
      <w:r w:rsidRPr="007F5722">
        <w:rPr>
          <w:rStyle w:val="cit-pub-date"/>
          <w:rFonts w:ascii="Times New Roman" w:eastAsia="Times New Roman" w:hAnsi="Times New Roman" w:cs="Times New Roman"/>
          <w:sz w:val="28"/>
          <w:szCs w:val="28"/>
          <w:lang w:val="en-US"/>
        </w:rPr>
        <w:t>2016</w:t>
      </w:r>
      <w:r w:rsidRPr="007F5722">
        <w:rPr>
          <w:rStyle w:val="HTML"/>
          <w:rFonts w:ascii="Times New Roman" w:eastAsia="Times New Roman" w:hAnsi="Times New Roman" w:cs="Times New Roman"/>
          <w:sz w:val="28"/>
          <w:szCs w:val="28"/>
          <w:lang w:val="en-US"/>
        </w:rPr>
        <w:t>;</w:t>
      </w:r>
      <w:r w:rsidRPr="007F5722">
        <w:rPr>
          <w:rStyle w:val="cit-vol"/>
          <w:rFonts w:ascii="Times New Roman" w:eastAsia="Times New Roman" w:hAnsi="Times New Roman" w:cs="Times New Roman"/>
          <w:bCs/>
          <w:sz w:val="28"/>
          <w:szCs w:val="28"/>
          <w:lang w:val="en-US"/>
        </w:rPr>
        <w:t>20</w:t>
      </w:r>
      <w:r w:rsidRPr="007F5722">
        <w:rPr>
          <w:rStyle w:val="HTML"/>
          <w:rFonts w:ascii="Times New Roman" w:eastAsia="Times New Roman" w:hAnsi="Times New Roman" w:cs="Times New Roman"/>
          <w:sz w:val="28"/>
          <w:szCs w:val="28"/>
          <w:lang w:val="en-US"/>
        </w:rPr>
        <w:t>:</w:t>
      </w:r>
      <w:r w:rsidRPr="007F5722">
        <w:rPr>
          <w:rStyle w:val="cit-fpage"/>
          <w:rFonts w:ascii="Times New Roman" w:eastAsia="Times New Roman" w:hAnsi="Times New Roman" w:cs="Times New Roman"/>
          <w:sz w:val="28"/>
          <w:szCs w:val="28"/>
          <w:lang w:val="en-US"/>
        </w:rPr>
        <w:t>214</w:t>
      </w:r>
      <w:r w:rsidRPr="007F5722">
        <w:rPr>
          <w:rStyle w:val="HTML"/>
          <w:rFonts w:ascii="Times New Roman" w:eastAsia="Times New Roman" w:hAnsi="Times New Roman" w:cs="Times New Roman"/>
          <w:sz w:val="28"/>
          <w:szCs w:val="28"/>
          <w:lang w:val="en-US"/>
        </w:rPr>
        <w:t>–</w:t>
      </w:r>
      <w:r w:rsidRPr="007F5722">
        <w:rPr>
          <w:rStyle w:val="cit-lpage"/>
          <w:rFonts w:ascii="Times New Roman" w:eastAsia="Times New Roman" w:hAnsi="Times New Roman" w:cs="Times New Roman"/>
          <w:sz w:val="28"/>
          <w:szCs w:val="28"/>
          <w:lang w:val="en-US"/>
        </w:rPr>
        <w:t>224</w:t>
      </w:r>
      <w:r w:rsidRPr="007F5722">
        <w:rPr>
          <w:rStyle w:val="HTML"/>
          <w:rFonts w:ascii="Times New Roman" w:eastAsia="Times New Roman" w:hAnsi="Times New Roman" w:cs="Times New Roman"/>
          <w:sz w:val="28"/>
          <w:szCs w:val="28"/>
          <w:lang w:val="en-US"/>
        </w:rPr>
        <w:t>.</w:t>
      </w:r>
    </w:p>
    <w:p w:rsidR="007F5722" w:rsidRPr="007F5722" w:rsidRDefault="007F5722" w:rsidP="007F5722">
      <w:pPr>
        <w:pStyle w:val="a8"/>
        <w:numPr>
          <w:ilvl w:val="0"/>
          <w:numId w:val="25"/>
        </w:numPr>
        <w:spacing w:after="0" w:line="360" w:lineRule="auto"/>
        <w:ind w:left="0" w:firstLine="357"/>
        <w:jc w:val="both"/>
        <w:rPr>
          <w:rStyle w:val="HTML"/>
          <w:rFonts w:ascii="Times New Roman" w:hAnsi="Times New Roman" w:cs="Times New Roman"/>
          <w:i w:val="0"/>
          <w:iCs w:val="0"/>
          <w:sz w:val="28"/>
          <w:szCs w:val="28"/>
        </w:rPr>
      </w:pPr>
      <w:r w:rsidRPr="007F5722">
        <w:rPr>
          <w:rStyle w:val="cit-name-surname"/>
          <w:rFonts w:ascii="Times New Roman" w:eastAsia="Times New Roman" w:hAnsi="Times New Roman" w:cs="Times New Roman"/>
          <w:sz w:val="28"/>
          <w:szCs w:val="28"/>
          <w:lang w:val="en-US"/>
        </w:rPr>
        <w:lastRenderedPageBreak/>
        <w:t>Azizi</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G</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Simhag</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A</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El</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RN</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Mirshafiey</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A</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article-title"/>
          <w:rFonts w:ascii="Times New Roman" w:eastAsia="Times New Roman" w:hAnsi="Times New Roman" w:cs="Times New Roman"/>
          <w:sz w:val="28"/>
          <w:szCs w:val="28"/>
          <w:lang w:val="en-US"/>
        </w:rPr>
        <w:t>Th22 cells contribution in immunopathogenesis of rheumatic diseases</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HTML"/>
          <w:rFonts w:ascii="Times New Roman" w:eastAsia="Times New Roman" w:hAnsi="Times New Roman" w:cs="Times New Roman"/>
          <w:sz w:val="28"/>
          <w:szCs w:val="28"/>
          <w:lang w:val="en-US"/>
        </w:rPr>
        <w:t>Iran J Allergy Asthma Immunol.</w:t>
      </w:r>
      <w:r w:rsidRPr="007F5722">
        <w:rPr>
          <w:rStyle w:val="apple-converted-space"/>
          <w:rFonts w:ascii="Times New Roman" w:eastAsia="Times New Roman" w:hAnsi="Times New Roman" w:cs="Times New Roman"/>
          <w:sz w:val="28"/>
          <w:szCs w:val="28"/>
          <w:lang w:val="en-US"/>
        </w:rPr>
        <w:t> </w:t>
      </w:r>
      <w:r w:rsidRPr="007F5722">
        <w:rPr>
          <w:rStyle w:val="cit-pub-date"/>
          <w:rFonts w:ascii="Times New Roman" w:eastAsia="Times New Roman" w:hAnsi="Times New Roman" w:cs="Times New Roman"/>
          <w:sz w:val="28"/>
          <w:szCs w:val="28"/>
          <w:lang w:val="en-US"/>
        </w:rPr>
        <w:t>2015</w:t>
      </w:r>
      <w:r w:rsidRPr="007F5722">
        <w:rPr>
          <w:rStyle w:val="HTML"/>
          <w:rFonts w:ascii="Times New Roman" w:eastAsia="Times New Roman" w:hAnsi="Times New Roman" w:cs="Times New Roman"/>
          <w:sz w:val="28"/>
          <w:szCs w:val="28"/>
          <w:lang w:val="en-US"/>
        </w:rPr>
        <w:t>;</w:t>
      </w:r>
      <w:r w:rsidRPr="007F5722">
        <w:rPr>
          <w:rStyle w:val="cit-vol"/>
          <w:rFonts w:ascii="Times New Roman" w:eastAsia="Times New Roman" w:hAnsi="Times New Roman" w:cs="Times New Roman"/>
          <w:bCs/>
          <w:sz w:val="28"/>
          <w:szCs w:val="28"/>
          <w:lang w:val="en-US"/>
        </w:rPr>
        <w:t>14</w:t>
      </w:r>
      <w:r w:rsidRPr="007F5722">
        <w:rPr>
          <w:rStyle w:val="HTML"/>
          <w:rFonts w:ascii="Times New Roman" w:eastAsia="Times New Roman" w:hAnsi="Times New Roman" w:cs="Times New Roman"/>
          <w:sz w:val="28"/>
          <w:szCs w:val="28"/>
          <w:lang w:val="en-US"/>
        </w:rPr>
        <w:t>:</w:t>
      </w:r>
      <w:r w:rsidRPr="007F5722">
        <w:rPr>
          <w:rStyle w:val="cit-fpage"/>
          <w:rFonts w:ascii="Times New Roman" w:eastAsia="Times New Roman" w:hAnsi="Times New Roman" w:cs="Times New Roman"/>
          <w:sz w:val="28"/>
          <w:szCs w:val="28"/>
          <w:lang w:val="en-US"/>
        </w:rPr>
        <w:t>246</w:t>
      </w:r>
      <w:r w:rsidRPr="007F5722">
        <w:rPr>
          <w:rStyle w:val="HTML"/>
          <w:rFonts w:ascii="Times New Roman" w:eastAsia="Times New Roman" w:hAnsi="Times New Roman" w:cs="Times New Roman"/>
          <w:sz w:val="28"/>
          <w:szCs w:val="28"/>
          <w:lang w:val="en-US"/>
        </w:rPr>
        <w:t>–</w:t>
      </w:r>
      <w:r w:rsidRPr="007F5722">
        <w:rPr>
          <w:rStyle w:val="cit-lpage"/>
          <w:rFonts w:ascii="Times New Roman" w:eastAsia="Times New Roman" w:hAnsi="Times New Roman" w:cs="Times New Roman"/>
          <w:sz w:val="28"/>
          <w:szCs w:val="28"/>
          <w:lang w:val="en-US"/>
        </w:rPr>
        <w:t>254</w:t>
      </w:r>
      <w:r w:rsidRPr="007F5722">
        <w:rPr>
          <w:rStyle w:val="HTML"/>
          <w:rFonts w:ascii="Times New Roman" w:eastAsia="Times New Roman" w:hAnsi="Times New Roman" w:cs="Times New Roman"/>
          <w:sz w:val="28"/>
          <w:szCs w:val="28"/>
          <w:lang w:val="en-US"/>
        </w:rPr>
        <w:t>.</w:t>
      </w:r>
    </w:p>
    <w:p w:rsidR="007F5722" w:rsidRPr="007F5722" w:rsidRDefault="007F5722" w:rsidP="007F5722">
      <w:pPr>
        <w:pStyle w:val="a8"/>
        <w:numPr>
          <w:ilvl w:val="0"/>
          <w:numId w:val="25"/>
        </w:numPr>
        <w:spacing w:after="0" w:line="360" w:lineRule="auto"/>
        <w:ind w:left="0" w:firstLine="357"/>
        <w:jc w:val="both"/>
        <w:rPr>
          <w:rStyle w:val="HTML"/>
          <w:rFonts w:ascii="Times New Roman" w:hAnsi="Times New Roman" w:cs="Times New Roman"/>
          <w:i w:val="0"/>
          <w:iCs w:val="0"/>
          <w:sz w:val="28"/>
          <w:szCs w:val="28"/>
        </w:rPr>
      </w:pPr>
      <w:r w:rsidRPr="007F5722">
        <w:rPr>
          <w:rStyle w:val="cit-name-surname"/>
          <w:rFonts w:ascii="Times New Roman" w:eastAsia="Times New Roman" w:hAnsi="Times New Roman" w:cs="Times New Roman"/>
          <w:sz w:val="28"/>
          <w:szCs w:val="28"/>
          <w:lang w:val="en-US"/>
        </w:rPr>
        <w:t>Conti</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P</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Kempuraj</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D</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Frydas</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S</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Kandere</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K</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Boucher</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W</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Letourneau</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R</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Madhappan</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B</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Sagimoto</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K</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Christodoulou</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S</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Theoharides</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TC</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article-title"/>
          <w:rFonts w:ascii="Times New Roman" w:eastAsia="Times New Roman" w:hAnsi="Times New Roman" w:cs="Times New Roman"/>
          <w:sz w:val="28"/>
          <w:szCs w:val="28"/>
          <w:lang w:val="en-US"/>
        </w:rPr>
        <w:t>IL</w:t>
      </w:r>
      <w:r w:rsidRPr="007F5722">
        <w:rPr>
          <w:rStyle w:val="cit-article-title"/>
          <w:rFonts w:ascii="Times New Roman" w:eastAsia="Times New Roman" w:hAnsi="Times New Roman" w:cs="Times New Roman"/>
          <w:sz w:val="28"/>
          <w:szCs w:val="28"/>
        </w:rPr>
        <w:t xml:space="preserve"> </w:t>
      </w:r>
      <w:r w:rsidRPr="007F5722">
        <w:rPr>
          <w:rStyle w:val="cit-article-title"/>
          <w:rFonts w:ascii="Times New Roman" w:eastAsia="Times New Roman" w:hAnsi="Times New Roman" w:cs="Times New Roman"/>
          <w:sz w:val="28"/>
          <w:szCs w:val="28"/>
          <w:lang w:val="en-US"/>
        </w:rPr>
        <w:t>10 subfamily members: IL</w:t>
      </w:r>
      <w:r w:rsidRPr="007F5722">
        <w:rPr>
          <w:rStyle w:val="cit-article-title"/>
          <w:rFonts w:ascii="Times New Roman" w:eastAsia="Times New Roman" w:hAnsi="Times New Roman" w:cs="Times New Roman"/>
          <w:sz w:val="28"/>
          <w:szCs w:val="28"/>
        </w:rPr>
        <w:t xml:space="preserve"> </w:t>
      </w:r>
      <w:r w:rsidRPr="007F5722">
        <w:rPr>
          <w:rStyle w:val="cit-article-title"/>
          <w:rFonts w:ascii="Times New Roman" w:eastAsia="Times New Roman" w:hAnsi="Times New Roman" w:cs="Times New Roman"/>
          <w:sz w:val="28"/>
          <w:szCs w:val="28"/>
          <w:lang w:val="en-US"/>
        </w:rPr>
        <w:t>19, IL</w:t>
      </w:r>
      <w:r w:rsidRPr="007F5722">
        <w:rPr>
          <w:rStyle w:val="cit-article-title"/>
          <w:rFonts w:ascii="Times New Roman" w:eastAsia="Times New Roman" w:hAnsi="Times New Roman" w:cs="Times New Roman"/>
          <w:sz w:val="28"/>
          <w:szCs w:val="28"/>
        </w:rPr>
        <w:t xml:space="preserve"> </w:t>
      </w:r>
      <w:r w:rsidRPr="007F5722">
        <w:rPr>
          <w:rStyle w:val="cit-article-title"/>
          <w:rFonts w:ascii="Times New Roman" w:eastAsia="Times New Roman" w:hAnsi="Times New Roman" w:cs="Times New Roman"/>
          <w:sz w:val="28"/>
          <w:szCs w:val="28"/>
          <w:lang w:val="en-US"/>
        </w:rPr>
        <w:t>20, IL</w:t>
      </w:r>
      <w:r w:rsidRPr="007F5722">
        <w:rPr>
          <w:rStyle w:val="cit-article-title"/>
          <w:rFonts w:ascii="Times New Roman" w:eastAsia="Times New Roman" w:hAnsi="Times New Roman" w:cs="Times New Roman"/>
          <w:sz w:val="28"/>
          <w:szCs w:val="28"/>
        </w:rPr>
        <w:t xml:space="preserve"> </w:t>
      </w:r>
      <w:r w:rsidRPr="007F5722">
        <w:rPr>
          <w:rStyle w:val="cit-article-title"/>
          <w:rFonts w:ascii="Times New Roman" w:eastAsia="Times New Roman" w:hAnsi="Times New Roman" w:cs="Times New Roman"/>
          <w:sz w:val="28"/>
          <w:szCs w:val="28"/>
          <w:lang w:val="en-US"/>
        </w:rPr>
        <w:t>22, IL</w:t>
      </w:r>
      <w:r w:rsidRPr="007F5722">
        <w:rPr>
          <w:rStyle w:val="cit-article-title"/>
          <w:rFonts w:ascii="Times New Roman" w:eastAsia="Times New Roman" w:hAnsi="Times New Roman" w:cs="Times New Roman"/>
          <w:sz w:val="28"/>
          <w:szCs w:val="28"/>
        </w:rPr>
        <w:t xml:space="preserve"> </w:t>
      </w:r>
      <w:r w:rsidRPr="007F5722">
        <w:rPr>
          <w:rStyle w:val="cit-article-title"/>
          <w:rFonts w:ascii="Times New Roman" w:eastAsia="Times New Roman" w:hAnsi="Times New Roman" w:cs="Times New Roman"/>
          <w:sz w:val="28"/>
          <w:szCs w:val="28"/>
          <w:lang w:val="en-US"/>
        </w:rPr>
        <w:t>24 and IL</w:t>
      </w:r>
      <w:r w:rsidRPr="007F5722">
        <w:rPr>
          <w:rStyle w:val="cit-article-title"/>
          <w:rFonts w:ascii="Times New Roman" w:eastAsia="Times New Roman" w:hAnsi="Times New Roman" w:cs="Times New Roman"/>
          <w:sz w:val="28"/>
          <w:szCs w:val="28"/>
        </w:rPr>
        <w:t xml:space="preserve"> </w:t>
      </w:r>
      <w:r w:rsidRPr="007F5722">
        <w:rPr>
          <w:rStyle w:val="cit-article-title"/>
          <w:rFonts w:ascii="Times New Roman" w:eastAsia="Times New Roman" w:hAnsi="Times New Roman" w:cs="Times New Roman"/>
          <w:sz w:val="28"/>
          <w:szCs w:val="28"/>
          <w:lang w:val="en-US"/>
        </w:rPr>
        <w:t>26</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HTML"/>
          <w:rFonts w:ascii="Times New Roman" w:eastAsia="Times New Roman" w:hAnsi="Times New Roman" w:cs="Times New Roman"/>
          <w:sz w:val="28"/>
          <w:szCs w:val="28"/>
          <w:lang w:val="en-US"/>
        </w:rPr>
        <w:t>Immunol Lett.</w:t>
      </w:r>
      <w:r w:rsidRPr="007F5722">
        <w:rPr>
          <w:rStyle w:val="apple-converted-space"/>
          <w:rFonts w:ascii="Times New Roman" w:eastAsia="Times New Roman" w:hAnsi="Times New Roman" w:cs="Times New Roman"/>
          <w:sz w:val="28"/>
          <w:szCs w:val="28"/>
          <w:lang w:val="en-US"/>
        </w:rPr>
        <w:t> </w:t>
      </w:r>
      <w:r w:rsidRPr="007F5722">
        <w:rPr>
          <w:rStyle w:val="cit-pub-date"/>
          <w:rFonts w:ascii="Times New Roman" w:eastAsia="Times New Roman" w:hAnsi="Times New Roman" w:cs="Times New Roman"/>
          <w:sz w:val="28"/>
          <w:szCs w:val="28"/>
          <w:lang w:val="en-US"/>
        </w:rPr>
        <w:t>2003</w:t>
      </w:r>
      <w:r w:rsidRPr="007F5722">
        <w:rPr>
          <w:rStyle w:val="HTML"/>
          <w:rFonts w:ascii="Times New Roman" w:eastAsia="Times New Roman" w:hAnsi="Times New Roman" w:cs="Times New Roman"/>
          <w:sz w:val="28"/>
          <w:szCs w:val="28"/>
          <w:lang w:val="en-US"/>
        </w:rPr>
        <w:t>;</w:t>
      </w:r>
      <w:r w:rsidRPr="007F5722">
        <w:rPr>
          <w:rStyle w:val="cit-vol"/>
          <w:rFonts w:ascii="Times New Roman" w:eastAsia="Times New Roman" w:hAnsi="Times New Roman" w:cs="Times New Roman"/>
          <w:bCs/>
          <w:sz w:val="28"/>
          <w:szCs w:val="28"/>
          <w:lang w:val="en-US"/>
        </w:rPr>
        <w:t>88</w:t>
      </w:r>
      <w:r w:rsidRPr="007F5722">
        <w:rPr>
          <w:rStyle w:val="HTML"/>
          <w:rFonts w:ascii="Times New Roman" w:eastAsia="Times New Roman" w:hAnsi="Times New Roman" w:cs="Times New Roman"/>
          <w:sz w:val="28"/>
          <w:szCs w:val="28"/>
          <w:lang w:val="en-US"/>
        </w:rPr>
        <w:t>:</w:t>
      </w:r>
      <w:r w:rsidRPr="007F5722">
        <w:rPr>
          <w:rStyle w:val="cit-fpage"/>
          <w:rFonts w:ascii="Times New Roman" w:eastAsia="Times New Roman" w:hAnsi="Times New Roman" w:cs="Times New Roman"/>
          <w:sz w:val="28"/>
          <w:szCs w:val="28"/>
          <w:lang w:val="en-US"/>
        </w:rPr>
        <w:t>171</w:t>
      </w:r>
      <w:r w:rsidRPr="007F5722">
        <w:rPr>
          <w:rStyle w:val="HTML"/>
          <w:rFonts w:ascii="Times New Roman" w:eastAsia="Times New Roman" w:hAnsi="Times New Roman" w:cs="Times New Roman"/>
          <w:sz w:val="28"/>
          <w:szCs w:val="28"/>
          <w:lang w:val="en-US"/>
        </w:rPr>
        <w:t>–</w:t>
      </w:r>
      <w:r w:rsidRPr="007F5722">
        <w:rPr>
          <w:rStyle w:val="cit-lpage"/>
          <w:rFonts w:ascii="Times New Roman" w:eastAsia="Times New Roman" w:hAnsi="Times New Roman" w:cs="Times New Roman"/>
          <w:sz w:val="28"/>
          <w:szCs w:val="28"/>
          <w:lang w:val="en-US"/>
        </w:rPr>
        <w:t>174</w:t>
      </w:r>
      <w:r w:rsidRPr="007F5722">
        <w:rPr>
          <w:rStyle w:val="HTML"/>
          <w:rFonts w:ascii="Times New Roman" w:eastAsia="Times New Roman" w:hAnsi="Times New Roman" w:cs="Times New Roman"/>
          <w:sz w:val="28"/>
          <w:szCs w:val="28"/>
          <w:lang w:val="en-US"/>
        </w:rPr>
        <w:t>.</w:t>
      </w:r>
    </w:p>
    <w:p w:rsidR="007F5722" w:rsidRPr="007F5722" w:rsidRDefault="007F5722" w:rsidP="007F5722">
      <w:pPr>
        <w:pStyle w:val="a8"/>
        <w:numPr>
          <w:ilvl w:val="0"/>
          <w:numId w:val="25"/>
        </w:numPr>
        <w:spacing w:after="0" w:line="360" w:lineRule="auto"/>
        <w:ind w:left="0" w:firstLine="357"/>
        <w:jc w:val="both"/>
        <w:rPr>
          <w:rStyle w:val="HTML"/>
          <w:rFonts w:ascii="Times New Roman" w:hAnsi="Times New Roman" w:cs="Times New Roman"/>
          <w:i w:val="0"/>
          <w:iCs w:val="0"/>
          <w:sz w:val="28"/>
          <w:szCs w:val="28"/>
        </w:rPr>
      </w:pPr>
      <w:r w:rsidRPr="007F5722">
        <w:rPr>
          <w:rStyle w:val="cit-name-surname"/>
          <w:rFonts w:ascii="Times New Roman" w:eastAsia="Times New Roman" w:hAnsi="Times New Roman" w:cs="Times New Roman"/>
          <w:sz w:val="28"/>
          <w:szCs w:val="28"/>
          <w:lang w:val="en-US"/>
        </w:rPr>
        <w:t>Chatterjee</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P</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Chiasson</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V</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L</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Kopriva</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S</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E</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Young</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K</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J</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Chatterjee</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V</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Jones</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K</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A</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Mitchell</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B</w:t>
      </w:r>
      <w:r w:rsidRPr="007F5722">
        <w:rPr>
          <w:rStyle w:val="cit-name-given-names"/>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M</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article-title"/>
          <w:rFonts w:ascii="Times New Roman" w:eastAsia="Times New Roman" w:hAnsi="Times New Roman" w:cs="Times New Roman"/>
          <w:sz w:val="28"/>
          <w:szCs w:val="28"/>
          <w:lang w:val="en-US"/>
        </w:rPr>
        <w:t>Interleukin 10 deficiency exacerbates toll</w:t>
      </w:r>
      <w:r w:rsidRPr="007F5722">
        <w:rPr>
          <w:rStyle w:val="cit-article-title"/>
          <w:rFonts w:ascii="Times New Roman" w:eastAsia="Times New Roman" w:hAnsi="Times New Roman" w:cs="Times New Roman"/>
          <w:sz w:val="28"/>
          <w:szCs w:val="28"/>
        </w:rPr>
        <w:t xml:space="preserve"> </w:t>
      </w:r>
      <w:r w:rsidRPr="007F5722">
        <w:rPr>
          <w:rStyle w:val="cit-article-title"/>
          <w:rFonts w:ascii="Times New Roman" w:eastAsia="Times New Roman" w:hAnsi="Times New Roman" w:cs="Times New Roman"/>
          <w:sz w:val="28"/>
          <w:szCs w:val="28"/>
          <w:lang w:val="en-US"/>
        </w:rPr>
        <w:t>like receptor 3</w:t>
      </w:r>
      <w:r w:rsidRPr="007F5722">
        <w:rPr>
          <w:rStyle w:val="cit-article-title"/>
          <w:rFonts w:ascii="Times New Roman" w:eastAsia="Times New Roman" w:hAnsi="Times New Roman" w:cs="Times New Roman"/>
          <w:sz w:val="28"/>
          <w:szCs w:val="28"/>
        </w:rPr>
        <w:t xml:space="preserve"> </w:t>
      </w:r>
      <w:r w:rsidRPr="007F5722">
        <w:rPr>
          <w:rStyle w:val="cit-article-title"/>
          <w:rFonts w:ascii="Times New Roman" w:eastAsia="Times New Roman" w:hAnsi="Times New Roman" w:cs="Times New Roman"/>
          <w:sz w:val="28"/>
          <w:szCs w:val="28"/>
          <w:lang w:val="en-US"/>
        </w:rPr>
        <w:t>induced preeclampsia</w:t>
      </w:r>
      <w:r w:rsidRPr="007F5722">
        <w:rPr>
          <w:rStyle w:val="cit-article-title"/>
          <w:rFonts w:ascii="Times New Roman" w:eastAsia="Times New Roman" w:hAnsi="Times New Roman" w:cs="Times New Roman"/>
          <w:sz w:val="28"/>
          <w:szCs w:val="28"/>
        </w:rPr>
        <w:t xml:space="preserve"> </w:t>
      </w:r>
      <w:r w:rsidRPr="007F5722">
        <w:rPr>
          <w:rStyle w:val="cit-article-title"/>
          <w:rFonts w:ascii="Times New Roman" w:eastAsia="Times New Roman" w:hAnsi="Times New Roman" w:cs="Times New Roman"/>
          <w:sz w:val="28"/>
          <w:szCs w:val="28"/>
          <w:lang w:val="en-US"/>
        </w:rPr>
        <w:t>like symptoms in mice</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HTML"/>
          <w:rFonts w:ascii="Times New Roman" w:eastAsia="Times New Roman" w:hAnsi="Times New Roman" w:cs="Times New Roman"/>
          <w:sz w:val="28"/>
          <w:szCs w:val="28"/>
          <w:lang w:val="en-US"/>
        </w:rPr>
        <w:t>Hypertension.</w:t>
      </w:r>
      <w:r w:rsidRPr="007F5722">
        <w:rPr>
          <w:rStyle w:val="apple-converted-space"/>
          <w:rFonts w:ascii="Times New Roman" w:eastAsia="Times New Roman" w:hAnsi="Times New Roman" w:cs="Times New Roman"/>
          <w:sz w:val="28"/>
          <w:szCs w:val="28"/>
          <w:lang w:val="en-US"/>
        </w:rPr>
        <w:t> </w:t>
      </w:r>
      <w:r w:rsidRPr="007F5722">
        <w:rPr>
          <w:rStyle w:val="cit-pub-date"/>
          <w:rFonts w:ascii="Times New Roman" w:eastAsia="Times New Roman" w:hAnsi="Times New Roman" w:cs="Times New Roman"/>
          <w:sz w:val="28"/>
          <w:szCs w:val="28"/>
          <w:lang w:val="en-US"/>
        </w:rPr>
        <w:t>2011</w:t>
      </w:r>
      <w:r w:rsidRPr="007F5722">
        <w:rPr>
          <w:rStyle w:val="HTML"/>
          <w:rFonts w:ascii="Times New Roman" w:eastAsia="Times New Roman" w:hAnsi="Times New Roman" w:cs="Times New Roman"/>
          <w:sz w:val="28"/>
          <w:szCs w:val="28"/>
          <w:lang w:val="en-US"/>
        </w:rPr>
        <w:t>;</w:t>
      </w:r>
      <w:r w:rsidRPr="007F5722">
        <w:rPr>
          <w:rStyle w:val="cit-vol"/>
          <w:rFonts w:ascii="Times New Roman" w:eastAsia="Times New Roman" w:hAnsi="Times New Roman" w:cs="Times New Roman"/>
          <w:bCs/>
          <w:sz w:val="28"/>
          <w:szCs w:val="28"/>
          <w:lang w:val="en-US"/>
        </w:rPr>
        <w:t>58</w:t>
      </w:r>
      <w:r w:rsidRPr="007F5722">
        <w:rPr>
          <w:rStyle w:val="HTML"/>
          <w:rFonts w:ascii="Times New Roman" w:eastAsia="Times New Roman" w:hAnsi="Times New Roman" w:cs="Times New Roman"/>
          <w:sz w:val="28"/>
          <w:szCs w:val="28"/>
          <w:lang w:val="en-US"/>
        </w:rPr>
        <w:t>:</w:t>
      </w:r>
      <w:r w:rsidRPr="007F5722">
        <w:rPr>
          <w:rStyle w:val="cit-fpage"/>
          <w:rFonts w:ascii="Times New Roman" w:eastAsia="Times New Roman" w:hAnsi="Times New Roman" w:cs="Times New Roman"/>
          <w:sz w:val="28"/>
          <w:szCs w:val="28"/>
          <w:lang w:val="en-US"/>
        </w:rPr>
        <w:t>489</w:t>
      </w:r>
      <w:r w:rsidRPr="007F5722">
        <w:rPr>
          <w:rStyle w:val="HTML"/>
          <w:rFonts w:ascii="Times New Roman" w:eastAsia="Times New Roman" w:hAnsi="Times New Roman" w:cs="Times New Roman"/>
          <w:sz w:val="28"/>
          <w:szCs w:val="28"/>
          <w:lang w:val="en-US"/>
        </w:rPr>
        <w:t>–</w:t>
      </w:r>
      <w:r w:rsidRPr="007F5722">
        <w:rPr>
          <w:rStyle w:val="cit-lpage"/>
          <w:rFonts w:ascii="Times New Roman" w:eastAsia="Times New Roman" w:hAnsi="Times New Roman" w:cs="Times New Roman"/>
          <w:sz w:val="28"/>
          <w:szCs w:val="28"/>
          <w:lang w:val="en-US"/>
        </w:rPr>
        <w:t>496</w:t>
      </w:r>
      <w:r w:rsidRPr="007F5722">
        <w:rPr>
          <w:rStyle w:val="HTML"/>
          <w:rFonts w:ascii="Times New Roman" w:eastAsia="Times New Roman" w:hAnsi="Times New Roman" w:cs="Times New Roman"/>
          <w:sz w:val="28"/>
          <w:szCs w:val="28"/>
          <w:lang w:val="en-US"/>
        </w:rPr>
        <w:t>.</w:t>
      </w:r>
    </w:p>
    <w:p w:rsidR="007F5722" w:rsidRPr="007F5722" w:rsidRDefault="007F5722" w:rsidP="007F5722">
      <w:pPr>
        <w:pStyle w:val="a8"/>
        <w:numPr>
          <w:ilvl w:val="0"/>
          <w:numId w:val="25"/>
        </w:numPr>
        <w:spacing w:after="0" w:line="360" w:lineRule="auto"/>
        <w:ind w:left="0" w:firstLine="357"/>
        <w:jc w:val="both"/>
        <w:rPr>
          <w:rStyle w:val="HTML"/>
          <w:rFonts w:ascii="Times New Roman" w:hAnsi="Times New Roman" w:cs="Times New Roman"/>
          <w:i w:val="0"/>
          <w:iCs w:val="0"/>
          <w:sz w:val="28"/>
          <w:szCs w:val="28"/>
        </w:rPr>
      </w:pPr>
      <w:r w:rsidRPr="007F5722">
        <w:rPr>
          <w:rStyle w:val="cit-name-surname"/>
          <w:rFonts w:ascii="Times New Roman" w:eastAsia="Times New Roman" w:hAnsi="Times New Roman" w:cs="Times New Roman"/>
          <w:sz w:val="28"/>
          <w:szCs w:val="28"/>
          <w:lang w:val="en-US"/>
        </w:rPr>
        <w:t>Kim</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H</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Y</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Cha</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H</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J</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Kim</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H</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S</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article-title"/>
          <w:rFonts w:ascii="Times New Roman" w:eastAsia="Times New Roman" w:hAnsi="Times New Roman" w:cs="Times New Roman"/>
          <w:sz w:val="28"/>
          <w:szCs w:val="28"/>
          <w:lang w:val="en-US"/>
        </w:rPr>
        <w:t>CCL5 upregulates IL</w:t>
      </w:r>
      <w:r w:rsidRPr="007F5722">
        <w:rPr>
          <w:rStyle w:val="cit-article-title"/>
          <w:rFonts w:ascii="Times New Roman" w:eastAsia="Times New Roman" w:hAnsi="Times New Roman" w:cs="Times New Roman"/>
          <w:sz w:val="28"/>
          <w:szCs w:val="28"/>
        </w:rPr>
        <w:t xml:space="preserve"> </w:t>
      </w:r>
      <w:r w:rsidRPr="007F5722">
        <w:rPr>
          <w:rStyle w:val="cit-article-title"/>
          <w:rFonts w:ascii="Times New Roman" w:eastAsia="Times New Roman" w:hAnsi="Times New Roman" w:cs="Times New Roman"/>
          <w:sz w:val="28"/>
          <w:szCs w:val="28"/>
          <w:lang w:val="en-US"/>
        </w:rPr>
        <w:t>10 expression and partially mediates the antihypertensive effects of IL</w:t>
      </w:r>
      <w:r w:rsidRPr="007F5722">
        <w:rPr>
          <w:rStyle w:val="cit-article-title"/>
          <w:rFonts w:ascii="Times New Roman" w:eastAsia="Times New Roman" w:hAnsi="Times New Roman" w:cs="Times New Roman"/>
          <w:sz w:val="28"/>
          <w:szCs w:val="28"/>
        </w:rPr>
        <w:t xml:space="preserve"> </w:t>
      </w:r>
      <w:r w:rsidRPr="007F5722">
        <w:rPr>
          <w:rStyle w:val="cit-article-title"/>
          <w:rFonts w:ascii="Times New Roman" w:eastAsia="Times New Roman" w:hAnsi="Times New Roman" w:cs="Times New Roman"/>
          <w:sz w:val="28"/>
          <w:szCs w:val="28"/>
          <w:lang w:val="en-US"/>
        </w:rPr>
        <w:t>10 in the vascular smooth muscle cells of spontaneously hypertensive rats</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HTML"/>
          <w:rFonts w:ascii="Times New Roman" w:eastAsia="Times New Roman" w:hAnsi="Times New Roman" w:cs="Times New Roman"/>
          <w:sz w:val="28"/>
          <w:szCs w:val="28"/>
          <w:lang w:val="en-US"/>
        </w:rPr>
        <w:t>Hypertens Res.</w:t>
      </w:r>
      <w:r w:rsidRPr="007F5722">
        <w:rPr>
          <w:rStyle w:val="apple-converted-space"/>
          <w:rFonts w:ascii="Times New Roman" w:eastAsia="Times New Roman" w:hAnsi="Times New Roman" w:cs="Times New Roman"/>
          <w:sz w:val="28"/>
          <w:szCs w:val="28"/>
          <w:lang w:val="en-US"/>
        </w:rPr>
        <w:t> </w:t>
      </w:r>
      <w:r w:rsidRPr="007F5722">
        <w:rPr>
          <w:rStyle w:val="cit-pub-date"/>
          <w:rFonts w:ascii="Times New Roman" w:eastAsia="Times New Roman" w:hAnsi="Times New Roman" w:cs="Times New Roman"/>
          <w:sz w:val="28"/>
          <w:szCs w:val="28"/>
          <w:lang w:val="en-US"/>
        </w:rPr>
        <w:t>2015</w:t>
      </w:r>
      <w:r w:rsidRPr="007F5722">
        <w:rPr>
          <w:rStyle w:val="HTML"/>
          <w:rFonts w:ascii="Times New Roman" w:eastAsia="Times New Roman" w:hAnsi="Times New Roman" w:cs="Times New Roman"/>
          <w:sz w:val="28"/>
          <w:szCs w:val="28"/>
          <w:lang w:val="en-US"/>
        </w:rPr>
        <w:t>;</w:t>
      </w:r>
      <w:r w:rsidRPr="007F5722">
        <w:rPr>
          <w:rStyle w:val="cit-vol"/>
          <w:rFonts w:ascii="Times New Roman" w:eastAsia="Times New Roman" w:hAnsi="Times New Roman" w:cs="Times New Roman"/>
          <w:bCs/>
          <w:sz w:val="28"/>
          <w:szCs w:val="28"/>
          <w:lang w:val="en-US"/>
        </w:rPr>
        <w:t>38</w:t>
      </w:r>
      <w:r w:rsidRPr="007F5722">
        <w:rPr>
          <w:rStyle w:val="HTML"/>
          <w:rFonts w:ascii="Times New Roman" w:eastAsia="Times New Roman" w:hAnsi="Times New Roman" w:cs="Times New Roman"/>
          <w:sz w:val="28"/>
          <w:szCs w:val="28"/>
          <w:lang w:val="en-US"/>
        </w:rPr>
        <w:t>:</w:t>
      </w:r>
      <w:r w:rsidRPr="007F5722">
        <w:rPr>
          <w:rStyle w:val="cit-fpage"/>
          <w:rFonts w:ascii="Times New Roman" w:eastAsia="Times New Roman" w:hAnsi="Times New Roman" w:cs="Times New Roman"/>
          <w:sz w:val="28"/>
          <w:szCs w:val="28"/>
          <w:lang w:val="en-US"/>
        </w:rPr>
        <w:t>666</w:t>
      </w:r>
      <w:r w:rsidRPr="007F5722">
        <w:rPr>
          <w:rStyle w:val="HTML"/>
          <w:rFonts w:ascii="Times New Roman" w:eastAsia="Times New Roman" w:hAnsi="Times New Roman" w:cs="Times New Roman"/>
          <w:sz w:val="28"/>
          <w:szCs w:val="28"/>
          <w:lang w:val="en-US"/>
        </w:rPr>
        <w:t>–</w:t>
      </w:r>
      <w:r w:rsidRPr="007F5722">
        <w:rPr>
          <w:rStyle w:val="cit-lpage"/>
          <w:rFonts w:ascii="Times New Roman" w:eastAsia="Times New Roman" w:hAnsi="Times New Roman" w:cs="Times New Roman"/>
          <w:sz w:val="28"/>
          <w:szCs w:val="28"/>
          <w:lang w:val="en-US"/>
        </w:rPr>
        <w:t>674</w:t>
      </w:r>
      <w:r w:rsidRPr="007F5722">
        <w:rPr>
          <w:rStyle w:val="HTML"/>
          <w:rFonts w:ascii="Times New Roman" w:eastAsia="Times New Roman" w:hAnsi="Times New Roman" w:cs="Times New Roman"/>
          <w:sz w:val="28"/>
          <w:szCs w:val="28"/>
          <w:lang w:val="en-US"/>
        </w:rPr>
        <w:t>.</w:t>
      </w:r>
    </w:p>
    <w:p w:rsidR="007F5722" w:rsidRPr="007F5722" w:rsidRDefault="007F5722" w:rsidP="007F5722">
      <w:pPr>
        <w:pStyle w:val="a8"/>
        <w:numPr>
          <w:ilvl w:val="0"/>
          <w:numId w:val="25"/>
        </w:numPr>
        <w:spacing w:after="0" w:line="360" w:lineRule="auto"/>
        <w:ind w:left="0" w:firstLine="357"/>
        <w:jc w:val="both"/>
        <w:rPr>
          <w:rStyle w:val="cit-lpage"/>
          <w:rFonts w:ascii="Times New Roman" w:hAnsi="Times New Roman" w:cs="Times New Roman"/>
          <w:sz w:val="28"/>
          <w:szCs w:val="28"/>
        </w:rPr>
      </w:pPr>
      <w:r w:rsidRPr="007F5722">
        <w:rPr>
          <w:rStyle w:val="cit-name-surname"/>
          <w:rFonts w:ascii="Times New Roman" w:eastAsia="Times New Roman" w:hAnsi="Times New Roman" w:cs="Times New Roman"/>
          <w:sz w:val="28"/>
          <w:szCs w:val="28"/>
          <w:lang w:val="en-US"/>
        </w:rPr>
        <w:t>South</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S</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Chiasson</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VL</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Mitchell</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BM</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article-title"/>
          <w:rFonts w:ascii="Times New Roman" w:eastAsia="Times New Roman" w:hAnsi="Times New Roman" w:cs="Times New Roman"/>
          <w:sz w:val="28"/>
          <w:szCs w:val="28"/>
          <w:lang w:val="en-US"/>
        </w:rPr>
        <w:t>Interleukin</w:t>
      </w:r>
      <w:r w:rsidRPr="007F5722">
        <w:rPr>
          <w:rStyle w:val="cit-article-title"/>
          <w:rFonts w:ascii="Times New Roman" w:eastAsia="Times New Roman" w:hAnsi="Times New Roman" w:cs="Times New Roman"/>
          <w:sz w:val="28"/>
          <w:szCs w:val="28"/>
        </w:rPr>
        <w:t xml:space="preserve"> </w:t>
      </w:r>
      <w:r w:rsidRPr="007F5722">
        <w:rPr>
          <w:rStyle w:val="cit-article-title"/>
          <w:rFonts w:ascii="Times New Roman" w:eastAsia="Times New Roman" w:hAnsi="Times New Roman" w:cs="Times New Roman"/>
          <w:sz w:val="28"/>
          <w:szCs w:val="28"/>
          <w:lang w:val="en-US"/>
        </w:rPr>
        <w:t>10 reduces inflammation, endothelial dysfunction, and blood pressure in hypertensive pregnant rats</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HTML"/>
          <w:rFonts w:ascii="Times New Roman" w:eastAsia="Times New Roman" w:hAnsi="Times New Roman" w:cs="Times New Roman"/>
          <w:sz w:val="28"/>
          <w:szCs w:val="28"/>
          <w:lang w:val="en-US"/>
        </w:rPr>
        <w:t>Am J Physiol Regul Integr Comp Physiol.</w:t>
      </w:r>
      <w:r w:rsidRPr="007F5722">
        <w:rPr>
          <w:rStyle w:val="apple-converted-space"/>
          <w:rFonts w:ascii="Times New Roman" w:eastAsia="Times New Roman" w:hAnsi="Times New Roman" w:cs="Times New Roman"/>
          <w:sz w:val="28"/>
          <w:szCs w:val="28"/>
          <w:lang w:val="en-US"/>
        </w:rPr>
        <w:t> </w:t>
      </w:r>
      <w:r w:rsidRPr="007F5722">
        <w:rPr>
          <w:rStyle w:val="cit-pub-date"/>
          <w:rFonts w:ascii="Times New Roman" w:eastAsia="Times New Roman" w:hAnsi="Times New Roman" w:cs="Times New Roman"/>
          <w:sz w:val="28"/>
          <w:szCs w:val="28"/>
          <w:lang w:val="en-US"/>
        </w:rPr>
        <w:t>2010</w:t>
      </w:r>
      <w:r w:rsidRPr="007F5722">
        <w:rPr>
          <w:rStyle w:val="HTML"/>
          <w:rFonts w:ascii="Times New Roman" w:eastAsia="Times New Roman" w:hAnsi="Times New Roman" w:cs="Times New Roman"/>
          <w:sz w:val="28"/>
          <w:szCs w:val="28"/>
          <w:lang w:val="en-US"/>
        </w:rPr>
        <w:t>;</w:t>
      </w:r>
      <w:r w:rsidRPr="007F5722">
        <w:rPr>
          <w:rStyle w:val="cit-vol"/>
          <w:rFonts w:ascii="Times New Roman" w:eastAsia="Times New Roman" w:hAnsi="Times New Roman" w:cs="Times New Roman"/>
          <w:bCs/>
          <w:sz w:val="28"/>
          <w:szCs w:val="28"/>
          <w:lang w:val="en-US"/>
        </w:rPr>
        <w:t>298</w:t>
      </w:r>
      <w:r w:rsidRPr="007F5722">
        <w:rPr>
          <w:rStyle w:val="HTML"/>
          <w:rFonts w:ascii="Times New Roman" w:eastAsia="Times New Roman" w:hAnsi="Times New Roman" w:cs="Times New Roman"/>
          <w:sz w:val="28"/>
          <w:szCs w:val="28"/>
          <w:lang w:val="en-US"/>
        </w:rPr>
        <w:t>:</w:t>
      </w:r>
      <w:r w:rsidRPr="007F5722">
        <w:rPr>
          <w:rStyle w:val="cit-fpage"/>
          <w:rFonts w:ascii="Times New Roman" w:eastAsia="Times New Roman" w:hAnsi="Times New Roman" w:cs="Times New Roman"/>
          <w:sz w:val="28"/>
          <w:szCs w:val="28"/>
          <w:lang w:val="en-US"/>
        </w:rPr>
        <w:t>713</w:t>
      </w:r>
      <w:r w:rsidRPr="007F5722">
        <w:rPr>
          <w:rStyle w:val="HTML"/>
          <w:rFonts w:ascii="Times New Roman" w:eastAsia="Times New Roman" w:hAnsi="Times New Roman" w:cs="Times New Roman"/>
          <w:sz w:val="28"/>
          <w:szCs w:val="28"/>
          <w:lang w:val="en-US"/>
        </w:rPr>
        <w:t>–</w:t>
      </w:r>
      <w:r w:rsidRPr="007F5722">
        <w:rPr>
          <w:rStyle w:val="cit-lpage"/>
          <w:rFonts w:ascii="Times New Roman" w:eastAsia="Times New Roman" w:hAnsi="Times New Roman" w:cs="Times New Roman"/>
          <w:sz w:val="28"/>
          <w:szCs w:val="28"/>
          <w:lang w:val="en-US"/>
        </w:rPr>
        <w:t>719</w:t>
      </w:r>
    </w:p>
    <w:p w:rsidR="007F5722" w:rsidRPr="007F5722" w:rsidRDefault="007F5722" w:rsidP="007F5722">
      <w:pPr>
        <w:pStyle w:val="a8"/>
        <w:numPr>
          <w:ilvl w:val="0"/>
          <w:numId w:val="25"/>
        </w:numPr>
        <w:spacing w:after="0" w:line="360" w:lineRule="auto"/>
        <w:ind w:left="0" w:firstLine="357"/>
        <w:jc w:val="both"/>
        <w:rPr>
          <w:rStyle w:val="HTML"/>
          <w:rFonts w:ascii="Times New Roman" w:hAnsi="Times New Roman" w:cs="Times New Roman"/>
          <w:i w:val="0"/>
          <w:iCs w:val="0"/>
          <w:sz w:val="28"/>
          <w:szCs w:val="28"/>
        </w:rPr>
      </w:pPr>
      <w:r w:rsidRPr="007F5722">
        <w:rPr>
          <w:rStyle w:val="cit-name-surname"/>
          <w:rFonts w:ascii="Times New Roman" w:eastAsia="Times New Roman" w:hAnsi="Times New Roman" w:cs="Times New Roman"/>
          <w:sz w:val="28"/>
          <w:szCs w:val="28"/>
          <w:lang w:val="en-US"/>
        </w:rPr>
        <w:t>Ellison</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S</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Gabunia</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K</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Kelemen</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S</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E</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England</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R</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N</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Scalia</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R</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Richards</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J</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M</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Orr</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A</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W</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Traylor</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J</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G</w:t>
      </w:r>
      <w:r w:rsidRPr="007F5722">
        <w:rPr>
          <w:rStyle w:val="cit-name-given-names"/>
          <w:rFonts w:ascii="Times New Roman" w:eastAsia="Times New Roman" w:hAnsi="Times New Roman" w:cs="Times New Roman"/>
          <w:sz w:val="28"/>
          <w:szCs w:val="28"/>
        </w:rPr>
        <w:t>.</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suffix"/>
          <w:rFonts w:ascii="Times New Roman" w:eastAsia="Times New Roman" w:hAnsi="Times New Roman" w:cs="Times New Roman"/>
          <w:sz w:val="28"/>
          <w:szCs w:val="28"/>
          <w:lang w:val="en-US"/>
        </w:rPr>
        <w:t>Jr</w:t>
      </w:r>
      <w:r w:rsidRPr="007F5722">
        <w:rPr>
          <w:rStyle w:val="cit-auth"/>
          <w:rFonts w:ascii="Times New Roman" w:eastAsia="Times New Roman" w:hAnsi="Times New Roman" w:cs="Times New Roman"/>
          <w:sz w:val="28"/>
          <w:szCs w:val="28"/>
          <w:lang w:val="en-US"/>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Rogers</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T</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Cornwell</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W</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Berglund</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L</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M</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Goncalves</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I</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Gomez</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M</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F</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Autieri</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M</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V</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article-title"/>
          <w:rFonts w:ascii="Times New Roman" w:eastAsia="Times New Roman" w:hAnsi="Times New Roman" w:cs="Times New Roman"/>
          <w:sz w:val="28"/>
          <w:szCs w:val="28"/>
          <w:lang w:val="en-US"/>
        </w:rPr>
        <w:t>Attenuation of experimental atherosclerosis by interleukin</w:t>
      </w:r>
      <w:r w:rsidRPr="007F5722">
        <w:rPr>
          <w:rStyle w:val="cit-article-title"/>
          <w:rFonts w:ascii="Times New Roman" w:eastAsia="Times New Roman" w:hAnsi="Times New Roman" w:cs="Times New Roman"/>
          <w:sz w:val="28"/>
          <w:szCs w:val="28"/>
        </w:rPr>
        <w:t xml:space="preserve"> </w:t>
      </w:r>
      <w:r w:rsidRPr="007F5722">
        <w:rPr>
          <w:rStyle w:val="cit-article-title"/>
          <w:rFonts w:ascii="Times New Roman" w:eastAsia="Times New Roman" w:hAnsi="Times New Roman" w:cs="Times New Roman"/>
          <w:sz w:val="28"/>
          <w:szCs w:val="28"/>
          <w:lang w:val="en-US"/>
        </w:rPr>
        <w:t>19</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HTML"/>
          <w:rFonts w:ascii="Times New Roman" w:eastAsia="Times New Roman" w:hAnsi="Times New Roman" w:cs="Times New Roman"/>
          <w:sz w:val="28"/>
          <w:szCs w:val="28"/>
          <w:lang w:val="en-US"/>
        </w:rPr>
        <w:t>Arterioscler Thromb Vasc Biol.</w:t>
      </w:r>
      <w:r w:rsidRPr="007F5722">
        <w:rPr>
          <w:rStyle w:val="apple-converted-space"/>
          <w:rFonts w:ascii="Times New Roman" w:eastAsia="Times New Roman" w:hAnsi="Times New Roman" w:cs="Times New Roman"/>
          <w:sz w:val="28"/>
          <w:szCs w:val="28"/>
          <w:lang w:val="en-US"/>
        </w:rPr>
        <w:t> </w:t>
      </w:r>
      <w:r w:rsidRPr="007F5722">
        <w:rPr>
          <w:rStyle w:val="cit-pub-date"/>
          <w:rFonts w:ascii="Times New Roman" w:eastAsia="Times New Roman" w:hAnsi="Times New Roman" w:cs="Times New Roman"/>
          <w:sz w:val="28"/>
          <w:szCs w:val="28"/>
          <w:lang w:val="en-US"/>
        </w:rPr>
        <w:t>2013</w:t>
      </w:r>
      <w:r w:rsidRPr="007F5722">
        <w:rPr>
          <w:rStyle w:val="HTML"/>
          <w:rFonts w:ascii="Times New Roman" w:eastAsia="Times New Roman" w:hAnsi="Times New Roman" w:cs="Times New Roman"/>
          <w:sz w:val="28"/>
          <w:szCs w:val="28"/>
          <w:lang w:val="en-US"/>
        </w:rPr>
        <w:t>;</w:t>
      </w:r>
      <w:r w:rsidRPr="007F5722">
        <w:rPr>
          <w:rStyle w:val="cit-vol"/>
          <w:rFonts w:ascii="Times New Roman" w:eastAsia="Times New Roman" w:hAnsi="Times New Roman" w:cs="Times New Roman"/>
          <w:bCs/>
          <w:sz w:val="28"/>
          <w:szCs w:val="28"/>
          <w:lang w:val="en-US"/>
        </w:rPr>
        <w:t>33</w:t>
      </w:r>
      <w:r w:rsidRPr="007F5722">
        <w:rPr>
          <w:rStyle w:val="HTML"/>
          <w:rFonts w:ascii="Times New Roman" w:eastAsia="Times New Roman" w:hAnsi="Times New Roman" w:cs="Times New Roman"/>
          <w:sz w:val="28"/>
          <w:szCs w:val="28"/>
          <w:lang w:val="en-US"/>
        </w:rPr>
        <w:t>:</w:t>
      </w:r>
      <w:r w:rsidRPr="007F5722">
        <w:rPr>
          <w:rStyle w:val="cit-fpage"/>
          <w:rFonts w:ascii="Times New Roman" w:eastAsia="Times New Roman" w:hAnsi="Times New Roman" w:cs="Times New Roman"/>
          <w:sz w:val="28"/>
          <w:szCs w:val="28"/>
          <w:lang w:val="en-US"/>
        </w:rPr>
        <w:t>2316</w:t>
      </w:r>
      <w:r w:rsidRPr="007F5722">
        <w:rPr>
          <w:rStyle w:val="HTML"/>
          <w:rFonts w:ascii="Times New Roman" w:eastAsia="Times New Roman" w:hAnsi="Times New Roman" w:cs="Times New Roman"/>
          <w:sz w:val="28"/>
          <w:szCs w:val="28"/>
          <w:lang w:val="en-US"/>
        </w:rPr>
        <w:t>–</w:t>
      </w:r>
      <w:r w:rsidRPr="007F5722">
        <w:rPr>
          <w:rStyle w:val="cit-lpage"/>
          <w:rFonts w:ascii="Times New Roman" w:eastAsia="Times New Roman" w:hAnsi="Times New Roman" w:cs="Times New Roman"/>
          <w:sz w:val="28"/>
          <w:szCs w:val="28"/>
          <w:lang w:val="en-US"/>
        </w:rPr>
        <w:t>2324</w:t>
      </w:r>
      <w:r w:rsidRPr="007F5722">
        <w:rPr>
          <w:rStyle w:val="HTML"/>
          <w:rFonts w:ascii="Times New Roman" w:eastAsia="Times New Roman" w:hAnsi="Times New Roman" w:cs="Times New Roman"/>
          <w:sz w:val="28"/>
          <w:szCs w:val="28"/>
          <w:lang w:val="en-US"/>
        </w:rPr>
        <w:t>.</w:t>
      </w:r>
    </w:p>
    <w:p w:rsidR="007F5722" w:rsidRPr="007F5722" w:rsidRDefault="007F5722" w:rsidP="007F5722">
      <w:pPr>
        <w:pStyle w:val="a8"/>
        <w:numPr>
          <w:ilvl w:val="0"/>
          <w:numId w:val="25"/>
        </w:numPr>
        <w:spacing w:after="0" w:line="360" w:lineRule="auto"/>
        <w:ind w:left="0" w:firstLine="357"/>
        <w:jc w:val="both"/>
        <w:rPr>
          <w:rStyle w:val="HTML"/>
          <w:rFonts w:ascii="Times New Roman" w:hAnsi="Times New Roman" w:cs="Times New Roman"/>
          <w:i w:val="0"/>
          <w:iCs w:val="0"/>
          <w:sz w:val="28"/>
          <w:szCs w:val="28"/>
        </w:rPr>
      </w:pPr>
      <w:r w:rsidRPr="007F5722">
        <w:rPr>
          <w:rStyle w:val="cit-name-surname"/>
          <w:rFonts w:ascii="Times New Roman" w:eastAsia="Times New Roman" w:hAnsi="Times New Roman" w:cs="Times New Roman"/>
          <w:sz w:val="28"/>
          <w:szCs w:val="28"/>
          <w:lang w:val="en-US"/>
        </w:rPr>
        <w:t>Gabunia</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K</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Ellison</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S</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Kelemen</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S</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Kako</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F</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Cornwell</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W</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D</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Rogers</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T</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J</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xml:space="preserve"> </w:t>
      </w:r>
      <w:r w:rsidRPr="007F5722">
        <w:rPr>
          <w:rStyle w:val="cit-name-surname"/>
          <w:rFonts w:ascii="Times New Roman" w:eastAsia="Times New Roman" w:hAnsi="Times New Roman" w:cs="Times New Roman"/>
          <w:sz w:val="28"/>
          <w:szCs w:val="28"/>
          <w:lang w:val="en-US"/>
        </w:rPr>
        <w:t>Datta</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P</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K</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Ouimet</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M</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Moore</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K</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J</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Autieri</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M</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V</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article-title"/>
          <w:rFonts w:ascii="Times New Roman" w:eastAsia="Times New Roman" w:hAnsi="Times New Roman" w:cs="Times New Roman"/>
          <w:sz w:val="28"/>
          <w:szCs w:val="28"/>
          <w:lang w:val="en-US"/>
        </w:rPr>
        <w:t>IL</w:t>
      </w:r>
      <w:r w:rsidRPr="007F5722">
        <w:rPr>
          <w:rStyle w:val="cit-article-title"/>
          <w:rFonts w:ascii="Times New Roman" w:eastAsia="Times New Roman" w:hAnsi="Times New Roman" w:cs="Times New Roman"/>
          <w:sz w:val="28"/>
          <w:szCs w:val="28"/>
        </w:rPr>
        <w:t xml:space="preserve"> </w:t>
      </w:r>
      <w:r w:rsidRPr="007F5722">
        <w:rPr>
          <w:rStyle w:val="cit-article-title"/>
          <w:rFonts w:ascii="Times New Roman" w:eastAsia="Times New Roman" w:hAnsi="Times New Roman" w:cs="Times New Roman"/>
          <w:sz w:val="28"/>
          <w:szCs w:val="28"/>
          <w:lang w:val="en-US"/>
        </w:rPr>
        <w:t>19 halts progression of atherosclerotic plaque, polarizes, and increases cholesterol uptake and efflux in macrophages</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HTML"/>
          <w:rFonts w:ascii="Times New Roman" w:eastAsia="Times New Roman" w:hAnsi="Times New Roman" w:cs="Times New Roman"/>
          <w:sz w:val="28"/>
          <w:szCs w:val="28"/>
          <w:lang w:val="en-US"/>
        </w:rPr>
        <w:t>Am J Pathol.</w:t>
      </w:r>
      <w:r w:rsidRPr="007F5722">
        <w:rPr>
          <w:rStyle w:val="apple-converted-space"/>
          <w:rFonts w:ascii="Times New Roman" w:eastAsia="Times New Roman" w:hAnsi="Times New Roman" w:cs="Times New Roman"/>
          <w:sz w:val="28"/>
          <w:szCs w:val="28"/>
          <w:lang w:val="en-US"/>
        </w:rPr>
        <w:t> </w:t>
      </w:r>
      <w:r w:rsidRPr="007F5722">
        <w:rPr>
          <w:rStyle w:val="cit-pub-date"/>
          <w:rFonts w:ascii="Times New Roman" w:eastAsia="Times New Roman" w:hAnsi="Times New Roman" w:cs="Times New Roman"/>
          <w:sz w:val="28"/>
          <w:szCs w:val="28"/>
          <w:lang w:val="en-US"/>
        </w:rPr>
        <w:t>2016</w:t>
      </w:r>
      <w:r w:rsidRPr="007F5722">
        <w:rPr>
          <w:rStyle w:val="HTML"/>
          <w:rFonts w:ascii="Times New Roman" w:eastAsia="Times New Roman" w:hAnsi="Times New Roman" w:cs="Times New Roman"/>
          <w:sz w:val="28"/>
          <w:szCs w:val="28"/>
          <w:lang w:val="en-US"/>
        </w:rPr>
        <w:t>;</w:t>
      </w:r>
      <w:r w:rsidRPr="007F5722">
        <w:rPr>
          <w:rStyle w:val="cit-vol"/>
          <w:rFonts w:ascii="Times New Roman" w:eastAsia="Times New Roman" w:hAnsi="Times New Roman" w:cs="Times New Roman"/>
          <w:bCs/>
          <w:sz w:val="28"/>
          <w:szCs w:val="28"/>
          <w:lang w:val="en-US"/>
        </w:rPr>
        <w:t>186</w:t>
      </w:r>
      <w:r w:rsidRPr="007F5722">
        <w:rPr>
          <w:rStyle w:val="HTML"/>
          <w:rFonts w:ascii="Times New Roman" w:eastAsia="Times New Roman" w:hAnsi="Times New Roman" w:cs="Times New Roman"/>
          <w:sz w:val="28"/>
          <w:szCs w:val="28"/>
          <w:lang w:val="en-US"/>
        </w:rPr>
        <w:t>:</w:t>
      </w:r>
      <w:r w:rsidRPr="007F5722">
        <w:rPr>
          <w:rStyle w:val="cit-fpage"/>
          <w:rFonts w:ascii="Times New Roman" w:eastAsia="Times New Roman" w:hAnsi="Times New Roman" w:cs="Times New Roman"/>
          <w:sz w:val="28"/>
          <w:szCs w:val="28"/>
          <w:lang w:val="en-US"/>
        </w:rPr>
        <w:t>1361</w:t>
      </w:r>
      <w:r w:rsidRPr="007F5722">
        <w:rPr>
          <w:rStyle w:val="HTML"/>
          <w:rFonts w:ascii="Times New Roman" w:eastAsia="Times New Roman" w:hAnsi="Times New Roman" w:cs="Times New Roman"/>
          <w:sz w:val="28"/>
          <w:szCs w:val="28"/>
          <w:lang w:val="en-US"/>
        </w:rPr>
        <w:t>–</w:t>
      </w:r>
      <w:r w:rsidRPr="007F5722">
        <w:rPr>
          <w:rStyle w:val="cit-lpage"/>
          <w:rFonts w:ascii="Times New Roman" w:eastAsia="Times New Roman" w:hAnsi="Times New Roman" w:cs="Times New Roman"/>
          <w:sz w:val="28"/>
          <w:szCs w:val="28"/>
          <w:lang w:val="en-US"/>
        </w:rPr>
        <w:t>1374</w:t>
      </w:r>
      <w:r w:rsidRPr="007F5722">
        <w:rPr>
          <w:rStyle w:val="HTML"/>
          <w:rFonts w:ascii="Times New Roman" w:eastAsia="Times New Roman" w:hAnsi="Times New Roman" w:cs="Times New Roman"/>
          <w:sz w:val="28"/>
          <w:szCs w:val="28"/>
          <w:lang w:val="en-US"/>
        </w:rPr>
        <w:t>.</w:t>
      </w:r>
    </w:p>
    <w:p w:rsidR="007F5722" w:rsidRPr="007F5722" w:rsidRDefault="007F5722" w:rsidP="007F5722">
      <w:pPr>
        <w:pStyle w:val="a8"/>
        <w:numPr>
          <w:ilvl w:val="0"/>
          <w:numId w:val="25"/>
        </w:numPr>
        <w:spacing w:after="0" w:line="360" w:lineRule="auto"/>
        <w:ind w:left="0" w:firstLine="357"/>
        <w:jc w:val="both"/>
        <w:rPr>
          <w:rStyle w:val="HTML"/>
          <w:rFonts w:ascii="Times New Roman" w:hAnsi="Times New Roman" w:cs="Times New Roman"/>
          <w:i w:val="0"/>
          <w:iCs w:val="0"/>
          <w:sz w:val="28"/>
          <w:szCs w:val="28"/>
        </w:rPr>
      </w:pPr>
      <w:r w:rsidRPr="007F5722">
        <w:rPr>
          <w:rStyle w:val="cit-name-surname"/>
          <w:rFonts w:ascii="Times New Roman" w:eastAsia="Times New Roman" w:hAnsi="Times New Roman" w:cs="Times New Roman"/>
          <w:sz w:val="28"/>
          <w:szCs w:val="28"/>
          <w:lang w:val="en-US"/>
        </w:rPr>
        <w:t>Chen</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W</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Y</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Cheng</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B</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C</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Jiang</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M</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J</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Hsieh</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M</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Y</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Chang</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M</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S</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article-title"/>
          <w:rFonts w:ascii="Times New Roman" w:eastAsia="Times New Roman" w:hAnsi="Times New Roman" w:cs="Times New Roman"/>
          <w:sz w:val="28"/>
          <w:szCs w:val="28"/>
          <w:lang w:val="en-US"/>
        </w:rPr>
        <w:t>IL</w:t>
      </w:r>
      <w:r w:rsidRPr="007F5722">
        <w:rPr>
          <w:rStyle w:val="cit-article-title"/>
          <w:rFonts w:ascii="Times New Roman" w:eastAsia="Times New Roman" w:hAnsi="Times New Roman" w:cs="Times New Roman"/>
          <w:sz w:val="28"/>
          <w:szCs w:val="28"/>
        </w:rPr>
        <w:t xml:space="preserve"> </w:t>
      </w:r>
      <w:r w:rsidRPr="007F5722">
        <w:rPr>
          <w:rStyle w:val="cit-article-title"/>
          <w:rFonts w:ascii="Times New Roman" w:eastAsia="Times New Roman" w:hAnsi="Times New Roman" w:cs="Times New Roman"/>
          <w:sz w:val="28"/>
          <w:szCs w:val="28"/>
          <w:lang w:val="en-US"/>
        </w:rPr>
        <w:t>20 is expressed in atherosclerosis plaques and promotes atherosclerosis in apolipoprotein E</w:t>
      </w:r>
      <w:r w:rsidRPr="007F5722">
        <w:rPr>
          <w:rStyle w:val="cit-article-title"/>
          <w:rFonts w:ascii="Times New Roman" w:eastAsia="Times New Roman" w:hAnsi="Times New Roman" w:cs="Times New Roman"/>
          <w:sz w:val="28"/>
          <w:szCs w:val="28"/>
        </w:rPr>
        <w:t xml:space="preserve"> </w:t>
      </w:r>
      <w:r w:rsidRPr="007F5722">
        <w:rPr>
          <w:rStyle w:val="cit-article-title"/>
          <w:rFonts w:ascii="Times New Roman" w:eastAsia="Times New Roman" w:hAnsi="Times New Roman" w:cs="Times New Roman"/>
          <w:sz w:val="28"/>
          <w:szCs w:val="28"/>
          <w:lang w:val="en-US"/>
        </w:rPr>
        <w:t>deficient mice</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HTML"/>
          <w:rFonts w:ascii="Times New Roman" w:eastAsia="Times New Roman" w:hAnsi="Times New Roman" w:cs="Times New Roman"/>
          <w:sz w:val="28"/>
          <w:szCs w:val="28"/>
          <w:lang w:val="en-US"/>
        </w:rPr>
        <w:t>Arterioscler Thromb Vasc Biol.</w:t>
      </w:r>
      <w:r w:rsidRPr="007F5722">
        <w:rPr>
          <w:rStyle w:val="apple-converted-space"/>
          <w:rFonts w:ascii="Times New Roman" w:eastAsia="Times New Roman" w:hAnsi="Times New Roman" w:cs="Times New Roman"/>
          <w:sz w:val="28"/>
          <w:szCs w:val="28"/>
          <w:lang w:val="en-US"/>
        </w:rPr>
        <w:t> </w:t>
      </w:r>
      <w:r w:rsidRPr="007F5722">
        <w:rPr>
          <w:rStyle w:val="cit-pub-date"/>
          <w:rFonts w:ascii="Times New Roman" w:eastAsia="Times New Roman" w:hAnsi="Times New Roman" w:cs="Times New Roman"/>
          <w:sz w:val="28"/>
          <w:szCs w:val="28"/>
          <w:lang w:val="en-US"/>
        </w:rPr>
        <w:t>2006</w:t>
      </w:r>
      <w:r w:rsidRPr="007F5722">
        <w:rPr>
          <w:rStyle w:val="HTML"/>
          <w:rFonts w:ascii="Times New Roman" w:eastAsia="Times New Roman" w:hAnsi="Times New Roman" w:cs="Times New Roman"/>
          <w:sz w:val="28"/>
          <w:szCs w:val="28"/>
          <w:lang w:val="en-US"/>
        </w:rPr>
        <w:t>;</w:t>
      </w:r>
      <w:r w:rsidRPr="007F5722">
        <w:rPr>
          <w:rStyle w:val="cit-vol"/>
          <w:rFonts w:ascii="Times New Roman" w:eastAsia="Times New Roman" w:hAnsi="Times New Roman" w:cs="Times New Roman"/>
          <w:bCs/>
          <w:sz w:val="28"/>
          <w:szCs w:val="28"/>
          <w:lang w:val="en-US"/>
        </w:rPr>
        <w:t>26</w:t>
      </w:r>
      <w:r w:rsidRPr="007F5722">
        <w:rPr>
          <w:rStyle w:val="HTML"/>
          <w:rFonts w:ascii="Times New Roman" w:eastAsia="Times New Roman" w:hAnsi="Times New Roman" w:cs="Times New Roman"/>
          <w:sz w:val="28"/>
          <w:szCs w:val="28"/>
          <w:lang w:val="en-US"/>
        </w:rPr>
        <w:t>:</w:t>
      </w:r>
      <w:r w:rsidRPr="007F5722">
        <w:rPr>
          <w:rStyle w:val="cit-fpage"/>
          <w:rFonts w:ascii="Times New Roman" w:eastAsia="Times New Roman" w:hAnsi="Times New Roman" w:cs="Times New Roman"/>
          <w:sz w:val="28"/>
          <w:szCs w:val="28"/>
          <w:lang w:val="en-US"/>
        </w:rPr>
        <w:t>2090</w:t>
      </w:r>
      <w:r w:rsidRPr="007F5722">
        <w:rPr>
          <w:rStyle w:val="HTML"/>
          <w:rFonts w:ascii="Times New Roman" w:eastAsia="Times New Roman" w:hAnsi="Times New Roman" w:cs="Times New Roman"/>
          <w:sz w:val="28"/>
          <w:szCs w:val="28"/>
          <w:lang w:val="en-US"/>
        </w:rPr>
        <w:t>–</w:t>
      </w:r>
      <w:r w:rsidRPr="007F5722">
        <w:rPr>
          <w:rStyle w:val="cit-lpage"/>
          <w:rFonts w:ascii="Times New Roman" w:eastAsia="Times New Roman" w:hAnsi="Times New Roman" w:cs="Times New Roman"/>
          <w:sz w:val="28"/>
          <w:szCs w:val="28"/>
          <w:lang w:val="en-US"/>
        </w:rPr>
        <w:t>2095</w:t>
      </w:r>
      <w:r w:rsidRPr="007F5722">
        <w:rPr>
          <w:rStyle w:val="HTML"/>
          <w:rFonts w:ascii="Times New Roman" w:eastAsia="Times New Roman" w:hAnsi="Times New Roman" w:cs="Times New Roman"/>
          <w:sz w:val="28"/>
          <w:szCs w:val="28"/>
          <w:lang w:val="en-US"/>
        </w:rPr>
        <w:t>.</w:t>
      </w:r>
    </w:p>
    <w:p w:rsidR="007F5722" w:rsidRPr="007F5722" w:rsidRDefault="007F5722" w:rsidP="007F5722">
      <w:pPr>
        <w:pStyle w:val="a8"/>
        <w:numPr>
          <w:ilvl w:val="0"/>
          <w:numId w:val="25"/>
        </w:numPr>
        <w:spacing w:after="0" w:line="360" w:lineRule="auto"/>
        <w:ind w:left="0" w:firstLine="357"/>
        <w:jc w:val="both"/>
        <w:rPr>
          <w:rStyle w:val="HTML"/>
          <w:rFonts w:ascii="Times New Roman" w:hAnsi="Times New Roman" w:cs="Times New Roman"/>
          <w:i w:val="0"/>
          <w:iCs w:val="0"/>
          <w:sz w:val="28"/>
          <w:szCs w:val="28"/>
        </w:rPr>
      </w:pPr>
      <w:r w:rsidRPr="007F5722">
        <w:rPr>
          <w:rStyle w:val="cit-name-surname"/>
          <w:rFonts w:ascii="Times New Roman" w:eastAsia="Times New Roman" w:hAnsi="Times New Roman" w:cs="Times New Roman"/>
          <w:sz w:val="28"/>
          <w:szCs w:val="28"/>
          <w:lang w:val="en-US"/>
        </w:rPr>
        <w:t>Lee</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K</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M</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Kang</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H</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A</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Ko</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C</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B</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Oh</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E</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H</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Park</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M</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Lee</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H</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Y</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Choi</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H</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R</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Yun</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C</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H</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Jung</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W</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W</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Oh</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J</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W</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Kang</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H</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S</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article-title"/>
          <w:rFonts w:ascii="Times New Roman" w:eastAsia="Times New Roman" w:hAnsi="Times New Roman" w:cs="Times New Roman"/>
          <w:sz w:val="28"/>
          <w:szCs w:val="28"/>
          <w:lang w:val="en-US"/>
        </w:rPr>
        <w:t>Differential gene expression profiles in spontaneously hypertensive rats induced by administration of enalapril and nifedipine</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HTML"/>
          <w:rFonts w:ascii="Times New Roman" w:eastAsia="Times New Roman" w:hAnsi="Times New Roman" w:cs="Times New Roman"/>
          <w:sz w:val="28"/>
          <w:szCs w:val="28"/>
          <w:lang w:val="en-US"/>
        </w:rPr>
        <w:t>Int J Mol Med.</w:t>
      </w:r>
      <w:r w:rsidRPr="007F5722">
        <w:rPr>
          <w:rStyle w:val="apple-converted-space"/>
          <w:rFonts w:ascii="Times New Roman" w:eastAsia="Times New Roman" w:hAnsi="Times New Roman" w:cs="Times New Roman"/>
          <w:sz w:val="28"/>
          <w:szCs w:val="28"/>
          <w:lang w:val="en-US"/>
        </w:rPr>
        <w:t> </w:t>
      </w:r>
      <w:r w:rsidRPr="007F5722">
        <w:rPr>
          <w:rStyle w:val="cit-pub-date"/>
          <w:rFonts w:ascii="Times New Roman" w:eastAsia="Times New Roman" w:hAnsi="Times New Roman" w:cs="Times New Roman"/>
          <w:sz w:val="28"/>
          <w:szCs w:val="28"/>
          <w:lang w:val="en-US"/>
        </w:rPr>
        <w:t>2013</w:t>
      </w:r>
      <w:r w:rsidRPr="007F5722">
        <w:rPr>
          <w:rStyle w:val="HTML"/>
          <w:rFonts w:ascii="Times New Roman" w:eastAsia="Times New Roman" w:hAnsi="Times New Roman" w:cs="Times New Roman"/>
          <w:sz w:val="28"/>
          <w:szCs w:val="28"/>
          <w:lang w:val="en-US"/>
        </w:rPr>
        <w:t>;</w:t>
      </w:r>
      <w:r w:rsidRPr="007F5722">
        <w:rPr>
          <w:rStyle w:val="cit-vol"/>
          <w:rFonts w:ascii="Times New Roman" w:eastAsia="Times New Roman" w:hAnsi="Times New Roman" w:cs="Times New Roman"/>
          <w:bCs/>
          <w:sz w:val="28"/>
          <w:szCs w:val="28"/>
          <w:lang w:val="en-US"/>
        </w:rPr>
        <w:t>31</w:t>
      </w:r>
      <w:r w:rsidRPr="007F5722">
        <w:rPr>
          <w:rStyle w:val="HTML"/>
          <w:rFonts w:ascii="Times New Roman" w:eastAsia="Times New Roman" w:hAnsi="Times New Roman" w:cs="Times New Roman"/>
          <w:sz w:val="28"/>
          <w:szCs w:val="28"/>
          <w:lang w:val="en-US"/>
        </w:rPr>
        <w:t>:</w:t>
      </w:r>
      <w:r w:rsidRPr="007F5722">
        <w:rPr>
          <w:rStyle w:val="cit-fpage"/>
          <w:rFonts w:ascii="Times New Roman" w:eastAsia="Times New Roman" w:hAnsi="Times New Roman" w:cs="Times New Roman"/>
          <w:sz w:val="28"/>
          <w:szCs w:val="28"/>
          <w:lang w:val="en-US"/>
        </w:rPr>
        <w:t>179</w:t>
      </w:r>
      <w:r w:rsidRPr="007F5722">
        <w:rPr>
          <w:rStyle w:val="HTML"/>
          <w:rFonts w:ascii="Times New Roman" w:eastAsia="Times New Roman" w:hAnsi="Times New Roman" w:cs="Times New Roman"/>
          <w:sz w:val="28"/>
          <w:szCs w:val="28"/>
          <w:lang w:val="en-US"/>
        </w:rPr>
        <w:t>–</w:t>
      </w:r>
      <w:r w:rsidRPr="007F5722">
        <w:rPr>
          <w:rStyle w:val="cit-lpage"/>
          <w:rFonts w:ascii="Times New Roman" w:eastAsia="Times New Roman" w:hAnsi="Times New Roman" w:cs="Times New Roman"/>
          <w:sz w:val="28"/>
          <w:szCs w:val="28"/>
          <w:lang w:val="en-US"/>
        </w:rPr>
        <w:t>187</w:t>
      </w:r>
      <w:r w:rsidRPr="007F5722">
        <w:rPr>
          <w:rStyle w:val="HTML"/>
          <w:rFonts w:ascii="Times New Roman" w:eastAsia="Times New Roman" w:hAnsi="Times New Roman" w:cs="Times New Roman"/>
          <w:sz w:val="28"/>
          <w:szCs w:val="28"/>
          <w:lang w:val="en-US"/>
        </w:rPr>
        <w:t>.</w:t>
      </w:r>
    </w:p>
    <w:p w:rsidR="007F5722" w:rsidRPr="007F5722" w:rsidRDefault="007F5722" w:rsidP="007F5722">
      <w:pPr>
        <w:pStyle w:val="a8"/>
        <w:numPr>
          <w:ilvl w:val="0"/>
          <w:numId w:val="25"/>
        </w:numPr>
        <w:spacing w:after="0" w:line="360" w:lineRule="auto"/>
        <w:ind w:left="0" w:firstLine="357"/>
        <w:jc w:val="both"/>
        <w:rPr>
          <w:rStyle w:val="HTML"/>
          <w:rFonts w:ascii="Times New Roman" w:hAnsi="Times New Roman" w:cs="Times New Roman"/>
          <w:i w:val="0"/>
          <w:iCs w:val="0"/>
          <w:sz w:val="28"/>
          <w:szCs w:val="28"/>
        </w:rPr>
      </w:pPr>
      <w:r w:rsidRPr="007F5722">
        <w:rPr>
          <w:rStyle w:val="cit-name-surname"/>
          <w:rFonts w:ascii="Times New Roman" w:eastAsia="Times New Roman" w:hAnsi="Times New Roman" w:cs="Times New Roman"/>
          <w:sz w:val="28"/>
          <w:szCs w:val="28"/>
          <w:lang w:val="en-US"/>
        </w:rPr>
        <w:lastRenderedPageBreak/>
        <w:t>Corvaisier</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M</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Delneste</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Y</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Jeanvoine</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H</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Preisser</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L</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Blanchard</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S</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Garo</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E</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Hoppe</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E</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Barré</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B</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Audran</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M</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Bouvard</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B</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Saint</w:t>
      </w:r>
      <w:r w:rsidRPr="007F5722">
        <w:rPr>
          <w:rStyle w:val="cit-name-surname"/>
          <w:rFonts w:ascii="Times New Roman" w:eastAsia="Times New Roman" w:hAnsi="Times New Roman" w:cs="Times New Roman"/>
          <w:sz w:val="28"/>
          <w:szCs w:val="28"/>
        </w:rPr>
        <w:t xml:space="preserve"> </w:t>
      </w:r>
      <w:r w:rsidRPr="007F5722">
        <w:rPr>
          <w:rStyle w:val="cit-name-surname"/>
          <w:rFonts w:ascii="Times New Roman" w:eastAsia="Times New Roman" w:hAnsi="Times New Roman" w:cs="Times New Roman"/>
          <w:sz w:val="28"/>
          <w:szCs w:val="28"/>
          <w:lang w:val="en-US"/>
        </w:rPr>
        <w:t>André</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J</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P</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Jeannin</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P</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article-title"/>
          <w:rFonts w:ascii="Times New Roman" w:eastAsia="Times New Roman" w:hAnsi="Times New Roman" w:cs="Times New Roman"/>
          <w:sz w:val="28"/>
          <w:szCs w:val="28"/>
          <w:lang w:val="en-US"/>
        </w:rPr>
        <w:t>IL</w:t>
      </w:r>
      <w:r w:rsidRPr="007F5722">
        <w:rPr>
          <w:rStyle w:val="cit-article-title"/>
          <w:rFonts w:ascii="Times New Roman" w:eastAsia="Times New Roman" w:hAnsi="Times New Roman" w:cs="Times New Roman"/>
          <w:sz w:val="28"/>
          <w:szCs w:val="28"/>
        </w:rPr>
        <w:t xml:space="preserve">  </w:t>
      </w:r>
      <w:r w:rsidRPr="007F5722">
        <w:rPr>
          <w:rStyle w:val="cit-article-title"/>
          <w:rFonts w:ascii="Times New Roman" w:eastAsia="Times New Roman" w:hAnsi="Times New Roman" w:cs="Times New Roman"/>
          <w:sz w:val="28"/>
          <w:szCs w:val="28"/>
          <w:lang w:val="en-US"/>
        </w:rPr>
        <w:t>26 is overexpressed in rheumatoid arthritis and induces proinflammatory cytokine production and Th17 cell generation</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HTML"/>
          <w:rFonts w:ascii="Times New Roman" w:eastAsia="Times New Roman" w:hAnsi="Times New Roman" w:cs="Times New Roman"/>
          <w:sz w:val="28"/>
          <w:szCs w:val="28"/>
          <w:lang w:val="de-DE"/>
        </w:rPr>
        <w:t>PLoS Biol.</w:t>
      </w:r>
      <w:r w:rsidRPr="007F5722">
        <w:rPr>
          <w:rStyle w:val="apple-converted-space"/>
          <w:rFonts w:ascii="Times New Roman" w:eastAsia="Times New Roman" w:hAnsi="Times New Roman" w:cs="Times New Roman"/>
          <w:sz w:val="28"/>
          <w:szCs w:val="28"/>
          <w:lang w:val="de-DE"/>
        </w:rPr>
        <w:t> </w:t>
      </w:r>
      <w:r w:rsidRPr="007F5722">
        <w:rPr>
          <w:rStyle w:val="cit-pub-date"/>
          <w:rFonts w:ascii="Times New Roman" w:eastAsia="Times New Roman" w:hAnsi="Times New Roman" w:cs="Times New Roman"/>
          <w:sz w:val="28"/>
          <w:szCs w:val="28"/>
          <w:lang w:val="de-DE"/>
        </w:rPr>
        <w:t>2012</w:t>
      </w:r>
      <w:r w:rsidRPr="007F5722">
        <w:rPr>
          <w:rStyle w:val="HTML"/>
          <w:rFonts w:ascii="Times New Roman" w:eastAsia="Times New Roman" w:hAnsi="Times New Roman" w:cs="Times New Roman"/>
          <w:sz w:val="28"/>
          <w:szCs w:val="28"/>
          <w:lang w:val="de-DE"/>
        </w:rPr>
        <w:t>;</w:t>
      </w:r>
      <w:r w:rsidRPr="007F5722">
        <w:rPr>
          <w:rStyle w:val="cit-vol"/>
          <w:rFonts w:ascii="Times New Roman" w:eastAsia="Times New Roman" w:hAnsi="Times New Roman" w:cs="Times New Roman"/>
          <w:bCs/>
          <w:sz w:val="28"/>
          <w:szCs w:val="28"/>
          <w:lang w:val="de-DE"/>
        </w:rPr>
        <w:t>10</w:t>
      </w:r>
      <w:r w:rsidRPr="007F5722">
        <w:rPr>
          <w:rStyle w:val="HTML"/>
          <w:rFonts w:ascii="Times New Roman" w:eastAsia="Times New Roman" w:hAnsi="Times New Roman" w:cs="Times New Roman"/>
          <w:sz w:val="28"/>
          <w:szCs w:val="28"/>
          <w:lang w:val="de-DE"/>
        </w:rPr>
        <w:t>:</w:t>
      </w:r>
      <w:r w:rsidRPr="007F5722">
        <w:rPr>
          <w:rStyle w:val="cit-fpage"/>
          <w:rFonts w:ascii="Times New Roman" w:eastAsia="Times New Roman" w:hAnsi="Times New Roman" w:cs="Times New Roman"/>
          <w:sz w:val="28"/>
          <w:szCs w:val="28"/>
          <w:lang w:val="de-DE"/>
        </w:rPr>
        <w:t>e1001395</w:t>
      </w:r>
      <w:r w:rsidRPr="007F5722">
        <w:rPr>
          <w:rStyle w:val="HTML"/>
          <w:rFonts w:ascii="Times New Roman" w:eastAsia="Times New Roman" w:hAnsi="Times New Roman" w:cs="Times New Roman"/>
          <w:sz w:val="28"/>
          <w:szCs w:val="28"/>
          <w:lang w:val="de-DE"/>
        </w:rPr>
        <w:t>.</w:t>
      </w:r>
    </w:p>
    <w:p w:rsidR="007F5722" w:rsidRPr="007F5722" w:rsidRDefault="007F5722" w:rsidP="007F5722">
      <w:pPr>
        <w:pStyle w:val="a8"/>
        <w:numPr>
          <w:ilvl w:val="0"/>
          <w:numId w:val="25"/>
        </w:numPr>
        <w:spacing w:after="0" w:line="360" w:lineRule="auto"/>
        <w:ind w:left="0" w:firstLine="357"/>
        <w:jc w:val="both"/>
        <w:rPr>
          <w:rStyle w:val="HTML"/>
          <w:rFonts w:ascii="Times New Roman" w:hAnsi="Times New Roman" w:cs="Times New Roman"/>
          <w:i w:val="0"/>
          <w:iCs w:val="0"/>
          <w:sz w:val="28"/>
          <w:szCs w:val="28"/>
        </w:rPr>
      </w:pPr>
      <w:r w:rsidRPr="007F5722">
        <w:rPr>
          <w:rStyle w:val="cit-name-surname"/>
          <w:rFonts w:ascii="Times New Roman" w:eastAsia="Times New Roman" w:hAnsi="Times New Roman" w:cs="Times New Roman"/>
          <w:sz w:val="28"/>
          <w:szCs w:val="28"/>
          <w:lang w:val="de-DE"/>
        </w:rPr>
        <w:t>Dudakov</w:t>
      </w:r>
      <w:r w:rsidRPr="007F5722">
        <w:rPr>
          <w:rStyle w:val="apple-converted-space"/>
          <w:rFonts w:ascii="Times New Roman" w:eastAsia="Times New Roman" w:hAnsi="Times New Roman" w:cs="Times New Roman"/>
          <w:sz w:val="28"/>
          <w:szCs w:val="28"/>
          <w:lang w:val="de-DE"/>
        </w:rPr>
        <w:t> </w:t>
      </w:r>
      <w:r w:rsidRPr="007F5722">
        <w:rPr>
          <w:rStyle w:val="cit-auth"/>
          <w:rFonts w:ascii="Times New Roman" w:eastAsia="Times New Roman" w:hAnsi="Times New Roman" w:cs="Times New Roman"/>
          <w:sz w:val="28"/>
          <w:szCs w:val="28"/>
          <w:lang w:val="de-DE"/>
        </w:rPr>
        <w:t xml:space="preserve"> </w:t>
      </w:r>
      <w:r w:rsidRPr="007F5722">
        <w:rPr>
          <w:rStyle w:val="cit-name-given-names"/>
          <w:rFonts w:ascii="Times New Roman" w:eastAsia="Times New Roman" w:hAnsi="Times New Roman" w:cs="Times New Roman"/>
          <w:sz w:val="28"/>
          <w:szCs w:val="28"/>
          <w:lang w:val="de-DE"/>
        </w:rPr>
        <w:t>JA</w:t>
      </w:r>
      <w:r w:rsidRPr="007F5722">
        <w:rPr>
          <w:rStyle w:val="HTML"/>
          <w:rFonts w:ascii="Times New Roman" w:eastAsia="Times New Roman" w:hAnsi="Times New Roman" w:cs="Times New Roman"/>
          <w:sz w:val="28"/>
          <w:szCs w:val="28"/>
          <w:lang w:val="de-DE"/>
        </w:rPr>
        <w:t>,</w:t>
      </w:r>
      <w:r w:rsidRPr="007F5722">
        <w:rPr>
          <w:rStyle w:val="apple-converted-space"/>
          <w:rFonts w:ascii="Times New Roman" w:eastAsia="Times New Roman" w:hAnsi="Times New Roman" w:cs="Times New Roman"/>
          <w:sz w:val="28"/>
          <w:szCs w:val="28"/>
          <w:lang w:val="de-DE"/>
        </w:rPr>
        <w:t> </w:t>
      </w:r>
      <w:r w:rsidRPr="007F5722">
        <w:rPr>
          <w:rStyle w:val="cit-name-surname"/>
          <w:rFonts w:ascii="Times New Roman" w:eastAsia="Times New Roman" w:hAnsi="Times New Roman" w:cs="Times New Roman"/>
          <w:sz w:val="28"/>
          <w:szCs w:val="28"/>
          <w:lang w:val="de-DE"/>
        </w:rPr>
        <w:t>Hanash</w:t>
      </w:r>
      <w:r w:rsidRPr="007F5722">
        <w:rPr>
          <w:rStyle w:val="apple-converted-space"/>
          <w:rFonts w:ascii="Times New Roman" w:eastAsia="Times New Roman" w:hAnsi="Times New Roman" w:cs="Times New Roman"/>
          <w:sz w:val="28"/>
          <w:szCs w:val="28"/>
          <w:lang w:val="de-DE"/>
        </w:rPr>
        <w:t> </w:t>
      </w:r>
      <w:r w:rsidRPr="007F5722">
        <w:rPr>
          <w:rStyle w:val="cit-auth"/>
          <w:rFonts w:ascii="Times New Roman" w:eastAsia="Times New Roman" w:hAnsi="Times New Roman" w:cs="Times New Roman"/>
          <w:sz w:val="28"/>
          <w:szCs w:val="28"/>
          <w:lang w:val="de-DE"/>
        </w:rPr>
        <w:t xml:space="preserve"> </w:t>
      </w:r>
      <w:r w:rsidRPr="007F5722">
        <w:rPr>
          <w:rStyle w:val="cit-name-given-names"/>
          <w:rFonts w:ascii="Times New Roman" w:eastAsia="Times New Roman" w:hAnsi="Times New Roman" w:cs="Times New Roman"/>
          <w:sz w:val="28"/>
          <w:szCs w:val="28"/>
          <w:lang w:val="de-DE"/>
        </w:rPr>
        <w:t>AM</w:t>
      </w:r>
      <w:r w:rsidRPr="007F5722">
        <w:rPr>
          <w:rStyle w:val="HTML"/>
          <w:rFonts w:ascii="Times New Roman" w:eastAsia="Times New Roman" w:hAnsi="Times New Roman" w:cs="Times New Roman"/>
          <w:sz w:val="28"/>
          <w:szCs w:val="28"/>
          <w:lang w:val="de-DE"/>
        </w:rPr>
        <w:t>,</w:t>
      </w:r>
      <w:r w:rsidRPr="007F5722">
        <w:rPr>
          <w:rStyle w:val="apple-converted-space"/>
          <w:rFonts w:ascii="Times New Roman" w:eastAsia="Times New Roman" w:hAnsi="Times New Roman" w:cs="Times New Roman"/>
          <w:sz w:val="28"/>
          <w:szCs w:val="28"/>
          <w:lang w:val="de-DE"/>
        </w:rPr>
        <w:t> </w:t>
      </w:r>
      <w:r w:rsidRPr="007F5722">
        <w:rPr>
          <w:rStyle w:val="cit-name-surname"/>
          <w:rFonts w:ascii="Times New Roman" w:eastAsia="Times New Roman" w:hAnsi="Times New Roman" w:cs="Times New Roman"/>
          <w:sz w:val="28"/>
          <w:szCs w:val="28"/>
          <w:lang w:val="de-DE"/>
        </w:rPr>
        <w:t>van den Brink</w:t>
      </w:r>
      <w:r w:rsidRPr="007F5722">
        <w:rPr>
          <w:rStyle w:val="apple-converted-space"/>
          <w:rFonts w:ascii="Times New Roman" w:eastAsia="Times New Roman" w:hAnsi="Times New Roman" w:cs="Times New Roman"/>
          <w:sz w:val="28"/>
          <w:szCs w:val="28"/>
          <w:lang w:val="de-DE"/>
        </w:rPr>
        <w:t> </w:t>
      </w:r>
      <w:r w:rsidRPr="007F5722">
        <w:rPr>
          <w:rStyle w:val="cit-auth"/>
          <w:rFonts w:ascii="Times New Roman" w:eastAsia="Times New Roman" w:hAnsi="Times New Roman" w:cs="Times New Roman"/>
          <w:sz w:val="28"/>
          <w:szCs w:val="28"/>
          <w:lang w:val="de-DE"/>
        </w:rPr>
        <w:t xml:space="preserve"> </w:t>
      </w:r>
      <w:r w:rsidRPr="007F5722">
        <w:rPr>
          <w:rStyle w:val="cit-name-given-names"/>
          <w:rFonts w:ascii="Times New Roman" w:eastAsia="Times New Roman" w:hAnsi="Times New Roman" w:cs="Times New Roman"/>
          <w:sz w:val="28"/>
          <w:szCs w:val="28"/>
          <w:lang w:val="de-DE"/>
        </w:rPr>
        <w:t>MR</w:t>
      </w:r>
      <w:r w:rsidRPr="007F5722">
        <w:rPr>
          <w:rStyle w:val="HTML"/>
          <w:rFonts w:ascii="Times New Roman" w:eastAsia="Times New Roman" w:hAnsi="Times New Roman" w:cs="Times New Roman"/>
          <w:sz w:val="28"/>
          <w:szCs w:val="28"/>
          <w:lang w:val="de-DE"/>
        </w:rPr>
        <w:t>.</w:t>
      </w:r>
      <w:r w:rsidRPr="007F5722">
        <w:rPr>
          <w:rStyle w:val="apple-converted-space"/>
          <w:rFonts w:ascii="Times New Roman" w:eastAsia="Times New Roman" w:hAnsi="Times New Roman" w:cs="Times New Roman"/>
          <w:sz w:val="28"/>
          <w:szCs w:val="28"/>
          <w:lang w:val="de-DE"/>
        </w:rPr>
        <w:t> </w:t>
      </w:r>
      <w:r w:rsidRPr="007F5722">
        <w:rPr>
          <w:rStyle w:val="cit-article-title"/>
          <w:rFonts w:ascii="Times New Roman" w:eastAsia="Times New Roman" w:hAnsi="Times New Roman" w:cs="Times New Roman"/>
          <w:sz w:val="28"/>
          <w:szCs w:val="28"/>
          <w:lang w:val="en-US"/>
        </w:rPr>
        <w:t>Interleukin</w:t>
      </w:r>
      <w:r w:rsidRPr="007F5722">
        <w:rPr>
          <w:rStyle w:val="cit-article-title"/>
          <w:rFonts w:ascii="Times New Roman" w:eastAsia="Times New Roman" w:hAnsi="Times New Roman" w:cs="Times New Roman"/>
          <w:sz w:val="28"/>
          <w:szCs w:val="28"/>
        </w:rPr>
        <w:t xml:space="preserve"> </w:t>
      </w:r>
      <w:r w:rsidRPr="007F5722">
        <w:rPr>
          <w:rStyle w:val="cit-article-title"/>
          <w:rFonts w:ascii="Times New Roman" w:eastAsia="Times New Roman" w:hAnsi="Times New Roman" w:cs="Times New Roman"/>
          <w:sz w:val="28"/>
          <w:szCs w:val="28"/>
          <w:lang w:val="en-US"/>
        </w:rPr>
        <w:t>22: immunobiology and pathology</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HTML"/>
          <w:rFonts w:ascii="Times New Roman" w:eastAsia="Times New Roman" w:hAnsi="Times New Roman" w:cs="Times New Roman"/>
          <w:sz w:val="28"/>
          <w:szCs w:val="28"/>
          <w:lang w:val="en-US"/>
        </w:rPr>
        <w:t>Annu Rev Immunol.</w:t>
      </w:r>
      <w:r w:rsidRPr="007F5722">
        <w:rPr>
          <w:rStyle w:val="apple-converted-space"/>
          <w:rFonts w:ascii="Times New Roman" w:eastAsia="Times New Roman" w:hAnsi="Times New Roman" w:cs="Times New Roman"/>
          <w:sz w:val="28"/>
          <w:szCs w:val="28"/>
          <w:lang w:val="en-US"/>
        </w:rPr>
        <w:t> </w:t>
      </w:r>
      <w:r w:rsidRPr="007F5722">
        <w:rPr>
          <w:rStyle w:val="cit-pub-date"/>
          <w:rFonts w:ascii="Times New Roman" w:eastAsia="Times New Roman" w:hAnsi="Times New Roman" w:cs="Times New Roman"/>
          <w:sz w:val="28"/>
          <w:szCs w:val="28"/>
          <w:lang w:val="en-US"/>
        </w:rPr>
        <w:t>2015</w:t>
      </w:r>
      <w:r w:rsidRPr="007F5722">
        <w:rPr>
          <w:rStyle w:val="HTML"/>
          <w:rFonts w:ascii="Times New Roman" w:eastAsia="Times New Roman" w:hAnsi="Times New Roman" w:cs="Times New Roman"/>
          <w:sz w:val="28"/>
          <w:szCs w:val="28"/>
          <w:lang w:val="en-US"/>
        </w:rPr>
        <w:t>;</w:t>
      </w:r>
      <w:r w:rsidRPr="007F5722">
        <w:rPr>
          <w:rStyle w:val="cit-vol"/>
          <w:rFonts w:ascii="Times New Roman" w:eastAsia="Times New Roman" w:hAnsi="Times New Roman" w:cs="Times New Roman"/>
          <w:bCs/>
          <w:sz w:val="28"/>
          <w:szCs w:val="28"/>
          <w:lang w:val="en-US"/>
        </w:rPr>
        <w:t>33</w:t>
      </w:r>
      <w:r w:rsidRPr="007F5722">
        <w:rPr>
          <w:rStyle w:val="HTML"/>
          <w:rFonts w:ascii="Times New Roman" w:eastAsia="Times New Roman" w:hAnsi="Times New Roman" w:cs="Times New Roman"/>
          <w:sz w:val="28"/>
          <w:szCs w:val="28"/>
          <w:lang w:val="en-US"/>
        </w:rPr>
        <w:t>:</w:t>
      </w:r>
      <w:r w:rsidRPr="007F5722">
        <w:rPr>
          <w:rStyle w:val="cit-fpage"/>
          <w:rFonts w:ascii="Times New Roman" w:eastAsia="Times New Roman" w:hAnsi="Times New Roman" w:cs="Times New Roman"/>
          <w:sz w:val="28"/>
          <w:szCs w:val="28"/>
          <w:lang w:val="en-US"/>
        </w:rPr>
        <w:t>747</w:t>
      </w:r>
      <w:r w:rsidRPr="007F5722">
        <w:rPr>
          <w:rStyle w:val="HTML"/>
          <w:rFonts w:ascii="Times New Roman" w:eastAsia="Times New Roman" w:hAnsi="Times New Roman" w:cs="Times New Roman"/>
          <w:sz w:val="28"/>
          <w:szCs w:val="28"/>
          <w:lang w:val="en-US"/>
        </w:rPr>
        <w:t>–</w:t>
      </w:r>
      <w:r w:rsidRPr="007F5722">
        <w:rPr>
          <w:rStyle w:val="cit-lpage"/>
          <w:rFonts w:ascii="Times New Roman" w:eastAsia="Times New Roman" w:hAnsi="Times New Roman" w:cs="Times New Roman"/>
          <w:sz w:val="28"/>
          <w:szCs w:val="28"/>
          <w:lang w:val="en-US"/>
        </w:rPr>
        <w:t>785</w:t>
      </w:r>
      <w:r w:rsidRPr="007F5722">
        <w:rPr>
          <w:rStyle w:val="HTML"/>
          <w:rFonts w:ascii="Times New Roman" w:eastAsia="Times New Roman" w:hAnsi="Times New Roman" w:cs="Times New Roman"/>
          <w:sz w:val="28"/>
          <w:szCs w:val="28"/>
          <w:lang w:val="en-US"/>
        </w:rPr>
        <w:t>.</w:t>
      </w:r>
    </w:p>
    <w:p w:rsidR="007F5722" w:rsidRPr="007F5722" w:rsidRDefault="007F5722" w:rsidP="007F5722">
      <w:pPr>
        <w:pStyle w:val="a8"/>
        <w:numPr>
          <w:ilvl w:val="0"/>
          <w:numId w:val="25"/>
        </w:numPr>
        <w:spacing w:after="0" w:line="360" w:lineRule="auto"/>
        <w:ind w:left="0" w:firstLine="357"/>
        <w:jc w:val="both"/>
        <w:rPr>
          <w:rStyle w:val="HTML"/>
          <w:rFonts w:ascii="Times New Roman" w:hAnsi="Times New Roman" w:cs="Times New Roman"/>
          <w:i w:val="0"/>
          <w:iCs w:val="0"/>
          <w:sz w:val="28"/>
          <w:szCs w:val="28"/>
        </w:rPr>
      </w:pPr>
      <w:r w:rsidRPr="007F5722">
        <w:rPr>
          <w:rStyle w:val="cit-name-surname"/>
          <w:rFonts w:ascii="Times New Roman" w:eastAsia="Times New Roman" w:hAnsi="Times New Roman" w:cs="Times New Roman"/>
          <w:sz w:val="28"/>
          <w:szCs w:val="28"/>
          <w:lang w:val="en-US"/>
        </w:rPr>
        <w:t>Basu</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R</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O'Quinn</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D</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B</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Silberger</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D</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J</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Schoeb</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T</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R</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Fouser</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L</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Ouyang</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W</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Hatton</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R</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D</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Weaver</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C</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article-title"/>
          <w:rFonts w:ascii="Times New Roman" w:eastAsia="Times New Roman" w:hAnsi="Times New Roman" w:cs="Times New Roman"/>
          <w:sz w:val="28"/>
          <w:szCs w:val="28"/>
          <w:lang w:val="en-US"/>
        </w:rPr>
        <w:t>Th22 cells are an important source of IL</w:t>
      </w:r>
      <w:r w:rsidRPr="007F5722">
        <w:rPr>
          <w:rStyle w:val="cit-article-title"/>
          <w:rFonts w:ascii="Times New Roman" w:eastAsia="Times New Roman" w:hAnsi="Times New Roman" w:cs="Times New Roman"/>
          <w:sz w:val="28"/>
          <w:szCs w:val="28"/>
        </w:rPr>
        <w:t xml:space="preserve"> </w:t>
      </w:r>
      <w:r w:rsidRPr="007F5722">
        <w:rPr>
          <w:rStyle w:val="cit-article-title"/>
          <w:rFonts w:ascii="Times New Roman" w:eastAsia="Times New Roman" w:hAnsi="Times New Roman" w:cs="Times New Roman"/>
          <w:sz w:val="28"/>
          <w:szCs w:val="28"/>
          <w:lang w:val="en-US"/>
        </w:rPr>
        <w:t>22 for host protection against enteropathogenic bacteria</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HTML"/>
          <w:rFonts w:ascii="Times New Roman" w:eastAsia="Times New Roman" w:hAnsi="Times New Roman" w:cs="Times New Roman"/>
          <w:sz w:val="28"/>
          <w:szCs w:val="28"/>
          <w:lang w:val="en-US"/>
        </w:rPr>
        <w:t>Immunity.</w:t>
      </w:r>
      <w:r w:rsidRPr="007F5722">
        <w:rPr>
          <w:rStyle w:val="apple-converted-space"/>
          <w:rFonts w:ascii="Times New Roman" w:eastAsia="Times New Roman" w:hAnsi="Times New Roman" w:cs="Times New Roman"/>
          <w:sz w:val="28"/>
          <w:szCs w:val="28"/>
          <w:lang w:val="en-US"/>
        </w:rPr>
        <w:t> </w:t>
      </w:r>
      <w:r w:rsidRPr="007F5722">
        <w:rPr>
          <w:rStyle w:val="cit-pub-date"/>
          <w:rFonts w:ascii="Times New Roman" w:eastAsia="Times New Roman" w:hAnsi="Times New Roman" w:cs="Times New Roman"/>
          <w:sz w:val="28"/>
          <w:szCs w:val="28"/>
          <w:lang w:val="en-US"/>
        </w:rPr>
        <w:t>2012</w:t>
      </w:r>
      <w:r w:rsidRPr="007F5722">
        <w:rPr>
          <w:rStyle w:val="HTML"/>
          <w:rFonts w:ascii="Times New Roman" w:eastAsia="Times New Roman" w:hAnsi="Times New Roman" w:cs="Times New Roman"/>
          <w:sz w:val="28"/>
          <w:szCs w:val="28"/>
          <w:lang w:val="en-US"/>
        </w:rPr>
        <w:t>;</w:t>
      </w:r>
      <w:r w:rsidRPr="007F5722">
        <w:rPr>
          <w:rStyle w:val="HTML"/>
          <w:rFonts w:ascii="Times New Roman" w:eastAsia="Times New Roman" w:hAnsi="Times New Roman" w:cs="Times New Roman"/>
          <w:sz w:val="28"/>
          <w:szCs w:val="28"/>
        </w:rPr>
        <w:t xml:space="preserve"> </w:t>
      </w:r>
      <w:r w:rsidRPr="007F5722">
        <w:rPr>
          <w:rStyle w:val="cit-vol"/>
          <w:rFonts w:ascii="Times New Roman" w:eastAsia="Times New Roman" w:hAnsi="Times New Roman" w:cs="Times New Roman"/>
          <w:bCs/>
          <w:sz w:val="28"/>
          <w:szCs w:val="28"/>
          <w:lang w:val="en-US"/>
        </w:rPr>
        <w:t>37</w:t>
      </w:r>
      <w:r w:rsidRPr="007F5722">
        <w:rPr>
          <w:rStyle w:val="HTML"/>
          <w:rFonts w:ascii="Times New Roman" w:eastAsia="Times New Roman" w:hAnsi="Times New Roman" w:cs="Times New Roman"/>
          <w:sz w:val="28"/>
          <w:szCs w:val="28"/>
          <w:lang w:val="en-US"/>
        </w:rPr>
        <w:t>:</w:t>
      </w:r>
      <w:r w:rsidRPr="007F5722">
        <w:rPr>
          <w:rStyle w:val="cit-fpage"/>
          <w:rFonts w:ascii="Times New Roman" w:eastAsia="Times New Roman" w:hAnsi="Times New Roman" w:cs="Times New Roman"/>
          <w:sz w:val="28"/>
          <w:szCs w:val="28"/>
          <w:lang w:val="en-US"/>
        </w:rPr>
        <w:t>1061</w:t>
      </w:r>
      <w:r w:rsidRPr="007F5722">
        <w:rPr>
          <w:rStyle w:val="HTML"/>
          <w:rFonts w:ascii="Times New Roman" w:eastAsia="Times New Roman" w:hAnsi="Times New Roman" w:cs="Times New Roman"/>
          <w:sz w:val="28"/>
          <w:szCs w:val="28"/>
          <w:lang w:val="en-US"/>
        </w:rPr>
        <w:t>–</w:t>
      </w:r>
      <w:r w:rsidRPr="007F5722">
        <w:rPr>
          <w:rStyle w:val="cit-lpage"/>
          <w:rFonts w:ascii="Times New Roman" w:eastAsia="Times New Roman" w:hAnsi="Times New Roman" w:cs="Times New Roman"/>
          <w:sz w:val="28"/>
          <w:szCs w:val="28"/>
          <w:lang w:val="en-US"/>
        </w:rPr>
        <w:t>1075</w:t>
      </w:r>
      <w:r w:rsidRPr="007F5722">
        <w:rPr>
          <w:rStyle w:val="HTML"/>
          <w:rFonts w:ascii="Times New Roman" w:eastAsia="Times New Roman" w:hAnsi="Times New Roman" w:cs="Times New Roman"/>
          <w:sz w:val="28"/>
          <w:szCs w:val="28"/>
          <w:lang w:val="en-US"/>
        </w:rPr>
        <w:t>.</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iCs/>
          <w:sz w:val="28"/>
          <w:szCs w:val="28"/>
          <w:lang w:val="en-US"/>
        </w:rPr>
        <w:t>Guo Y</w:t>
      </w:r>
      <w:r w:rsidRPr="007F5722">
        <w:rPr>
          <w:rFonts w:ascii="Times New Roman" w:eastAsia="Times New Roman" w:hAnsi="Times New Roman" w:cs="Times New Roman"/>
          <w:iCs/>
          <w:sz w:val="28"/>
          <w:szCs w:val="28"/>
        </w:rPr>
        <w:t>.</w:t>
      </w:r>
      <w:r w:rsidRPr="007F5722">
        <w:rPr>
          <w:rFonts w:ascii="Times New Roman" w:eastAsia="Times New Roman" w:hAnsi="Times New Roman" w:cs="Times New Roman"/>
          <w:iCs/>
          <w:sz w:val="28"/>
          <w:szCs w:val="28"/>
          <w:lang w:val="en-US"/>
        </w:rPr>
        <w:t>, Wu W</w:t>
      </w:r>
      <w:r w:rsidRPr="007F5722">
        <w:rPr>
          <w:rFonts w:ascii="Times New Roman" w:eastAsia="Times New Roman" w:hAnsi="Times New Roman" w:cs="Times New Roman"/>
          <w:iCs/>
          <w:sz w:val="28"/>
          <w:szCs w:val="28"/>
        </w:rPr>
        <w:t>.</w:t>
      </w:r>
      <w:r w:rsidRPr="007F5722">
        <w:rPr>
          <w:rFonts w:ascii="Times New Roman" w:eastAsia="Times New Roman" w:hAnsi="Times New Roman" w:cs="Times New Roman"/>
          <w:iCs/>
          <w:sz w:val="28"/>
          <w:szCs w:val="28"/>
          <w:lang w:val="en-US"/>
        </w:rPr>
        <w:t>, Cen Z</w:t>
      </w:r>
      <w:r w:rsidRPr="007F5722">
        <w:rPr>
          <w:rFonts w:ascii="Times New Roman" w:eastAsia="Times New Roman" w:hAnsi="Times New Roman" w:cs="Times New Roman"/>
          <w:iCs/>
          <w:sz w:val="28"/>
          <w:szCs w:val="28"/>
        </w:rPr>
        <w:t>.</w:t>
      </w:r>
      <w:r w:rsidRPr="007F5722">
        <w:rPr>
          <w:rFonts w:ascii="Times New Roman" w:eastAsia="Times New Roman" w:hAnsi="Times New Roman" w:cs="Times New Roman"/>
          <w:iCs/>
          <w:sz w:val="28"/>
          <w:szCs w:val="28"/>
          <w:lang w:val="en-US"/>
        </w:rPr>
        <w:t>, Li X</w:t>
      </w:r>
      <w:r w:rsidRPr="007F5722">
        <w:rPr>
          <w:rFonts w:ascii="Times New Roman" w:eastAsia="Times New Roman" w:hAnsi="Times New Roman" w:cs="Times New Roman"/>
          <w:iCs/>
          <w:sz w:val="28"/>
          <w:szCs w:val="28"/>
        </w:rPr>
        <w:t>.</w:t>
      </w:r>
      <w:r w:rsidRPr="007F5722">
        <w:rPr>
          <w:rFonts w:ascii="Times New Roman" w:eastAsia="Times New Roman" w:hAnsi="Times New Roman" w:cs="Times New Roman"/>
          <w:iCs/>
          <w:sz w:val="28"/>
          <w:szCs w:val="28"/>
          <w:lang w:val="en-US"/>
        </w:rPr>
        <w:t>, Kong Q</w:t>
      </w:r>
      <w:r w:rsidRPr="007F5722">
        <w:rPr>
          <w:rFonts w:ascii="Times New Roman" w:eastAsia="Times New Roman" w:hAnsi="Times New Roman" w:cs="Times New Roman"/>
          <w:iCs/>
          <w:sz w:val="28"/>
          <w:szCs w:val="28"/>
        </w:rPr>
        <w:t>.</w:t>
      </w:r>
      <w:r w:rsidRPr="007F5722">
        <w:rPr>
          <w:rFonts w:ascii="Times New Roman" w:eastAsia="Times New Roman" w:hAnsi="Times New Roman" w:cs="Times New Roman"/>
          <w:iCs/>
          <w:sz w:val="28"/>
          <w:szCs w:val="28"/>
          <w:lang w:val="en-US"/>
        </w:rPr>
        <w:t>, Zhou Q. IL-22-producing Th22 cells play a protective role in CVB3-induced chronic myocarditis and dilated cardiomyopathy by inhibiting myocardial fibrosis. </w:t>
      </w:r>
      <w:r w:rsidRPr="007F5722">
        <w:rPr>
          <w:rFonts w:ascii="Times New Roman" w:eastAsia="Times New Roman" w:hAnsi="Times New Roman" w:cs="Times New Roman"/>
          <w:i/>
          <w:iCs/>
          <w:sz w:val="28"/>
          <w:szCs w:val="28"/>
          <w:lang w:val="en-US"/>
        </w:rPr>
        <w:t>Virol J</w:t>
      </w:r>
      <w:r w:rsidRPr="007F5722">
        <w:rPr>
          <w:rFonts w:ascii="Times New Roman" w:eastAsia="Times New Roman" w:hAnsi="Times New Roman" w:cs="Times New Roman"/>
          <w:iCs/>
          <w:sz w:val="28"/>
          <w:szCs w:val="28"/>
          <w:lang w:val="en-US"/>
        </w:rPr>
        <w:t>. 2014</w:t>
      </w:r>
      <w:r w:rsidRPr="007F5722">
        <w:rPr>
          <w:rFonts w:ascii="Times New Roman" w:eastAsia="Times New Roman" w:hAnsi="Times New Roman" w:cs="Times New Roman"/>
          <w:iCs/>
          <w:sz w:val="28"/>
          <w:szCs w:val="28"/>
        </w:rPr>
        <w:t>;</w:t>
      </w:r>
      <w:r w:rsidRPr="007F5722">
        <w:rPr>
          <w:rFonts w:ascii="Times New Roman" w:eastAsia="Times New Roman" w:hAnsi="Times New Roman" w:cs="Times New Roman"/>
          <w:iCs/>
          <w:sz w:val="28"/>
          <w:szCs w:val="28"/>
          <w:lang w:val="en-US"/>
        </w:rPr>
        <w:t xml:space="preserve"> Dec 30;11:230. doi: 10.1186/s12985-014-0230-z. PMID: 25547181; PMCID: PMC4304148.</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rPr>
        <w:t xml:space="preserve">The effect of interleukin-22 on the inflammatory properties of human aortic smooth muscle cells </w:t>
      </w:r>
      <w:r w:rsidRPr="007F5722">
        <w:rPr>
          <w:rFonts w:ascii="Times New Roman" w:eastAsia="Times New Roman" w:hAnsi="Times New Roman" w:cs="Times New Roman"/>
          <w:iCs/>
          <w:sz w:val="28"/>
          <w:szCs w:val="28"/>
          <w:lang w:val="en-US"/>
        </w:rPr>
        <w:t>Gorzelak, P. et al.</w:t>
      </w:r>
      <w:r w:rsidRPr="007F5722">
        <w:rPr>
          <w:rFonts w:ascii="Times New Roman" w:eastAsia="Times New Roman" w:hAnsi="Times New Roman" w:cs="Times New Roman"/>
          <w:sz w:val="28"/>
          <w:szCs w:val="28"/>
          <w:lang w:val="en-US"/>
        </w:rPr>
        <w:t xml:space="preserve"> </w:t>
      </w:r>
      <w:r w:rsidRPr="007F5722">
        <w:rPr>
          <w:rFonts w:ascii="Times New Roman" w:eastAsia="Times New Roman" w:hAnsi="Times New Roman" w:cs="Times New Roman"/>
          <w:i/>
          <w:iCs/>
          <w:sz w:val="28"/>
          <w:szCs w:val="28"/>
          <w:lang w:val="en-US"/>
        </w:rPr>
        <w:t>Atherosclerosi</w:t>
      </w:r>
      <w:r w:rsidRPr="007F5722">
        <w:rPr>
          <w:rFonts w:ascii="Times New Roman" w:eastAsia="Times New Roman" w:hAnsi="Times New Roman" w:cs="Times New Roman"/>
          <w:i/>
          <w:iCs/>
          <w:sz w:val="28"/>
          <w:szCs w:val="28"/>
        </w:rPr>
        <w:t>.</w:t>
      </w:r>
      <w:r w:rsidRPr="007F5722">
        <w:rPr>
          <w:rFonts w:ascii="Times New Roman" w:eastAsia="Times New Roman" w:hAnsi="Times New Roman" w:cs="Times New Roman"/>
          <w:iCs/>
          <w:sz w:val="28"/>
          <w:szCs w:val="28"/>
          <w:lang w:val="en-US"/>
        </w:rPr>
        <w:t xml:space="preserve"> 235</w:t>
      </w:r>
      <w:r w:rsidRPr="007F5722">
        <w:rPr>
          <w:rFonts w:ascii="Times New Roman" w:eastAsia="Times New Roman" w:hAnsi="Times New Roman" w:cs="Times New Roman"/>
          <w:iCs/>
          <w:sz w:val="28"/>
          <w:szCs w:val="28"/>
        </w:rPr>
        <w:t>:</w:t>
      </w:r>
      <w:r w:rsidRPr="007F5722">
        <w:rPr>
          <w:rFonts w:ascii="Times New Roman" w:eastAsia="Times New Roman" w:hAnsi="Times New Roman" w:cs="Times New Roman"/>
          <w:iCs/>
          <w:sz w:val="28"/>
          <w:szCs w:val="28"/>
          <w:lang w:val="en-US"/>
        </w:rPr>
        <w:t xml:space="preserve"> Issue 2, e89.</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bCs/>
          <w:iCs/>
          <w:sz w:val="28"/>
          <w:szCs w:val="28"/>
        </w:rPr>
        <w:t>Jing Ye.,</w:t>
      </w:r>
      <w:r w:rsidRPr="007F5722">
        <w:rPr>
          <w:rFonts w:ascii="Times New Roman" w:eastAsia="Times New Roman" w:hAnsi="Times New Roman" w:cs="Times New Roman"/>
          <w:iCs/>
          <w:sz w:val="28"/>
          <w:szCs w:val="28"/>
        </w:rPr>
        <w:t> </w:t>
      </w:r>
      <w:r w:rsidRPr="007F5722">
        <w:rPr>
          <w:rFonts w:ascii="Times New Roman" w:eastAsia="Times New Roman" w:hAnsi="Times New Roman" w:cs="Times New Roman"/>
          <w:bCs/>
          <w:iCs/>
          <w:sz w:val="28"/>
          <w:szCs w:val="28"/>
        </w:rPr>
        <w:t>Qingwei Ji.,</w:t>
      </w:r>
      <w:r w:rsidRPr="007F5722">
        <w:rPr>
          <w:rFonts w:ascii="Times New Roman" w:eastAsia="Times New Roman" w:hAnsi="Times New Roman" w:cs="Times New Roman"/>
          <w:iCs/>
          <w:sz w:val="28"/>
          <w:szCs w:val="28"/>
        </w:rPr>
        <w:t> </w:t>
      </w:r>
      <w:r w:rsidRPr="007F5722">
        <w:rPr>
          <w:rFonts w:ascii="Times New Roman" w:eastAsia="Times New Roman" w:hAnsi="Times New Roman" w:cs="Times New Roman"/>
          <w:bCs/>
          <w:iCs/>
          <w:sz w:val="28"/>
          <w:szCs w:val="28"/>
        </w:rPr>
        <w:t>Jianfang Liu,</w:t>
      </w:r>
      <w:r w:rsidRPr="007F5722">
        <w:rPr>
          <w:rFonts w:ascii="Times New Roman" w:eastAsia="Times New Roman" w:hAnsi="Times New Roman" w:cs="Times New Roman"/>
          <w:iCs/>
          <w:sz w:val="28"/>
          <w:szCs w:val="28"/>
        </w:rPr>
        <w:t> </w:t>
      </w:r>
      <w:r w:rsidRPr="007F5722">
        <w:rPr>
          <w:rFonts w:ascii="Times New Roman" w:eastAsia="Times New Roman" w:hAnsi="Times New Roman" w:cs="Times New Roman"/>
          <w:bCs/>
          <w:iCs/>
          <w:sz w:val="28"/>
          <w:szCs w:val="28"/>
        </w:rPr>
        <w:t>Ling Liu.,</w:t>
      </w:r>
      <w:r w:rsidRPr="007F5722">
        <w:rPr>
          <w:rFonts w:ascii="Times New Roman" w:eastAsia="Times New Roman" w:hAnsi="Times New Roman" w:cs="Times New Roman"/>
          <w:iCs/>
          <w:sz w:val="28"/>
          <w:szCs w:val="28"/>
        </w:rPr>
        <w:t> </w:t>
      </w:r>
      <w:r w:rsidRPr="007F5722">
        <w:rPr>
          <w:rFonts w:ascii="Times New Roman" w:eastAsia="Times New Roman" w:hAnsi="Times New Roman" w:cs="Times New Roman"/>
          <w:bCs/>
          <w:iCs/>
          <w:sz w:val="28"/>
          <w:szCs w:val="28"/>
        </w:rPr>
        <w:t>Ying Huang.,</w:t>
      </w:r>
      <w:r w:rsidRPr="007F5722">
        <w:rPr>
          <w:rFonts w:ascii="Times New Roman" w:eastAsia="Times New Roman" w:hAnsi="Times New Roman" w:cs="Times New Roman"/>
          <w:iCs/>
          <w:sz w:val="28"/>
          <w:szCs w:val="28"/>
        </w:rPr>
        <w:t> </w:t>
      </w:r>
      <w:r w:rsidRPr="007F5722">
        <w:rPr>
          <w:rFonts w:ascii="Times New Roman" w:eastAsia="Times New Roman" w:hAnsi="Times New Roman" w:cs="Times New Roman"/>
          <w:bCs/>
          <w:iCs/>
          <w:sz w:val="28"/>
          <w:szCs w:val="28"/>
        </w:rPr>
        <w:t>Ying Shi.,</w:t>
      </w:r>
      <w:r w:rsidRPr="007F5722">
        <w:rPr>
          <w:rFonts w:ascii="Times New Roman" w:eastAsia="Times New Roman" w:hAnsi="Times New Roman" w:cs="Times New Roman"/>
          <w:iCs/>
          <w:sz w:val="28"/>
          <w:szCs w:val="28"/>
        </w:rPr>
        <w:t> </w:t>
      </w:r>
      <w:r w:rsidRPr="007F5722">
        <w:rPr>
          <w:rFonts w:ascii="Times New Roman" w:eastAsia="Times New Roman" w:hAnsi="Times New Roman" w:cs="Times New Roman"/>
          <w:bCs/>
          <w:iCs/>
          <w:sz w:val="28"/>
          <w:szCs w:val="28"/>
        </w:rPr>
        <w:t>Lei Shi.,</w:t>
      </w:r>
      <w:r w:rsidRPr="007F5722">
        <w:rPr>
          <w:rFonts w:ascii="Times New Roman" w:eastAsia="Times New Roman" w:hAnsi="Times New Roman" w:cs="Times New Roman"/>
          <w:iCs/>
          <w:sz w:val="28"/>
          <w:szCs w:val="28"/>
        </w:rPr>
        <w:t> </w:t>
      </w:r>
      <w:r w:rsidRPr="007F5722">
        <w:rPr>
          <w:rFonts w:ascii="Times New Roman" w:eastAsia="Times New Roman" w:hAnsi="Times New Roman" w:cs="Times New Roman"/>
          <w:bCs/>
          <w:iCs/>
          <w:sz w:val="28"/>
          <w:szCs w:val="28"/>
        </w:rPr>
        <w:t>Menglong Wang,</w:t>
      </w:r>
      <w:r w:rsidRPr="007F5722">
        <w:rPr>
          <w:rFonts w:ascii="Times New Roman" w:eastAsia="Times New Roman" w:hAnsi="Times New Roman" w:cs="Times New Roman"/>
          <w:iCs/>
          <w:sz w:val="28"/>
          <w:szCs w:val="28"/>
        </w:rPr>
        <w:t> </w:t>
      </w:r>
      <w:r w:rsidRPr="007F5722">
        <w:rPr>
          <w:rFonts w:ascii="Times New Roman" w:eastAsia="Times New Roman" w:hAnsi="Times New Roman" w:cs="Times New Roman"/>
          <w:bCs/>
          <w:iCs/>
          <w:sz w:val="28"/>
          <w:szCs w:val="28"/>
        </w:rPr>
        <w:t>Mengling Liu,</w:t>
      </w:r>
      <w:r w:rsidRPr="007F5722">
        <w:rPr>
          <w:rFonts w:ascii="Times New Roman" w:eastAsia="Times New Roman" w:hAnsi="Times New Roman" w:cs="Times New Roman"/>
          <w:iCs/>
          <w:sz w:val="28"/>
          <w:szCs w:val="28"/>
        </w:rPr>
        <w:t> </w:t>
      </w:r>
      <w:r w:rsidRPr="007F5722">
        <w:rPr>
          <w:rFonts w:ascii="Times New Roman" w:eastAsia="Times New Roman" w:hAnsi="Times New Roman" w:cs="Times New Roman"/>
          <w:bCs/>
          <w:iCs/>
          <w:sz w:val="28"/>
          <w:szCs w:val="28"/>
        </w:rPr>
        <w:t>Ying Feng,</w:t>
      </w:r>
      <w:r w:rsidRPr="007F5722">
        <w:rPr>
          <w:rFonts w:ascii="Times New Roman" w:eastAsia="Times New Roman" w:hAnsi="Times New Roman" w:cs="Times New Roman"/>
          <w:iCs/>
          <w:sz w:val="28"/>
          <w:szCs w:val="28"/>
        </w:rPr>
        <w:t> </w:t>
      </w:r>
      <w:r w:rsidRPr="007F5722">
        <w:rPr>
          <w:rFonts w:ascii="Times New Roman" w:eastAsia="Times New Roman" w:hAnsi="Times New Roman" w:cs="Times New Roman"/>
          <w:bCs/>
          <w:iCs/>
          <w:sz w:val="28"/>
          <w:szCs w:val="28"/>
        </w:rPr>
        <w:t>Huimin Jiang,</w:t>
      </w:r>
      <w:r w:rsidRPr="007F5722">
        <w:rPr>
          <w:rFonts w:ascii="Times New Roman" w:eastAsia="Times New Roman" w:hAnsi="Times New Roman" w:cs="Times New Roman"/>
          <w:iCs/>
          <w:sz w:val="28"/>
          <w:szCs w:val="28"/>
        </w:rPr>
        <w:t> </w:t>
      </w:r>
      <w:r w:rsidRPr="007F5722">
        <w:rPr>
          <w:rFonts w:ascii="Times New Roman" w:eastAsia="Times New Roman" w:hAnsi="Times New Roman" w:cs="Times New Roman"/>
          <w:bCs/>
          <w:iCs/>
          <w:sz w:val="28"/>
          <w:szCs w:val="28"/>
        </w:rPr>
        <w:t>Yao Xu,</w:t>
      </w:r>
      <w:r w:rsidRPr="007F5722">
        <w:rPr>
          <w:rFonts w:ascii="Times New Roman" w:eastAsia="Times New Roman" w:hAnsi="Times New Roman" w:cs="Times New Roman"/>
          <w:iCs/>
          <w:sz w:val="28"/>
          <w:szCs w:val="28"/>
        </w:rPr>
        <w:t> </w:t>
      </w:r>
      <w:r w:rsidRPr="007F5722">
        <w:rPr>
          <w:rFonts w:ascii="Times New Roman" w:eastAsia="Times New Roman" w:hAnsi="Times New Roman" w:cs="Times New Roman"/>
          <w:bCs/>
          <w:iCs/>
          <w:sz w:val="28"/>
          <w:szCs w:val="28"/>
        </w:rPr>
        <w:t>Zhen Wang,</w:t>
      </w:r>
      <w:r w:rsidRPr="007F5722">
        <w:rPr>
          <w:rFonts w:ascii="Times New Roman" w:eastAsia="Times New Roman" w:hAnsi="Times New Roman" w:cs="Times New Roman"/>
          <w:iCs/>
          <w:sz w:val="28"/>
          <w:szCs w:val="28"/>
        </w:rPr>
        <w:t> </w:t>
      </w:r>
      <w:r w:rsidRPr="007F5722">
        <w:rPr>
          <w:rFonts w:ascii="Times New Roman" w:eastAsia="Times New Roman" w:hAnsi="Times New Roman" w:cs="Times New Roman"/>
          <w:bCs/>
          <w:iCs/>
          <w:sz w:val="28"/>
          <w:szCs w:val="28"/>
        </w:rPr>
        <w:t>Junlong Song,</w:t>
      </w:r>
      <w:r w:rsidRPr="007F5722">
        <w:rPr>
          <w:rFonts w:ascii="Times New Roman" w:eastAsia="Times New Roman" w:hAnsi="Times New Roman" w:cs="Times New Roman"/>
          <w:iCs/>
          <w:sz w:val="28"/>
          <w:szCs w:val="28"/>
        </w:rPr>
        <w:t> </w:t>
      </w:r>
      <w:r w:rsidRPr="007F5722">
        <w:rPr>
          <w:rFonts w:ascii="Times New Roman" w:eastAsia="Times New Roman" w:hAnsi="Times New Roman" w:cs="Times New Roman"/>
          <w:bCs/>
          <w:iCs/>
          <w:sz w:val="28"/>
          <w:szCs w:val="28"/>
        </w:rPr>
        <w:t>Yingzhong Lin,</w:t>
      </w:r>
      <w:r w:rsidRPr="007F5722">
        <w:rPr>
          <w:rFonts w:ascii="Times New Roman" w:eastAsia="Times New Roman" w:hAnsi="Times New Roman" w:cs="Times New Roman"/>
          <w:iCs/>
          <w:sz w:val="28"/>
          <w:szCs w:val="28"/>
        </w:rPr>
        <w:t> </w:t>
      </w:r>
      <w:r w:rsidRPr="007F5722">
        <w:rPr>
          <w:rFonts w:ascii="Times New Roman" w:eastAsia="Times New Roman" w:hAnsi="Times New Roman" w:cs="Times New Roman"/>
          <w:bCs/>
          <w:iCs/>
          <w:sz w:val="28"/>
          <w:szCs w:val="28"/>
        </w:rPr>
        <w:t>Jun Wan. Interleukin</w:t>
      </w:r>
      <w:r w:rsidRPr="007F5722">
        <w:rPr>
          <w:rFonts w:ascii="Times New Roman" w:eastAsia="Times New Roman" w:hAnsi="Times New Roman" w:cs="Times New Roman"/>
          <w:bCs/>
          <w:iCs/>
          <w:sz w:val="28"/>
          <w:szCs w:val="28"/>
          <w:lang w:val="en-US"/>
        </w:rPr>
        <w:t xml:space="preserve"> 22 </w:t>
      </w:r>
      <w:r w:rsidRPr="007F5722">
        <w:rPr>
          <w:rFonts w:ascii="Times New Roman" w:eastAsia="Times New Roman" w:hAnsi="Times New Roman" w:cs="Times New Roman"/>
          <w:bCs/>
          <w:iCs/>
          <w:sz w:val="28"/>
          <w:szCs w:val="28"/>
        </w:rPr>
        <w:t>Promotes</w:t>
      </w:r>
      <w:r w:rsidRPr="007F5722">
        <w:rPr>
          <w:rFonts w:ascii="Times New Roman" w:eastAsia="Times New Roman" w:hAnsi="Times New Roman" w:cs="Times New Roman"/>
          <w:bCs/>
          <w:iCs/>
          <w:sz w:val="28"/>
          <w:szCs w:val="28"/>
          <w:lang w:val="en-US"/>
        </w:rPr>
        <w:t xml:space="preserve"> </w:t>
      </w:r>
      <w:r w:rsidRPr="007F5722">
        <w:rPr>
          <w:rFonts w:ascii="Times New Roman" w:eastAsia="Times New Roman" w:hAnsi="Times New Roman" w:cs="Times New Roman"/>
          <w:bCs/>
          <w:iCs/>
          <w:sz w:val="28"/>
          <w:szCs w:val="28"/>
        </w:rPr>
        <w:t>Blood</w:t>
      </w:r>
      <w:r w:rsidRPr="007F5722">
        <w:rPr>
          <w:rFonts w:ascii="Times New Roman" w:eastAsia="Times New Roman" w:hAnsi="Times New Roman" w:cs="Times New Roman"/>
          <w:bCs/>
          <w:iCs/>
          <w:sz w:val="28"/>
          <w:szCs w:val="28"/>
          <w:lang w:val="en-US"/>
        </w:rPr>
        <w:t xml:space="preserve"> </w:t>
      </w:r>
      <w:r w:rsidRPr="007F5722">
        <w:rPr>
          <w:rFonts w:ascii="Times New Roman" w:eastAsia="Times New Roman" w:hAnsi="Times New Roman" w:cs="Times New Roman"/>
          <w:bCs/>
          <w:iCs/>
          <w:sz w:val="28"/>
          <w:szCs w:val="28"/>
        </w:rPr>
        <w:t>Pressure</w:t>
      </w:r>
      <w:r w:rsidRPr="007F5722">
        <w:rPr>
          <w:rFonts w:ascii="Times New Roman" w:eastAsia="Times New Roman" w:hAnsi="Times New Roman" w:cs="Times New Roman"/>
          <w:bCs/>
          <w:iCs/>
          <w:sz w:val="28"/>
          <w:szCs w:val="28"/>
          <w:lang w:val="en-US"/>
        </w:rPr>
        <w:t xml:space="preserve"> </w:t>
      </w:r>
      <w:r w:rsidRPr="007F5722">
        <w:rPr>
          <w:rFonts w:ascii="Times New Roman" w:eastAsia="Times New Roman" w:hAnsi="Times New Roman" w:cs="Times New Roman"/>
          <w:bCs/>
          <w:iCs/>
          <w:sz w:val="28"/>
          <w:szCs w:val="28"/>
        </w:rPr>
        <w:t>Elevation</w:t>
      </w:r>
      <w:r w:rsidRPr="007F5722">
        <w:rPr>
          <w:rFonts w:ascii="Times New Roman" w:eastAsia="Times New Roman" w:hAnsi="Times New Roman" w:cs="Times New Roman"/>
          <w:bCs/>
          <w:iCs/>
          <w:sz w:val="28"/>
          <w:szCs w:val="28"/>
          <w:lang w:val="en-US"/>
        </w:rPr>
        <w:t xml:space="preserve"> </w:t>
      </w:r>
      <w:r w:rsidRPr="007F5722">
        <w:rPr>
          <w:rFonts w:ascii="Times New Roman" w:eastAsia="Times New Roman" w:hAnsi="Times New Roman" w:cs="Times New Roman"/>
          <w:bCs/>
          <w:iCs/>
          <w:sz w:val="28"/>
          <w:szCs w:val="28"/>
        </w:rPr>
        <w:t>and</w:t>
      </w:r>
      <w:r w:rsidRPr="007F5722">
        <w:rPr>
          <w:rFonts w:ascii="Times New Roman" w:eastAsia="Times New Roman" w:hAnsi="Times New Roman" w:cs="Times New Roman"/>
          <w:bCs/>
          <w:iCs/>
          <w:sz w:val="28"/>
          <w:szCs w:val="28"/>
          <w:lang w:val="en-US"/>
        </w:rPr>
        <w:t xml:space="preserve"> </w:t>
      </w:r>
      <w:r w:rsidRPr="007F5722">
        <w:rPr>
          <w:rFonts w:ascii="Times New Roman" w:eastAsia="Times New Roman" w:hAnsi="Times New Roman" w:cs="Times New Roman"/>
          <w:bCs/>
          <w:iCs/>
          <w:sz w:val="28"/>
          <w:szCs w:val="28"/>
        </w:rPr>
        <w:t>Endothelial</w:t>
      </w:r>
      <w:r w:rsidRPr="007F5722">
        <w:rPr>
          <w:rFonts w:ascii="Times New Roman" w:eastAsia="Times New Roman" w:hAnsi="Times New Roman" w:cs="Times New Roman"/>
          <w:bCs/>
          <w:iCs/>
          <w:sz w:val="28"/>
          <w:szCs w:val="28"/>
          <w:lang w:val="en-US"/>
        </w:rPr>
        <w:t xml:space="preserve"> </w:t>
      </w:r>
      <w:r w:rsidRPr="007F5722">
        <w:rPr>
          <w:rFonts w:ascii="Times New Roman" w:eastAsia="Times New Roman" w:hAnsi="Times New Roman" w:cs="Times New Roman"/>
          <w:bCs/>
          <w:iCs/>
          <w:sz w:val="28"/>
          <w:szCs w:val="28"/>
        </w:rPr>
        <w:t>Dysfunction</w:t>
      </w:r>
      <w:r w:rsidRPr="007F5722">
        <w:rPr>
          <w:rFonts w:ascii="Times New Roman" w:eastAsia="Times New Roman" w:hAnsi="Times New Roman" w:cs="Times New Roman"/>
          <w:bCs/>
          <w:iCs/>
          <w:sz w:val="28"/>
          <w:szCs w:val="28"/>
          <w:lang w:val="en-US"/>
        </w:rPr>
        <w:t xml:space="preserve"> </w:t>
      </w:r>
      <w:r w:rsidRPr="007F5722">
        <w:rPr>
          <w:rFonts w:ascii="Times New Roman" w:eastAsia="Times New Roman" w:hAnsi="Times New Roman" w:cs="Times New Roman"/>
          <w:bCs/>
          <w:iCs/>
          <w:sz w:val="28"/>
          <w:szCs w:val="28"/>
        </w:rPr>
        <w:t>in</w:t>
      </w:r>
      <w:r w:rsidRPr="007F5722">
        <w:rPr>
          <w:rFonts w:ascii="Times New Roman" w:eastAsia="Times New Roman" w:hAnsi="Times New Roman" w:cs="Times New Roman"/>
          <w:bCs/>
          <w:iCs/>
          <w:sz w:val="28"/>
          <w:szCs w:val="28"/>
          <w:lang w:val="en-US"/>
        </w:rPr>
        <w:t xml:space="preserve"> </w:t>
      </w:r>
      <w:r w:rsidRPr="007F5722">
        <w:rPr>
          <w:rFonts w:ascii="Times New Roman" w:eastAsia="Times New Roman" w:hAnsi="Times New Roman" w:cs="Times New Roman"/>
          <w:bCs/>
          <w:iCs/>
          <w:sz w:val="28"/>
          <w:szCs w:val="28"/>
        </w:rPr>
        <w:t>Angiotensin</w:t>
      </w:r>
      <w:r w:rsidRPr="007F5722">
        <w:rPr>
          <w:rFonts w:ascii="Times New Roman" w:eastAsia="Times New Roman" w:hAnsi="Times New Roman" w:cs="Times New Roman"/>
          <w:bCs/>
          <w:iCs/>
          <w:sz w:val="28"/>
          <w:szCs w:val="28"/>
          <w:lang w:val="en-US"/>
        </w:rPr>
        <w:t xml:space="preserve"> </w:t>
      </w:r>
      <w:r w:rsidRPr="007F5722">
        <w:rPr>
          <w:rFonts w:ascii="Times New Roman" w:eastAsia="Times New Roman" w:hAnsi="Times New Roman" w:cs="Times New Roman"/>
          <w:bCs/>
          <w:iCs/>
          <w:sz w:val="28"/>
          <w:szCs w:val="28"/>
        </w:rPr>
        <w:t>II</w:t>
      </w:r>
      <w:r w:rsidRPr="007F5722">
        <w:rPr>
          <w:rFonts w:ascii="Times New Roman" w:eastAsia="Times New Roman" w:hAnsi="Times New Roman" w:cs="Times New Roman"/>
          <w:bCs/>
          <w:iCs/>
          <w:sz w:val="28"/>
          <w:szCs w:val="28"/>
          <w:lang w:val="en-US"/>
        </w:rPr>
        <w:t>–</w:t>
      </w:r>
      <w:r w:rsidRPr="007F5722">
        <w:rPr>
          <w:rFonts w:ascii="Times New Roman" w:eastAsia="Times New Roman" w:hAnsi="Times New Roman" w:cs="Times New Roman"/>
          <w:bCs/>
          <w:iCs/>
          <w:sz w:val="28"/>
          <w:szCs w:val="28"/>
        </w:rPr>
        <w:t>Treated</w:t>
      </w:r>
      <w:r w:rsidRPr="007F5722">
        <w:rPr>
          <w:rFonts w:ascii="Times New Roman" w:eastAsia="Times New Roman" w:hAnsi="Times New Roman" w:cs="Times New Roman"/>
          <w:bCs/>
          <w:iCs/>
          <w:sz w:val="28"/>
          <w:szCs w:val="28"/>
          <w:lang w:val="en-US"/>
        </w:rPr>
        <w:t xml:space="preserve"> </w:t>
      </w:r>
      <w:r w:rsidRPr="007F5722">
        <w:rPr>
          <w:rFonts w:ascii="Times New Roman" w:eastAsia="Times New Roman" w:hAnsi="Times New Roman" w:cs="Times New Roman"/>
          <w:bCs/>
          <w:iCs/>
          <w:sz w:val="28"/>
          <w:szCs w:val="28"/>
        </w:rPr>
        <w:t>Mice</w:t>
      </w:r>
      <w:r w:rsidRPr="007F5722">
        <w:rPr>
          <w:rFonts w:ascii="Times New Roman" w:eastAsia="Times New Roman" w:hAnsi="Times New Roman" w:cs="Times New Roman"/>
          <w:iCs/>
          <w:sz w:val="28"/>
          <w:szCs w:val="28"/>
          <w:lang w:val="en-US"/>
        </w:rPr>
        <w:t xml:space="preserve">. </w:t>
      </w:r>
      <w:r w:rsidRPr="007F5722">
        <w:rPr>
          <w:rFonts w:ascii="Times New Roman" w:eastAsia="Times New Roman" w:hAnsi="Times New Roman" w:cs="Times New Roman"/>
          <w:i/>
          <w:iCs/>
          <w:sz w:val="28"/>
          <w:szCs w:val="28"/>
          <w:lang w:val="en-US"/>
        </w:rPr>
        <w:t>Journal of the American Heart Association</w:t>
      </w:r>
      <w:r w:rsidRPr="007F5722">
        <w:rPr>
          <w:rFonts w:ascii="Times New Roman" w:eastAsia="Times New Roman" w:hAnsi="Times New Roman" w:cs="Times New Roman"/>
          <w:iCs/>
          <w:sz w:val="28"/>
          <w:szCs w:val="28"/>
          <w:lang w:val="en-US"/>
        </w:rPr>
        <w:t>. 2017;6:e005875.</w:t>
      </w:r>
    </w:p>
    <w:p w:rsidR="007F5722" w:rsidRPr="007F5722" w:rsidRDefault="007F5722" w:rsidP="007F5722">
      <w:pPr>
        <w:pStyle w:val="a8"/>
        <w:numPr>
          <w:ilvl w:val="0"/>
          <w:numId w:val="25"/>
        </w:numPr>
        <w:spacing w:after="0" w:line="360" w:lineRule="auto"/>
        <w:ind w:left="0" w:firstLine="357"/>
        <w:jc w:val="both"/>
        <w:rPr>
          <w:rStyle w:val="cit-lpage"/>
          <w:rFonts w:ascii="Times New Roman" w:hAnsi="Times New Roman" w:cs="Times New Roman"/>
          <w:sz w:val="28"/>
          <w:szCs w:val="28"/>
        </w:rPr>
      </w:pPr>
      <w:r w:rsidRPr="007F5722">
        <w:rPr>
          <w:rStyle w:val="cit-name-surname"/>
          <w:rFonts w:ascii="Times New Roman" w:eastAsia="Times New Roman" w:hAnsi="Times New Roman" w:cs="Times New Roman"/>
          <w:sz w:val="28"/>
          <w:szCs w:val="28"/>
          <w:lang w:val="en-US"/>
        </w:rPr>
        <w:t>Itani</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H</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A</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McMaster</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W</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J</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Saleh</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M</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A</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Nazarewicz</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R</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R</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Mikolajczyk</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T</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P</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rPr>
        <w:t>,</w:t>
      </w:r>
      <w:r w:rsidRPr="007F5722">
        <w:rPr>
          <w:rStyle w:val="cit-name-surname"/>
          <w:rFonts w:ascii="Times New Roman" w:eastAsia="Times New Roman" w:hAnsi="Times New Roman" w:cs="Times New Roman"/>
          <w:sz w:val="28"/>
          <w:szCs w:val="28"/>
          <w:lang w:val="en-US"/>
        </w:rPr>
        <w:t>Kaszuba</w:t>
      </w:r>
      <w:r w:rsidRPr="007F5722">
        <w:rPr>
          <w:rStyle w:val="cit-auth"/>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A</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M</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rPr>
        <w:t>,</w:t>
      </w:r>
      <w:r w:rsidRPr="007F5722">
        <w:rPr>
          <w:rStyle w:val="apple-converted-space"/>
          <w:rFonts w:ascii="Times New Roman" w:eastAsia="Times New Roman" w:hAnsi="Times New Roman" w:cs="Times New Roman"/>
          <w:sz w:val="28"/>
          <w:szCs w:val="28"/>
        </w:rPr>
        <w:t xml:space="preserve"> </w:t>
      </w:r>
      <w:r w:rsidRPr="007F5722">
        <w:rPr>
          <w:rStyle w:val="cit-name-surname"/>
          <w:rFonts w:ascii="Times New Roman" w:eastAsia="Times New Roman" w:hAnsi="Times New Roman" w:cs="Times New Roman"/>
          <w:sz w:val="28"/>
          <w:szCs w:val="28"/>
          <w:lang w:val="en-US"/>
        </w:rPr>
        <w:t>Konior</w:t>
      </w:r>
      <w:r w:rsidRPr="007F5722">
        <w:rPr>
          <w:rStyle w:val="cit-auth"/>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A</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rPr>
        <w:t>,</w:t>
      </w:r>
      <w:r w:rsidRPr="007F5722">
        <w:rPr>
          <w:rStyle w:val="apple-converted-space"/>
          <w:rFonts w:ascii="Times New Roman" w:eastAsia="Times New Roman" w:hAnsi="Times New Roman" w:cs="Times New Roman"/>
          <w:sz w:val="28"/>
          <w:szCs w:val="28"/>
        </w:rPr>
        <w:t xml:space="preserve"> </w:t>
      </w:r>
      <w:r w:rsidRPr="007F5722">
        <w:rPr>
          <w:rStyle w:val="cit-name-surname"/>
          <w:rFonts w:ascii="Times New Roman" w:eastAsia="Times New Roman" w:hAnsi="Times New Roman" w:cs="Times New Roman"/>
          <w:sz w:val="28"/>
          <w:szCs w:val="28"/>
          <w:lang w:val="en-US"/>
        </w:rPr>
        <w:t>Prejbisz</w:t>
      </w:r>
      <w:r w:rsidRPr="007F5722">
        <w:rPr>
          <w:rStyle w:val="cit-auth"/>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A</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rPr>
        <w:t>,</w:t>
      </w:r>
      <w:r w:rsidRPr="007F5722">
        <w:rPr>
          <w:rStyle w:val="apple-converted-space"/>
          <w:rFonts w:ascii="Times New Roman" w:eastAsia="Times New Roman" w:hAnsi="Times New Roman" w:cs="Times New Roman"/>
          <w:sz w:val="28"/>
          <w:szCs w:val="28"/>
        </w:rPr>
        <w:t xml:space="preserve"> </w:t>
      </w:r>
      <w:r w:rsidRPr="007F5722">
        <w:rPr>
          <w:rStyle w:val="cit-name-surname"/>
          <w:rFonts w:ascii="Times New Roman" w:eastAsia="Times New Roman" w:hAnsi="Times New Roman" w:cs="Times New Roman"/>
          <w:sz w:val="28"/>
          <w:szCs w:val="28"/>
          <w:lang w:val="en-US"/>
        </w:rPr>
        <w:t>Januszewicz</w:t>
      </w:r>
      <w:r w:rsidRPr="007F5722">
        <w:rPr>
          <w:rStyle w:val="cit-name-surname"/>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A</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rPr>
        <w:t>,</w:t>
      </w:r>
      <w:r w:rsidRPr="007F5722">
        <w:rPr>
          <w:rStyle w:val="apple-converted-space"/>
          <w:rFonts w:ascii="Times New Roman" w:eastAsia="Times New Roman" w:hAnsi="Times New Roman" w:cs="Times New Roman"/>
          <w:sz w:val="28"/>
          <w:szCs w:val="28"/>
        </w:rPr>
        <w:t xml:space="preserve"> </w:t>
      </w:r>
      <w:r w:rsidRPr="007F5722">
        <w:rPr>
          <w:rStyle w:val="cit-name-surname"/>
          <w:rFonts w:ascii="Times New Roman" w:eastAsia="Times New Roman" w:hAnsi="Times New Roman" w:cs="Times New Roman"/>
          <w:sz w:val="28"/>
          <w:szCs w:val="28"/>
          <w:lang w:val="en-US"/>
        </w:rPr>
        <w:t>Norlander</w:t>
      </w:r>
      <w:r w:rsidRPr="007F5722">
        <w:rPr>
          <w:rStyle w:val="apple-converted-space"/>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A</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E</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rPr>
        <w:t>,</w:t>
      </w:r>
      <w:r w:rsidRPr="007F5722">
        <w:rPr>
          <w:rStyle w:val="cit-name-surname"/>
          <w:rFonts w:ascii="Times New Roman" w:eastAsia="Times New Roman" w:hAnsi="Times New Roman" w:cs="Times New Roman"/>
          <w:sz w:val="28"/>
          <w:szCs w:val="28"/>
          <w:lang w:val="en-US"/>
        </w:rPr>
        <w:t>Chen</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W</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Bonami</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R</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H</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Marshall</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A</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F</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Poffenberger</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G</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Weyand</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C</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M</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Madhur</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M</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S</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Moore</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D</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J</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Harrison</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D</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G</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Guzik</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T</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J</w:t>
      </w:r>
      <w:r w:rsidRPr="007F5722">
        <w:rPr>
          <w:rStyle w:val="cit-name-given-names"/>
          <w:rFonts w:ascii="Times New Roman" w:eastAsia="Times New Roman" w:hAnsi="Times New Roman" w:cs="Times New Roman"/>
          <w:sz w:val="28"/>
          <w:szCs w:val="28"/>
        </w:rPr>
        <w:t xml:space="preserve"> </w:t>
      </w:r>
      <w:r w:rsidRPr="007F5722">
        <w:rPr>
          <w:rStyle w:val="HTML"/>
          <w:rFonts w:ascii="Times New Roman" w:eastAsia="Times New Roman" w:hAnsi="Times New Roman" w:cs="Times New Roman"/>
          <w:sz w:val="28"/>
          <w:szCs w:val="28"/>
        </w:rPr>
        <w:t>.</w:t>
      </w:r>
      <w:r w:rsidRPr="007F5722">
        <w:rPr>
          <w:rStyle w:val="apple-converted-space"/>
          <w:rFonts w:ascii="Times New Roman" w:eastAsia="Times New Roman" w:hAnsi="Times New Roman" w:cs="Times New Roman"/>
          <w:sz w:val="28"/>
          <w:szCs w:val="28"/>
          <w:lang w:val="en-US"/>
        </w:rPr>
        <w:t> </w:t>
      </w:r>
      <w:r w:rsidRPr="007F5722">
        <w:rPr>
          <w:rStyle w:val="cit-article-title"/>
          <w:rFonts w:ascii="Times New Roman" w:eastAsia="Times New Roman" w:hAnsi="Times New Roman" w:cs="Times New Roman"/>
          <w:sz w:val="28"/>
          <w:szCs w:val="28"/>
          <w:lang w:val="en-US"/>
        </w:rPr>
        <w:t>Activation of human T cells in hypertension: studies of humanized mice and hypertensive humans</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rPr>
        <w:t xml:space="preserve"> </w:t>
      </w:r>
      <w:r w:rsidRPr="007F5722">
        <w:rPr>
          <w:rStyle w:val="HTML"/>
          <w:rFonts w:ascii="Times New Roman" w:eastAsia="Times New Roman" w:hAnsi="Times New Roman" w:cs="Times New Roman"/>
          <w:sz w:val="28"/>
          <w:szCs w:val="28"/>
          <w:lang w:val="en-US"/>
        </w:rPr>
        <w:t>Hypertension.</w:t>
      </w:r>
      <w:r w:rsidRPr="007F5722">
        <w:rPr>
          <w:rStyle w:val="apple-converted-space"/>
          <w:rFonts w:ascii="Times New Roman" w:eastAsia="Times New Roman" w:hAnsi="Times New Roman" w:cs="Times New Roman"/>
          <w:sz w:val="28"/>
          <w:szCs w:val="28"/>
          <w:lang w:val="en-US"/>
        </w:rPr>
        <w:t> </w:t>
      </w:r>
      <w:r w:rsidRPr="007F5722">
        <w:rPr>
          <w:rStyle w:val="cit-pub-date"/>
          <w:rFonts w:ascii="Times New Roman" w:eastAsia="Times New Roman" w:hAnsi="Times New Roman" w:cs="Times New Roman"/>
          <w:sz w:val="28"/>
          <w:szCs w:val="28"/>
          <w:lang w:val="en-US"/>
        </w:rPr>
        <w:t>2016</w:t>
      </w:r>
      <w:r w:rsidRPr="007F5722">
        <w:rPr>
          <w:rStyle w:val="HTML"/>
          <w:rFonts w:ascii="Times New Roman" w:eastAsia="Times New Roman" w:hAnsi="Times New Roman" w:cs="Times New Roman"/>
          <w:sz w:val="28"/>
          <w:szCs w:val="28"/>
          <w:lang w:val="en-US"/>
        </w:rPr>
        <w:t>;</w:t>
      </w:r>
      <w:r w:rsidRPr="007F5722">
        <w:rPr>
          <w:rStyle w:val="cit-vol"/>
          <w:rFonts w:ascii="Times New Roman" w:eastAsia="Times New Roman" w:hAnsi="Times New Roman" w:cs="Times New Roman"/>
          <w:bCs/>
          <w:sz w:val="28"/>
          <w:szCs w:val="28"/>
          <w:lang w:val="en-US"/>
        </w:rPr>
        <w:t>68</w:t>
      </w:r>
      <w:r w:rsidRPr="007F5722">
        <w:rPr>
          <w:rStyle w:val="HTML"/>
          <w:rFonts w:ascii="Times New Roman" w:eastAsia="Times New Roman" w:hAnsi="Times New Roman" w:cs="Times New Roman"/>
          <w:sz w:val="28"/>
          <w:szCs w:val="28"/>
          <w:lang w:val="en-US"/>
        </w:rPr>
        <w:t>:</w:t>
      </w:r>
      <w:r w:rsidRPr="007F5722">
        <w:rPr>
          <w:rStyle w:val="cit-fpage"/>
          <w:rFonts w:ascii="Times New Roman" w:eastAsia="Times New Roman" w:hAnsi="Times New Roman" w:cs="Times New Roman"/>
          <w:sz w:val="28"/>
          <w:szCs w:val="28"/>
          <w:lang w:val="en-US"/>
        </w:rPr>
        <w:t>123</w:t>
      </w:r>
      <w:r w:rsidRPr="007F5722">
        <w:rPr>
          <w:rStyle w:val="HTML"/>
          <w:rFonts w:ascii="Times New Roman" w:eastAsia="Times New Roman" w:hAnsi="Times New Roman" w:cs="Times New Roman"/>
          <w:sz w:val="28"/>
          <w:szCs w:val="28"/>
          <w:lang w:val="en-US"/>
        </w:rPr>
        <w:t>–</w:t>
      </w:r>
      <w:r w:rsidRPr="007F5722">
        <w:rPr>
          <w:rStyle w:val="cit-lpage"/>
          <w:rFonts w:ascii="Times New Roman" w:eastAsia="Times New Roman" w:hAnsi="Times New Roman" w:cs="Times New Roman"/>
          <w:sz w:val="28"/>
          <w:szCs w:val="28"/>
          <w:lang w:val="en-US"/>
        </w:rPr>
        <w:t>132</w:t>
      </w:r>
    </w:p>
    <w:p w:rsidR="007F5722" w:rsidRPr="007F5722" w:rsidRDefault="007F5722" w:rsidP="007F5722">
      <w:pPr>
        <w:pStyle w:val="a8"/>
        <w:numPr>
          <w:ilvl w:val="0"/>
          <w:numId w:val="25"/>
        </w:numPr>
        <w:spacing w:after="0" w:line="360" w:lineRule="auto"/>
        <w:ind w:left="0" w:firstLine="357"/>
        <w:jc w:val="both"/>
        <w:rPr>
          <w:rStyle w:val="HTML"/>
          <w:rFonts w:ascii="Times New Roman" w:hAnsi="Times New Roman" w:cs="Times New Roman"/>
          <w:i w:val="0"/>
          <w:iCs w:val="0"/>
          <w:sz w:val="28"/>
          <w:szCs w:val="28"/>
        </w:rPr>
      </w:pPr>
      <w:r w:rsidRPr="007F5722">
        <w:rPr>
          <w:rStyle w:val="cit-name-surname"/>
          <w:rFonts w:ascii="Times New Roman" w:eastAsia="Times New Roman" w:hAnsi="Times New Roman" w:cs="Times New Roman"/>
          <w:sz w:val="28"/>
          <w:szCs w:val="28"/>
          <w:lang w:val="en-US"/>
        </w:rPr>
        <w:t>Brands</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M</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W</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cit-name-surname"/>
          <w:rFonts w:ascii="Times New Roman" w:eastAsia="Times New Roman" w:hAnsi="Times New Roman" w:cs="Times New Roman"/>
          <w:sz w:val="28"/>
          <w:szCs w:val="28"/>
          <w:lang w:val="en-US"/>
        </w:rPr>
        <w:t xml:space="preserve"> Banes</w:t>
      </w:r>
      <w:r w:rsidRPr="007F5722">
        <w:rPr>
          <w:rStyle w:val="cit-name-surname"/>
          <w:rFonts w:ascii="Cambria Math" w:eastAsia="Times New Roman" w:hAnsi="Cambria Math" w:cs="Cambria Math"/>
          <w:sz w:val="28"/>
          <w:szCs w:val="28"/>
          <w:lang w:val="en-US"/>
        </w:rPr>
        <w:t>‐</w:t>
      </w:r>
      <w:r w:rsidRPr="007F5722">
        <w:rPr>
          <w:rStyle w:val="cit-name-surname"/>
          <w:rFonts w:ascii="Times New Roman" w:eastAsia="Times New Roman" w:hAnsi="Times New Roman" w:cs="Times New Roman"/>
          <w:sz w:val="28"/>
          <w:szCs w:val="28"/>
          <w:lang w:val="en-US"/>
        </w:rPr>
        <w:t>Berceli</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A</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K</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cit-name-surname"/>
          <w:rFonts w:ascii="Times New Roman" w:eastAsia="Times New Roman" w:hAnsi="Times New Roman" w:cs="Times New Roman"/>
          <w:sz w:val="28"/>
          <w:szCs w:val="28"/>
          <w:lang w:val="en-US"/>
        </w:rPr>
        <w:t xml:space="preserve"> Inscho</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E</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W</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cit-name-surname"/>
          <w:rFonts w:ascii="Times New Roman" w:eastAsia="Times New Roman" w:hAnsi="Times New Roman" w:cs="Times New Roman"/>
          <w:sz w:val="28"/>
          <w:szCs w:val="28"/>
          <w:lang w:val="en-US"/>
        </w:rPr>
        <w:t xml:space="preserve"> Al</w:t>
      </w:r>
      <w:r w:rsidRPr="007F5722">
        <w:rPr>
          <w:rStyle w:val="cit-name-surname"/>
          <w:rFonts w:ascii="Cambria Math" w:eastAsia="Times New Roman" w:hAnsi="Cambria Math" w:cs="Cambria Math"/>
          <w:sz w:val="28"/>
          <w:szCs w:val="28"/>
          <w:lang w:val="en-US"/>
        </w:rPr>
        <w:t>‐</w:t>
      </w:r>
      <w:r w:rsidRPr="007F5722">
        <w:rPr>
          <w:rStyle w:val="cit-name-surname"/>
          <w:rFonts w:ascii="Times New Roman" w:eastAsia="Times New Roman" w:hAnsi="Times New Roman" w:cs="Times New Roman"/>
          <w:sz w:val="28"/>
          <w:szCs w:val="28"/>
          <w:lang w:val="en-US"/>
        </w:rPr>
        <w:t>Azawi</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H</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cit-name-surname"/>
          <w:rFonts w:ascii="Times New Roman" w:eastAsia="Times New Roman" w:hAnsi="Times New Roman" w:cs="Times New Roman"/>
          <w:sz w:val="28"/>
          <w:szCs w:val="28"/>
          <w:lang w:val="en-US"/>
        </w:rPr>
        <w:t xml:space="preserve"> Allen</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A</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J</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Labazi</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H</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article-title"/>
          <w:rFonts w:ascii="Times New Roman" w:eastAsia="Times New Roman" w:hAnsi="Times New Roman" w:cs="Times New Roman"/>
          <w:sz w:val="28"/>
          <w:szCs w:val="28"/>
          <w:lang w:val="en-US"/>
        </w:rPr>
        <w:t>Interleukin 6 knockout prevents angiotensin II hypertension: role of renal vasoconstriction and janus kinase 2/signal transducer and activator of transcription 3 activation</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HTML"/>
          <w:rFonts w:ascii="Times New Roman" w:eastAsia="Times New Roman" w:hAnsi="Times New Roman" w:cs="Times New Roman"/>
          <w:sz w:val="28"/>
          <w:szCs w:val="28"/>
          <w:lang w:val="en-US"/>
        </w:rPr>
        <w:t>Hypertension.</w:t>
      </w:r>
      <w:r w:rsidRPr="007F5722">
        <w:rPr>
          <w:rStyle w:val="apple-converted-space"/>
          <w:rFonts w:ascii="Times New Roman" w:eastAsia="Times New Roman" w:hAnsi="Times New Roman" w:cs="Times New Roman"/>
          <w:sz w:val="28"/>
          <w:szCs w:val="28"/>
          <w:lang w:val="en-US"/>
        </w:rPr>
        <w:t> </w:t>
      </w:r>
      <w:r w:rsidRPr="007F5722">
        <w:rPr>
          <w:rStyle w:val="cit-pub-date"/>
          <w:rFonts w:ascii="Times New Roman" w:eastAsia="Times New Roman" w:hAnsi="Times New Roman" w:cs="Times New Roman"/>
          <w:sz w:val="28"/>
          <w:szCs w:val="28"/>
          <w:lang w:val="en-US"/>
        </w:rPr>
        <w:t>2010</w:t>
      </w:r>
      <w:r w:rsidRPr="007F5722">
        <w:rPr>
          <w:rStyle w:val="HTML"/>
          <w:rFonts w:ascii="Times New Roman" w:eastAsia="Times New Roman" w:hAnsi="Times New Roman" w:cs="Times New Roman"/>
          <w:sz w:val="28"/>
          <w:szCs w:val="28"/>
          <w:lang w:val="en-US"/>
        </w:rPr>
        <w:t>;</w:t>
      </w:r>
      <w:r w:rsidRPr="007F5722">
        <w:rPr>
          <w:rStyle w:val="cit-vol"/>
          <w:rFonts w:ascii="Times New Roman" w:eastAsia="Times New Roman" w:hAnsi="Times New Roman" w:cs="Times New Roman"/>
          <w:bCs/>
          <w:sz w:val="28"/>
          <w:szCs w:val="28"/>
          <w:lang w:val="en-US"/>
        </w:rPr>
        <w:t>56</w:t>
      </w:r>
      <w:r w:rsidRPr="007F5722">
        <w:rPr>
          <w:rStyle w:val="HTML"/>
          <w:rFonts w:ascii="Times New Roman" w:eastAsia="Times New Roman" w:hAnsi="Times New Roman" w:cs="Times New Roman"/>
          <w:sz w:val="28"/>
          <w:szCs w:val="28"/>
          <w:lang w:val="en-US"/>
        </w:rPr>
        <w:t>:</w:t>
      </w:r>
      <w:r w:rsidRPr="007F5722">
        <w:rPr>
          <w:rStyle w:val="cit-fpage"/>
          <w:rFonts w:ascii="Times New Roman" w:eastAsia="Times New Roman" w:hAnsi="Times New Roman" w:cs="Times New Roman"/>
          <w:sz w:val="28"/>
          <w:szCs w:val="28"/>
          <w:lang w:val="en-US"/>
        </w:rPr>
        <w:t>879</w:t>
      </w:r>
      <w:r w:rsidRPr="007F5722">
        <w:rPr>
          <w:rStyle w:val="HTML"/>
          <w:rFonts w:ascii="Times New Roman" w:eastAsia="Times New Roman" w:hAnsi="Times New Roman" w:cs="Times New Roman"/>
          <w:sz w:val="28"/>
          <w:szCs w:val="28"/>
          <w:lang w:val="en-US"/>
        </w:rPr>
        <w:t>–</w:t>
      </w:r>
      <w:r w:rsidRPr="007F5722">
        <w:rPr>
          <w:rStyle w:val="cit-lpage"/>
          <w:rFonts w:ascii="Times New Roman" w:eastAsia="Times New Roman" w:hAnsi="Times New Roman" w:cs="Times New Roman"/>
          <w:sz w:val="28"/>
          <w:szCs w:val="28"/>
          <w:lang w:val="en-US"/>
        </w:rPr>
        <w:t>884</w:t>
      </w:r>
      <w:r w:rsidRPr="007F5722">
        <w:rPr>
          <w:rStyle w:val="HTML"/>
          <w:rFonts w:ascii="Times New Roman" w:eastAsia="Times New Roman" w:hAnsi="Times New Roman" w:cs="Times New Roman"/>
          <w:sz w:val="28"/>
          <w:szCs w:val="28"/>
          <w:lang w:val="en-US"/>
        </w:rPr>
        <w:t>.</w:t>
      </w:r>
    </w:p>
    <w:p w:rsidR="007F5722" w:rsidRPr="007F5722" w:rsidRDefault="007F5722" w:rsidP="007F5722">
      <w:pPr>
        <w:pStyle w:val="a8"/>
        <w:numPr>
          <w:ilvl w:val="0"/>
          <w:numId w:val="25"/>
        </w:numPr>
        <w:spacing w:after="0" w:line="360" w:lineRule="auto"/>
        <w:ind w:left="0" w:firstLine="357"/>
        <w:jc w:val="both"/>
        <w:rPr>
          <w:rStyle w:val="HTML"/>
          <w:rFonts w:ascii="Times New Roman" w:hAnsi="Times New Roman" w:cs="Times New Roman"/>
          <w:i w:val="0"/>
          <w:iCs w:val="0"/>
          <w:sz w:val="28"/>
          <w:szCs w:val="28"/>
        </w:rPr>
      </w:pPr>
      <w:r w:rsidRPr="007F5722">
        <w:rPr>
          <w:rStyle w:val="cit-name-surname"/>
          <w:rFonts w:ascii="Times New Roman" w:eastAsia="Times New Roman" w:hAnsi="Times New Roman" w:cs="Times New Roman"/>
          <w:sz w:val="28"/>
          <w:szCs w:val="28"/>
          <w:lang w:val="en-US"/>
        </w:rPr>
        <w:lastRenderedPageBreak/>
        <w:t>Zhang</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J</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Patel</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M</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B</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Griffiths</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R</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Mao</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A</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Song</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Y</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S</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Karlovich</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N</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S</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Sparks</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M</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A</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Jin</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H</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Wu</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M</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Lin</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E</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E</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Crowley</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S</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D</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article-title"/>
          <w:rFonts w:ascii="Times New Roman" w:eastAsia="Times New Roman" w:hAnsi="Times New Roman" w:cs="Times New Roman"/>
          <w:sz w:val="28"/>
          <w:szCs w:val="28"/>
          <w:lang w:val="en-US"/>
        </w:rPr>
        <w:t>Tumor necrosis factor</w:t>
      </w:r>
      <w:r w:rsidRPr="007F5722">
        <w:rPr>
          <w:rStyle w:val="cit-article-title"/>
          <w:rFonts w:ascii="Cambria Math" w:eastAsia="Times New Roman" w:hAnsi="Cambria Math" w:cs="Cambria Math"/>
          <w:sz w:val="28"/>
          <w:szCs w:val="28"/>
          <w:lang w:val="en-US"/>
        </w:rPr>
        <w:t>‐</w:t>
      </w:r>
      <w:r w:rsidRPr="007F5722">
        <w:rPr>
          <w:rStyle w:val="cit-article-title"/>
          <w:rFonts w:ascii="Times New Roman" w:eastAsia="Times New Roman" w:hAnsi="Times New Roman" w:cs="Times New Roman"/>
          <w:sz w:val="28"/>
          <w:szCs w:val="28"/>
          <w:lang w:val="en-US"/>
        </w:rPr>
        <w:t>alpha produced in the kidney contributes to angiotensin II</w:t>
      </w:r>
      <w:r w:rsidRPr="007F5722">
        <w:rPr>
          <w:rStyle w:val="cit-article-title"/>
          <w:rFonts w:ascii="Cambria Math" w:eastAsia="Times New Roman" w:hAnsi="Cambria Math" w:cs="Cambria Math"/>
          <w:sz w:val="28"/>
          <w:szCs w:val="28"/>
          <w:lang w:val="en-US"/>
        </w:rPr>
        <w:t>‐</w:t>
      </w:r>
      <w:r w:rsidRPr="007F5722">
        <w:rPr>
          <w:rStyle w:val="cit-article-title"/>
          <w:rFonts w:ascii="Times New Roman" w:eastAsia="Times New Roman" w:hAnsi="Times New Roman" w:cs="Times New Roman"/>
          <w:sz w:val="28"/>
          <w:szCs w:val="28"/>
          <w:lang w:val="en-US"/>
        </w:rPr>
        <w:t>dependent hypertension</w:t>
      </w:r>
      <w:r w:rsidRPr="007F5722">
        <w:rPr>
          <w:rStyle w:val="HTML"/>
          <w:rFonts w:ascii="Times New Roman" w:eastAsia="Times New Roman" w:hAnsi="Times New Roman" w:cs="Times New Roman"/>
          <w:sz w:val="28"/>
          <w:szCs w:val="28"/>
          <w:lang w:val="en-US"/>
        </w:rPr>
        <w:t>. Hypertension.</w:t>
      </w:r>
      <w:r w:rsidRPr="007F5722">
        <w:rPr>
          <w:rStyle w:val="apple-converted-space"/>
          <w:rFonts w:ascii="Times New Roman" w:eastAsia="Times New Roman" w:hAnsi="Times New Roman" w:cs="Times New Roman"/>
          <w:sz w:val="28"/>
          <w:szCs w:val="28"/>
          <w:lang w:val="en-US"/>
        </w:rPr>
        <w:t> </w:t>
      </w:r>
      <w:r w:rsidRPr="007F5722">
        <w:rPr>
          <w:rStyle w:val="cit-pub-date"/>
          <w:rFonts w:ascii="Times New Roman" w:eastAsia="Times New Roman" w:hAnsi="Times New Roman" w:cs="Times New Roman"/>
          <w:sz w:val="28"/>
          <w:szCs w:val="28"/>
          <w:lang w:val="en-US"/>
        </w:rPr>
        <w:t>2014</w:t>
      </w:r>
      <w:r w:rsidRPr="007F5722">
        <w:rPr>
          <w:rStyle w:val="HTML"/>
          <w:rFonts w:ascii="Times New Roman" w:eastAsia="Times New Roman" w:hAnsi="Times New Roman" w:cs="Times New Roman"/>
          <w:sz w:val="28"/>
          <w:szCs w:val="28"/>
          <w:lang w:val="en-US"/>
        </w:rPr>
        <w:t>;</w:t>
      </w:r>
      <w:r w:rsidRPr="007F5722">
        <w:rPr>
          <w:rStyle w:val="cit-vol"/>
          <w:rFonts w:ascii="Times New Roman" w:eastAsia="Times New Roman" w:hAnsi="Times New Roman" w:cs="Times New Roman"/>
          <w:bCs/>
          <w:sz w:val="28"/>
          <w:szCs w:val="28"/>
          <w:lang w:val="en-US"/>
        </w:rPr>
        <w:t>64</w:t>
      </w:r>
      <w:r w:rsidRPr="007F5722">
        <w:rPr>
          <w:rStyle w:val="HTML"/>
          <w:rFonts w:ascii="Times New Roman" w:eastAsia="Times New Roman" w:hAnsi="Times New Roman" w:cs="Times New Roman"/>
          <w:sz w:val="28"/>
          <w:szCs w:val="28"/>
          <w:lang w:val="en-US"/>
        </w:rPr>
        <w:t>:</w:t>
      </w:r>
      <w:r w:rsidRPr="007F5722">
        <w:rPr>
          <w:rStyle w:val="cit-fpage"/>
          <w:rFonts w:ascii="Times New Roman" w:eastAsia="Times New Roman" w:hAnsi="Times New Roman" w:cs="Times New Roman"/>
          <w:sz w:val="28"/>
          <w:szCs w:val="28"/>
          <w:lang w:val="en-US"/>
        </w:rPr>
        <w:t>1275</w:t>
      </w:r>
      <w:r w:rsidRPr="007F5722">
        <w:rPr>
          <w:rStyle w:val="HTML"/>
          <w:rFonts w:ascii="Times New Roman" w:eastAsia="Times New Roman" w:hAnsi="Times New Roman" w:cs="Times New Roman"/>
          <w:sz w:val="28"/>
          <w:szCs w:val="28"/>
          <w:lang w:val="en-US"/>
        </w:rPr>
        <w:t>–</w:t>
      </w:r>
      <w:r w:rsidRPr="007F5722">
        <w:rPr>
          <w:rStyle w:val="cit-lpage"/>
          <w:rFonts w:ascii="Times New Roman" w:eastAsia="Times New Roman" w:hAnsi="Times New Roman" w:cs="Times New Roman"/>
          <w:sz w:val="28"/>
          <w:szCs w:val="28"/>
          <w:lang w:val="en-US"/>
        </w:rPr>
        <w:t>1281</w:t>
      </w:r>
      <w:r w:rsidRPr="007F5722">
        <w:rPr>
          <w:rStyle w:val="HTML"/>
          <w:rFonts w:ascii="Times New Roman" w:eastAsia="Times New Roman" w:hAnsi="Times New Roman" w:cs="Times New Roman"/>
          <w:sz w:val="28"/>
          <w:szCs w:val="28"/>
          <w:lang w:val="en-US"/>
        </w:rPr>
        <w:t>.</w:t>
      </w:r>
    </w:p>
    <w:p w:rsidR="007F5722" w:rsidRPr="007F5722" w:rsidRDefault="007F5722" w:rsidP="007F5722">
      <w:pPr>
        <w:pStyle w:val="a8"/>
        <w:numPr>
          <w:ilvl w:val="0"/>
          <w:numId w:val="25"/>
        </w:numPr>
        <w:spacing w:after="0" w:line="360" w:lineRule="auto"/>
        <w:ind w:left="0" w:firstLine="357"/>
        <w:jc w:val="both"/>
        <w:rPr>
          <w:rStyle w:val="cit-lpage"/>
          <w:rFonts w:ascii="Times New Roman" w:hAnsi="Times New Roman" w:cs="Times New Roman"/>
          <w:sz w:val="28"/>
          <w:szCs w:val="28"/>
        </w:rPr>
      </w:pPr>
      <w:r w:rsidRPr="007F5722">
        <w:rPr>
          <w:rStyle w:val="cit-name-surname"/>
          <w:rFonts w:ascii="Times New Roman" w:eastAsia="Times New Roman" w:hAnsi="Times New Roman" w:cs="Times New Roman"/>
          <w:sz w:val="28"/>
          <w:szCs w:val="28"/>
          <w:lang w:val="en-US"/>
        </w:rPr>
        <w:t>Takahashi</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M</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Suzuki</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E</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Takeda</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R</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Oba</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S</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Nishimatsu</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H</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Kimura</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K</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HTML"/>
          <w:rFonts w:ascii="Times New Roman" w:eastAsia="Times New Roman" w:hAnsi="Times New Roman" w:cs="Times New Roman"/>
          <w:sz w:val="28"/>
          <w:szCs w:val="28"/>
        </w:rPr>
        <w:t xml:space="preserve">   </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Nagano</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T</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Nagai</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R</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Hirata</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Y</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article-title"/>
          <w:rFonts w:ascii="Times New Roman" w:eastAsia="Times New Roman" w:hAnsi="Times New Roman" w:cs="Times New Roman"/>
          <w:sz w:val="28"/>
          <w:szCs w:val="28"/>
          <w:lang w:val="en-US"/>
        </w:rPr>
        <w:t>Angiotensin II and tumor necrosis factor</w:t>
      </w:r>
      <w:r w:rsidRPr="007F5722">
        <w:rPr>
          <w:rStyle w:val="cit-article-title"/>
          <w:rFonts w:ascii="Cambria Math" w:eastAsia="Times New Roman" w:hAnsi="Cambria Math" w:cs="Cambria Math"/>
          <w:sz w:val="28"/>
          <w:szCs w:val="28"/>
          <w:lang w:val="en-US"/>
        </w:rPr>
        <w:t>‐</w:t>
      </w:r>
      <w:r w:rsidRPr="007F5722">
        <w:rPr>
          <w:rStyle w:val="cit-article-title"/>
          <w:rFonts w:ascii="Times New Roman" w:eastAsia="Times New Roman" w:hAnsi="Times New Roman" w:cs="Times New Roman"/>
          <w:sz w:val="28"/>
          <w:szCs w:val="28"/>
          <w:lang w:val="en-US"/>
        </w:rPr>
        <w:t>alpha synergistically promote monocyte chemoattractant protein</w:t>
      </w:r>
      <w:r w:rsidRPr="007F5722">
        <w:rPr>
          <w:rStyle w:val="cit-article-title"/>
          <w:rFonts w:ascii="Cambria Math" w:eastAsia="Times New Roman" w:hAnsi="Cambria Math" w:cs="Cambria Math"/>
          <w:sz w:val="28"/>
          <w:szCs w:val="28"/>
          <w:lang w:val="en-US"/>
        </w:rPr>
        <w:t>‐</w:t>
      </w:r>
      <w:r w:rsidRPr="007F5722">
        <w:rPr>
          <w:rStyle w:val="cit-article-title"/>
          <w:rFonts w:ascii="Times New Roman" w:eastAsia="Times New Roman" w:hAnsi="Times New Roman" w:cs="Times New Roman"/>
          <w:sz w:val="28"/>
          <w:szCs w:val="28"/>
          <w:lang w:val="en-US"/>
        </w:rPr>
        <w:t>1 expression: roles of NF</w:t>
      </w:r>
      <w:r w:rsidRPr="007F5722">
        <w:rPr>
          <w:rStyle w:val="cit-article-title"/>
          <w:rFonts w:ascii="Cambria Math" w:eastAsia="Times New Roman" w:hAnsi="Cambria Math" w:cs="Cambria Math"/>
          <w:sz w:val="28"/>
          <w:szCs w:val="28"/>
          <w:lang w:val="en-US"/>
        </w:rPr>
        <w:t>‐</w:t>
      </w:r>
      <w:r w:rsidRPr="007F5722">
        <w:rPr>
          <w:rStyle w:val="cit-article-title"/>
          <w:rFonts w:ascii="Times New Roman" w:eastAsia="Times New Roman" w:hAnsi="Times New Roman" w:cs="Times New Roman"/>
          <w:sz w:val="28"/>
          <w:szCs w:val="28"/>
          <w:lang w:val="en-US"/>
        </w:rPr>
        <w:t>kappaB, p38, and reactive oxygen species</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HTML"/>
          <w:rFonts w:ascii="Times New Roman" w:eastAsia="Times New Roman" w:hAnsi="Times New Roman" w:cs="Times New Roman"/>
          <w:sz w:val="28"/>
          <w:szCs w:val="28"/>
          <w:lang w:val="en-US"/>
        </w:rPr>
        <w:t>Am J Physiol Heart Circ Physiol.</w:t>
      </w:r>
      <w:r w:rsidRPr="007F5722">
        <w:rPr>
          <w:rStyle w:val="apple-converted-space"/>
          <w:rFonts w:ascii="Times New Roman" w:eastAsia="Times New Roman" w:hAnsi="Times New Roman" w:cs="Times New Roman"/>
          <w:sz w:val="28"/>
          <w:szCs w:val="28"/>
          <w:lang w:val="en-US"/>
        </w:rPr>
        <w:t> </w:t>
      </w:r>
      <w:r w:rsidRPr="007F5722">
        <w:rPr>
          <w:rStyle w:val="cit-pub-date"/>
          <w:rFonts w:ascii="Times New Roman" w:eastAsia="Times New Roman" w:hAnsi="Times New Roman" w:cs="Times New Roman"/>
          <w:sz w:val="28"/>
          <w:szCs w:val="28"/>
          <w:lang w:val="en-US"/>
        </w:rPr>
        <w:t>2008</w:t>
      </w:r>
      <w:r w:rsidRPr="007F5722">
        <w:rPr>
          <w:rStyle w:val="HTML"/>
          <w:rFonts w:ascii="Times New Roman" w:eastAsia="Times New Roman" w:hAnsi="Times New Roman" w:cs="Times New Roman"/>
          <w:sz w:val="28"/>
          <w:szCs w:val="28"/>
          <w:lang w:val="en-US"/>
        </w:rPr>
        <w:t>;</w:t>
      </w:r>
      <w:r w:rsidRPr="007F5722">
        <w:rPr>
          <w:rStyle w:val="cit-vol"/>
          <w:rFonts w:ascii="Times New Roman" w:eastAsia="Times New Roman" w:hAnsi="Times New Roman" w:cs="Times New Roman"/>
          <w:bCs/>
          <w:sz w:val="28"/>
          <w:szCs w:val="28"/>
          <w:lang w:val="en-US"/>
        </w:rPr>
        <w:t>294</w:t>
      </w:r>
      <w:r w:rsidRPr="007F5722">
        <w:rPr>
          <w:rStyle w:val="HTML"/>
          <w:rFonts w:ascii="Times New Roman" w:eastAsia="Times New Roman" w:hAnsi="Times New Roman" w:cs="Times New Roman"/>
          <w:sz w:val="28"/>
          <w:szCs w:val="28"/>
          <w:lang w:val="en-US"/>
        </w:rPr>
        <w:t>:</w:t>
      </w:r>
      <w:r w:rsidRPr="007F5722">
        <w:rPr>
          <w:rStyle w:val="cit-fpage"/>
          <w:rFonts w:ascii="Times New Roman" w:eastAsia="Times New Roman" w:hAnsi="Times New Roman" w:cs="Times New Roman"/>
          <w:sz w:val="28"/>
          <w:szCs w:val="28"/>
          <w:lang w:val="en-US"/>
        </w:rPr>
        <w:t>2879</w:t>
      </w:r>
      <w:r w:rsidRPr="007F5722">
        <w:rPr>
          <w:rStyle w:val="HTML"/>
          <w:rFonts w:ascii="Times New Roman" w:eastAsia="Times New Roman" w:hAnsi="Times New Roman" w:cs="Times New Roman"/>
          <w:sz w:val="28"/>
          <w:szCs w:val="28"/>
          <w:lang w:val="en-US"/>
        </w:rPr>
        <w:t>–</w:t>
      </w:r>
      <w:r w:rsidRPr="007F5722">
        <w:rPr>
          <w:rStyle w:val="cit-lpage"/>
          <w:rFonts w:ascii="Times New Roman" w:eastAsia="Times New Roman" w:hAnsi="Times New Roman" w:cs="Times New Roman"/>
          <w:sz w:val="28"/>
          <w:szCs w:val="28"/>
          <w:lang w:val="en-US"/>
        </w:rPr>
        <w:t>2888.</w:t>
      </w:r>
    </w:p>
    <w:p w:rsidR="007F5722" w:rsidRPr="007F5722" w:rsidRDefault="007F5722" w:rsidP="007F5722">
      <w:pPr>
        <w:pStyle w:val="a8"/>
        <w:numPr>
          <w:ilvl w:val="0"/>
          <w:numId w:val="25"/>
        </w:numPr>
        <w:spacing w:after="0" w:line="360" w:lineRule="auto"/>
        <w:ind w:left="0" w:firstLine="357"/>
        <w:jc w:val="both"/>
        <w:rPr>
          <w:rStyle w:val="HTML"/>
          <w:rFonts w:ascii="Times New Roman" w:hAnsi="Times New Roman" w:cs="Times New Roman"/>
          <w:i w:val="0"/>
          <w:iCs w:val="0"/>
          <w:sz w:val="28"/>
          <w:szCs w:val="28"/>
        </w:rPr>
      </w:pPr>
      <w:r w:rsidRPr="007F5722">
        <w:rPr>
          <w:rStyle w:val="cit-name-surname"/>
          <w:rFonts w:ascii="Times New Roman" w:eastAsia="Times New Roman" w:hAnsi="Times New Roman" w:cs="Times New Roman"/>
          <w:sz w:val="28"/>
          <w:szCs w:val="28"/>
          <w:lang w:val="en-US"/>
        </w:rPr>
        <w:t>Craige</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S</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M</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Kroller</w:t>
      </w:r>
      <w:r w:rsidRPr="007F5722">
        <w:rPr>
          <w:rStyle w:val="cit-name-surname"/>
          <w:rFonts w:ascii="Cambria Math" w:eastAsia="Times New Roman" w:hAnsi="Cambria Math" w:cs="Cambria Math"/>
          <w:sz w:val="28"/>
          <w:szCs w:val="28"/>
          <w:lang w:val="en-US"/>
        </w:rPr>
        <w:t>‐</w:t>
      </w:r>
      <w:r w:rsidRPr="007F5722">
        <w:rPr>
          <w:rStyle w:val="cit-name-surname"/>
          <w:rFonts w:ascii="Times New Roman" w:eastAsia="Times New Roman" w:hAnsi="Times New Roman" w:cs="Times New Roman"/>
          <w:sz w:val="28"/>
          <w:szCs w:val="28"/>
          <w:lang w:val="en-US"/>
        </w:rPr>
        <w:t>Schon</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S</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HTML"/>
          <w:rFonts w:ascii="Times New Roman" w:eastAsia="Times New Roman" w:hAnsi="Times New Roman" w:cs="Times New Roman"/>
          <w:sz w:val="28"/>
          <w:szCs w:val="28"/>
        </w:rPr>
        <w:t xml:space="preserve"> </w:t>
      </w:r>
      <w:r w:rsidRPr="007F5722">
        <w:rPr>
          <w:rStyle w:val="cit-name-surname"/>
          <w:rFonts w:ascii="Times New Roman" w:eastAsia="Times New Roman" w:hAnsi="Times New Roman" w:cs="Times New Roman"/>
          <w:sz w:val="28"/>
          <w:szCs w:val="28"/>
          <w:lang w:val="en-US"/>
        </w:rPr>
        <w:t>Li</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C</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HTML"/>
          <w:rFonts w:ascii="Times New Roman" w:eastAsia="Times New Roman" w:hAnsi="Times New Roman" w:cs="Times New Roman"/>
          <w:sz w:val="28"/>
          <w:szCs w:val="28"/>
        </w:rPr>
        <w:t xml:space="preserve"> </w:t>
      </w:r>
      <w:r w:rsidRPr="007F5722">
        <w:rPr>
          <w:rStyle w:val="cit-name-surname"/>
          <w:rFonts w:ascii="Times New Roman" w:eastAsia="Times New Roman" w:hAnsi="Times New Roman" w:cs="Times New Roman"/>
          <w:sz w:val="28"/>
          <w:szCs w:val="28"/>
          <w:lang w:val="en-US"/>
        </w:rPr>
        <w:t>Kant</w:t>
      </w:r>
      <w:r w:rsidRPr="007F5722">
        <w:rPr>
          <w:rStyle w:val="apple-converted-space"/>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S</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rPr>
        <w:t xml:space="preserve"> </w:t>
      </w:r>
      <w:r w:rsidRPr="007F5722">
        <w:rPr>
          <w:rStyle w:val="cit-name-surname"/>
          <w:rFonts w:ascii="Times New Roman" w:eastAsia="Times New Roman" w:hAnsi="Times New Roman" w:cs="Times New Roman"/>
          <w:sz w:val="28"/>
          <w:szCs w:val="28"/>
          <w:lang w:val="en-US"/>
        </w:rPr>
        <w:t>Cai</w:t>
      </w:r>
      <w:r w:rsidRPr="007F5722">
        <w:rPr>
          <w:rStyle w:val="apple-converted-space"/>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S</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rPr>
        <w:t xml:space="preserve"> </w:t>
      </w:r>
      <w:r w:rsidRPr="007F5722">
        <w:rPr>
          <w:rStyle w:val="cit-name-surname"/>
          <w:rFonts w:ascii="Times New Roman" w:eastAsia="Times New Roman" w:hAnsi="Times New Roman" w:cs="Times New Roman"/>
          <w:sz w:val="28"/>
          <w:szCs w:val="28"/>
          <w:lang w:val="en-US"/>
        </w:rPr>
        <w:t>Chen</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K</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rPr>
        <w:t xml:space="preserve"> </w:t>
      </w:r>
      <w:r w:rsidRPr="007F5722">
        <w:rPr>
          <w:rStyle w:val="cit-name-surname"/>
          <w:rFonts w:ascii="Times New Roman" w:eastAsia="Times New Roman" w:hAnsi="Times New Roman" w:cs="Times New Roman"/>
          <w:sz w:val="28"/>
          <w:szCs w:val="28"/>
          <w:lang w:val="en-US"/>
        </w:rPr>
        <w:t>Contractor</w:t>
      </w:r>
      <w:r w:rsidRPr="007F5722">
        <w:rPr>
          <w:rStyle w:val="apple-converted-space"/>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M</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M</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rPr>
        <w:t xml:space="preserve"> </w:t>
      </w:r>
      <w:r w:rsidRPr="007F5722">
        <w:rPr>
          <w:rStyle w:val="cit-name-surname"/>
          <w:rFonts w:ascii="Times New Roman" w:eastAsia="Times New Roman" w:hAnsi="Times New Roman" w:cs="Times New Roman"/>
          <w:sz w:val="28"/>
          <w:szCs w:val="28"/>
          <w:lang w:val="en-US"/>
        </w:rPr>
        <w:t>Pei</w:t>
      </w:r>
      <w:r w:rsidRPr="007F5722">
        <w:rPr>
          <w:rStyle w:val="apple-converted-space"/>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Y</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rPr>
        <w:t xml:space="preserve"> </w:t>
      </w:r>
      <w:r w:rsidRPr="007F5722">
        <w:rPr>
          <w:rStyle w:val="cit-name-surname"/>
          <w:rFonts w:ascii="Times New Roman" w:eastAsia="Times New Roman" w:hAnsi="Times New Roman" w:cs="Times New Roman"/>
          <w:sz w:val="28"/>
          <w:szCs w:val="28"/>
          <w:lang w:val="en-US"/>
        </w:rPr>
        <w:t>Schulz</w:t>
      </w:r>
      <w:r w:rsidRPr="007F5722">
        <w:rPr>
          <w:rStyle w:val="apple-converted-space"/>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E</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Keaney</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J</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J</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article-title"/>
          <w:rFonts w:ascii="Times New Roman" w:eastAsia="Times New Roman" w:hAnsi="Times New Roman" w:cs="Times New Roman"/>
          <w:sz w:val="28"/>
          <w:szCs w:val="28"/>
          <w:lang w:val="en-US"/>
        </w:rPr>
        <w:t>PGC</w:t>
      </w:r>
      <w:r w:rsidRPr="007F5722">
        <w:rPr>
          <w:rStyle w:val="cit-article-title"/>
          <w:rFonts w:ascii="Cambria Math" w:eastAsia="Times New Roman" w:hAnsi="Cambria Math" w:cs="Cambria Math"/>
          <w:sz w:val="28"/>
          <w:szCs w:val="28"/>
          <w:lang w:val="en-US"/>
        </w:rPr>
        <w:t>‐</w:t>
      </w:r>
      <w:r w:rsidRPr="007F5722">
        <w:rPr>
          <w:rStyle w:val="cit-article-title"/>
          <w:rFonts w:ascii="Times New Roman" w:eastAsia="Times New Roman" w:hAnsi="Times New Roman" w:cs="Times New Roman"/>
          <w:sz w:val="28"/>
          <w:szCs w:val="28"/>
          <w:lang w:val="en-US"/>
        </w:rPr>
        <w:t>1alpha dictates endothelial function through regulation of eNOS expression</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HTML"/>
          <w:rFonts w:ascii="Times New Roman" w:eastAsia="Times New Roman" w:hAnsi="Times New Roman" w:cs="Times New Roman"/>
          <w:sz w:val="28"/>
          <w:szCs w:val="28"/>
          <w:lang w:val="en-US"/>
        </w:rPr>
        <w:t>Sci Rep.</w:t>
      </w:r>
      <w:r w:rsidRPr="007F5722">
        <w:rPr>
          <w:rStyle w:val="apple-converted-space"/>
          <w:rFonts w:ascii="Times New Roman" w:eastAsia="Times New Roman" w:hAnsi="Times New Roman" w:cs="Times New Roman"/>
          <w:sz w:val="28"/>
          <w:szCs w:val="28"/>
          <w:lang w:val="en-US"/>
        </w:rPr>
        <w:t> </w:t>
      </w:r>
      <w:r w:rsidRPr="007F5722">
        <w:rPr>
          <w:rStyle w:val="cit-pub-date"/>
          <w:rFonts w:ascii="Times New Roman" w:eastAsia="Times New Roman" w:hAnsi="Times New Roman" w:cs="Times New Roman"/>
          <w:sz w:val="28"/>
          <w:szCs w:val="28"/>
          <w:lang w:val="en-US"/>
        </w:rPr>
        <w:t>2016</w:t>
      </w:r>
      <w:r w:rsidRPr="007F5722">
        <w:rPr>
          <w:rStyle w:val="HTML"/>
          <w:rFonts w:ascii="Times New Roman" w:eastAsia="Times New Roman" w:hAnsi="Times New Roman" w:cs="Times New Roman"/>
          <w:sz w:val="28"/>
          <w:szCs w:val="28"/>
          <w:lang w:val="en-US"/>
        </w:rPr>
        <w:t>;</w:t>
      </w:r>
      <w:r w:rsidRPr="007F5722">
        <w:rPr>
          <w:rStyle w:val="HTML"/>
          <w:rFonts w:ascii="Times New Roman" w:eastAsia="Times New Roman" w:hAnsi="Times New Roman" w:cs="Times New Roman"/>
          <w:sz w:val="28"/>
          <w:szCs w:val="28"/>
        </w:rPr>
        <w:t xml:space="preserve"> </w:t>
      </w:r>
      <w:r w:rsidRPr="007F5722">
        <w:rPr>
          <w:rStyle w:val="cit-vol"/>
          <w:rFonts w:ascii="Times New Roman" w:eastAsia="Times New Roman" w:hAnsi="Times New Roman" w:cs="Times New Roman"/>
          <w:bCs/>
          <w:sz w:val="28"/>
          <w:szCs w:val="28"/>
          <w:lang w:val="en-US"/>
        </w:rPr>
        <w:t>6</w:t>
      </w:r>
      <w:r w:rsidRPr="007F5722">
        <w:rPr>
          <w:rStyle w:val="HTML"/>
          <w:rFonts w:ascii="Times New Roman" w:eastAsia="Times New Roman" w:hAnsi="Times New Roman" w:cs="Times New Roman"/>
          <w:sz w:val="28"/>
          <w:szCs w:val="28"/>
          <w:lang w:val="en-US"/>
        </w:rPr>
        <w:t>:</w:t>
      </w:r>
      <w:r w:rsidRPr="007F5722">
        <w:rPr>
          <w:rStyle w:val="cit-fpage"/>
          <w:rFonts w:ascii="Times New Roman" w:eastAsia="Times New Roman" w:hAnsi="Times New Roman" w:cs="Times New Roman"/>
          <w:sz w:val="28"/>
          <w:szCs w:val="28"/>
          <w:lang w:val="en-US"/>
        </w:rPr>
        <w:t>38210</w:t>
      </w:r>
      <w:r w:rsidRPr="007F5722">
        <w:rPr>
          <w:rStyle w:val="HTML"/>
          <w:rFonts w:ascii="Times New Roman" w:eastAsia="Times New Roman" w:hAnsi="Times New Roman" w:cs="Times New Roman"/>
          <w:sz w:val="28"/>
          <w:szCs w:val="28"/>
          <w:lang w:val="en-US"/>
        </w:rPr>
        <w:t>.</w:t>
      </w:r>
    </w:p>
    <w:p w:rsidR="007F5722" w:rsidRPr="007F5722" w:rsidRDefault="007F5722" w:rsidP="007F5722">
      <w:pPr>
        <w:pStyle w:val="a8"/>
        <w:numPr>
          <w:ilvl w:val="0"/>
          <w:numId w:val="25"/>
        </w:numPr>
        <w:spacing w:after="0" w:line="360" w:lineRule="auto"/>
        <w:ind w:left="0" w:firstLine="357"/>
        <w:jc w:val="both"/>
        <w:rPr>
          <w:rStyle w:val="HTML"/>
          <w:rFonts w:ascii="Times New Roman" w:hAnsi="Times New Roman" w:cs="Times New Roman"/>
          <w:i w:val="0"/>
          <w:iCs w:val="0"/>
          <w:sz w:val="28"/>
          <w:szCs w:val="28"/>
        </w:rPr>
      </w:pPr>
      <w:r w:rsidRPr="007F5722">
        <w:rPr>
          <w:rStyle w:val="cit-name-surname"/>
          <w:rFonts w:ascii="Times New Roman" w:eastAsia="Times New Roman" w:hAnsi="Times New Roman" w:cs="Times New Roman"/>
          <w:sz w:val="28"/>
          <w:szCs w:val="28"/>
          <w:lang w:val="en-US"/>
        </w:rPr>
        <w:t>Boegehold</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MA</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Drenjancevic</w:t>
      </w:r>
      <w:r w:rsidRPr="007F5722">
        <w:rPr>
          <w:rStyle w:val="apple-converted-space"/>
          <w:rFonts w:ascii="Times New Roman" w:eastAsia="Times New Roman" w:hAnsi="Times New Roman" w:cs="Times New Roman"/>
          <w:sz w:val="28"/>
          <w:szCs w:val="28"/>
          <w:lang w:val="en-US"/>
        </w:rPr>
        <w:t> </w:t>
      </w:r>
      <w:r w:rsidRPr="007F5722">
        <w:rPr>
          <w:rStyle w:val="cit-name-given-names"/>
          <w:rFonts w:ascii="Times New Roman" w:eastAsia="Times New Roman" w:hAnsi="Times New Roman" w:cs="Times New Roman"/>
          <w:sz w:val="28"/>
          <w:szCs w:val="28"/>
          <w:lang w:val="en-US"/>
        </w:rPr>
        <w:t>I</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name-surname"/>
          <w:rFonts w:ascii="Times New Roman" w:eastAsia="Times New Roman" w:hAnsi="Times New Roman" w:cs="Times New Roman"/>
          <w:sz w:val="28"/>
          <w:szCs w:val="28"/>
          <w:lang w:val="en-US"/>
        </w:rPr>
        <w:t>Lombard</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JH</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article-title"/>
          <w:rFonts w:ascii="Times New Roman" w:eastAsia="Times New Roman" w:hAnsi="Times New Roman" w:cs="Times New Roman"/>
          <w:sz w:val="28"/>
          <w:szCs w:val="28"/>
          <w:lang w:val="en-US"/>
        </w:rPr>
        <w:t>Salt, angiotensin II, superoxide, and endothelial function</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HTML"/>
          <w:rFonts w:ascii="Times New Roman" w:eastAsia="Times New Roman" w:hAnsi="Times New Roman" w:cs="Times New Roman"/>
          <w:sz w:val="28"/>
          <w:szCs w:val="28"/>
          <w:lang w:val="en-US"/>
        </w:rPr>
        <w:t>Compr Physiol.</w:t>
      </w:r>
      <w:r w:rsidRPr="007F5722">
        <w:rPr>
          <w:rStyle w:val="apple-converted-space"/>
          <w:rFonts w:ascii="Times New Roman" w:eastAsia="Times New Roman" w:hAnsi="Times New Roman" w:cs="Times New Roman"/>
          <w:sz w:val="28"/>
          <w:szCs w:val="28"/>
          <w:lang w:val="en-US"/>
        </w:rPr>
        <w:t> </w:t>
      </w:r>
      <w:r w:rsidRPr="007F5722">
        <w:rPr>
          <w:rStyle w:val="cit-pub-date"/>
          <w:rFonts w:ascii="Times New Roman" w:eastAsia="Times New Roman" w:hAnsi="Times New Roman" w:cs="Times New Roman"/>
          <w:sz w:val="28"/>
          <w:szCs w:val="28"/>
          <w:lang w:val="en-US"/>
        </w:rPr>
        <w:t>2015</w:t>
      </w:r>
      <w:r w:rsidRPr="007F5722">
        <w:rPr>
          <w:rStyle w:val="HTML"/>
          <w:rFonts w:ascii="Times New Roman" w:eastAsia="Times New Roman" w:hAnsi="Times New Roman" w:cs="Times New Roman"/>
          <w:sz w:val="28"/>
          <w:szCs w:val="28"/>
          <w:lang w:val="en-US"/>
        </w:rPr>
        <w:t>;</w:t>
      </w:r>
      <w:r w:rsidRPr="007F5722">
        <w:rPr>
          <w:rStyle w:val="cit-vol"/>
          <w:rFonts w:ascii="Times New Roman" w:eastAsia="Times New Roman" w:hAnsi="Times New Roman" w:cs="Times New Roman"/>
          <w:bCs/>
          <w:sz w:val="28"/>
          <w:szCs w:val="28"/>
          <w:lang w:val="en-US"/>
        </w:rPr>
        <w:t>6</w:t>
      </w:r>
      <w:r w:rsidRPr="007F5722">
        <w:rPr>
          <w:rStyle w:val="HTML"/>
          <w:rFonts w:ascii="Times New Roman" w:eastAsia="Times New Roman" w:hAnsi="Times New Roman" w:cs="Times New Roman"/>
          <w:sz w:val="28"/>
          <w:szCs w:val="28"/>
          <w:lang w:val="en-US"/>
        </w:rPr>
        <w:t>:</w:t>
      </w:r>
      <w:r w:rsidRPr="007F5722">
        <w:rPr>
          <w:rStyle w:val="cit-fpage"/>
          <w:rFonts w:ascii="Times New Roman" w:eastAsia="Times New Roman" w:hAnsi="Times New Roman" w:cs="Times New Roman"/>
          <w:sz w:val="28"/>
          <w:szCs w:val="28"/>
          <w:lang w:val="en-US"/>
        </w:rPr>
        <w:t>215</w:t>
      </w:r>
      <w:r w:rsidRPr="007F5722">
        <w:rPr>
          <w:rStyle w:val="HTML"/>
          <w:rFonts w:ascii="Times New Roman" w:eastAsia="Times New Roman" w:hAnsi="Times New Roman" w:cs="Times New Roman"/>
          <w:sz w:val="28"/>
          <w:szCs w:val="28"/>
          <w:lang w:val="en-US"/>
        </w:rPr>
        <w:t>–</w:t>
      </w:r>
      <w:r w:rsidRPr="007F5722">
        <w:rPr>
          <w:rStyle w:val="cit-lpage"/>
          <w:rFonts w:ascii="Times New Roman" w:eastAsia="Times New Roman" w:hAnsi="Times New Roman" w:cs="Times New Roman"/>
          <w:sz w:val="28"/>
          <w:szCs w:val="28"/>
          <w:lang w:val="en-US"/>
        </w:rPr>
        <w:t>254</w:t>
      </w:r>
      <w:r w:rsidRPr="007F5722">
        <w:rPr>
          <w:rStyle w:val="HTML"/>
          <w:rFonts w:ascii="Times New Roman" w:eastAsia="Times New Roman" w:hAnsi="Times New Roman" w:cs="Times New Roman"/>
          <w:sz w:val="28"/>
          <w:szCs w:val="28"/>
          <w:lang w:val="en-US"/>
        </w:rPr>
        <w:t>.</w:t>
      </w:r>
    </w:p>
    <w:p w:rsidR="007F5722" w:rsidRPr="007F5722" w:rsidRDefault="007F5722" w:rsidP="007F5722">
      <w:pPr>
        <w:pStyle w:val="a8"/>
        <w:numPr>
          <w:ilvl w:val="0"/>
          <w:numId w:val="25"/>
        </w:numPr>
        <w:spacing w:after="0" w:line="360" w:lineRule="auto"/>
        <w:ind w:left="0" w:firstLine="357"/>
        <w:jc w:val="both"/>
        <w:rPr>
          <w:rStyle w:val="HTML"/>
          <w:rFonts w:ascii="Times New Roman" w:hAnsi="Times New Roman" w:cs="Times New Roman"/>
          <w:i w:val="0"/>
          <w:iCs w:val="0"/>
          <w:sz w:val="28"/>
          <w:szCs w:val="28"/>
        </w:rPr>
      </w:pPr>
      <w:r w:rsidRPr="007F5722">
        <w:rPr>
          <w:rStyle w:val="cit-name-surname"/>
          <w:rFonts w:ascii="Times New Roman" w:eastAsia="Times New Roman" w:hAnsi="Times New Roman" w:cs="Times New Roman"/>
          <w:sz w:val="28"/>
          <w:szCs w:val="28"/>
          <w:lang w:val="en-US"/>
        </w:rPr>
        <w:t>Hernanz</w:t>
      </w:r>
      <w:r w:rsidRPr="007F5722">
        <w:rPr>
          <w:rStyle w:val="apple-converted-space"/>
          <w:rFonts w:ascii="Times New Roman" w:eastAsia="Times New Roman" w:hAnsi="Times New Roman" w:cs="Times New Roman"/>
          <w:sz w:val="28"/>
          <w:szCs w:val="28"/>
          <w:lang w:val="en-US"/>
        </w:rPr>
        <w:t>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R</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rPr>
        <w:t xml:space="preserve"> </w:t>
      </w:r>
      <w:r w:rsidRPr="007F5722">
        <w:rPr>
          <w:rStyle w:val="cit-name-surname"/>
          <w:rFonts w:ascii="Times New Roman" w:eastAsia="Times New Roman" w:hAnsi="Times New Roman" w:cs="Times New Roman"/>
          <w:sz w:val="28"/>
          <w:szCs w:val="28"/>
          <w:lang w:val="en-US"/>
        </w:rPr>
        <w:t>Martinez</w:t>
      </w:r>
      <w:r w:rsidRPr="007F5722">
        <w:rPr>
          <w:rStyle w:val="cit-name-surname"/>
          <w:rFonts w:ascii="Cambria Math" w:eastAsia="Times New Roman" w:hAnsi="Cambria Math" w:cs="Cambria Math"/>
          <w:sz w:val="28"/>
          <w:szCs w:val="28"/>
          <w:lang w:val="en-US"/>
        </w:rPr>
        <w:t>‐</w:t>
      </w:r>
      <w:r w:rsidRPr="007F5722">
        <w:rPr>
          <w:rStyle w:val="cit-name-surname"/>
          <w:rFonts w:ascii="Times New Roman" w:eastAsia="Times New Roman" w:hAnsi="Times New Roman" w:cs="Times New Roman"/>
          <w:sz w:val="28"/>
          <w:szCs w:val="28"/>
          <w:lang w:val="en-US"/>
        </w:rPr>
        <w:t>Revelles</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S</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xml:space="preserve"> </w:t>
      </w:r>
      <w:r w:rsidRPr="007F5722">
        <w:rPr>
          <w:rStyle w:val="cit-name-surname"/>
          <w:rFonts w:ascii="Times New Roman" w:eastAsia="Times New Roman" w:hAnsi="Times New Roman" w:cs="Times New Roman"/>
          <w:sz w:val="28"/>
          <w:szCs w:val="28"/>
          <w:lang w:val="en-US"/>
        </w:rPr>
        <w:t>Palacios</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R</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rPr>
        <w:t xml:space="preserve"> </w:t>
      </w:r>
      <w:r w:rsidRPr="007F5722">
        <w:rPr>
          <w:rStyle w:val="cit-name-surname"/>
          <w:rFonts w:ascii="Times New Roman" w:eastAsia="Times New Roman" w:hAnsi="Times New Roman" w:cs="Times New Roman"/>
          <w:sz w:val="28"/>
          <w:szCs w:val="28"/>
          <w:lang w:val="en-US"/>
        </w:rPr>
        <w:t>Martin</w:t>
      </w:r>
      <w:r w:rsidRPr="007F5722">
        <w:rPr>
          <w:rStyle w:val="apple-converted-space"/>
          <w:rFonts w:ascii="Times New Roman" w:eastAsia="Times New Roman" w:hAnsi="Times New Roman" w:cs="Times New Roman"/>
          <w:sz w:val="28"/>
          <w:szCs w:val="28"/>
        </w:rPr>
        <w:t xml:space="preserve"> </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A</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rPr>
        <w:t xml:space="preserve"> </w:t>
      </w:r>
      <w:r w:rsidRPr="007F5722">
        <w:rPr>
          <w:rStyle w:val="cit-name-surname"/>
          <w:rFonts w:ascii="Times New Roman" w:eastAsia="Times New Roman" w:hAnsi="Times New Roman" w:cs="Times New Roman"/>
          <w:sz w:val="28"/>
          <w:szCs w:val="28"/>
          <w:lang w:val="en-US"/>
        </w:rPr>
        <w:t>Cachofeiro</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V</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rPr>
        <w:t xml:space="preserve"> </w:t>
      </w:r>
      <w:r w:rsidRPr="007F5722">
        <w:rPr>
          <w:rStyle w:val="cit-name-surname"/>
          <w:rFonts w:ascii="Times New Roman" w:eastAsia="Times New Roman" w:hAnsi="Times New Roman" w:cs="Times New Roman"/>
          <w:sz w:val="28"/>
          <w:szCs w:val="28"/>
          <w:lang w:val="en-US"/>
        </w:rPr>
        <w:t>Aguado</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A</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HTML"/>
          <w:rFonts w:ascii="Times New Roman" w:eastAsia="Times New Roman" w:hAnsi="Times New Roman" w:cs="Times New Roman"/>
          <w:sz w:val="28"/>
          <w:szCs w:val="28"/>
        </w:rPr>
        <w:t xml:space="preserve"> </w:t>
      </w:r>
      <w:r w:rsidRPr="007F5722">
        <w:rPr>
          <w:rStyle w:val="cit-name-surname"/>
          <w:rFonts w:ascii="Times New Roman" w:eastAsia="Times New Roman" w:hAnsi="Times New Roman" w:cs="Times New Roman"/>
          <w:sz w:val="28"/>
          <w:szCs w:val="28"/>
          <w:lang w:val="en-US"/>
        </w:rPr>
        <w:t>Garcia</w:t>
      </w:r>
      <w:r w:rsidRPr="007F5722">
        <w:rPr>
          <w:rStyle w:val="cit-name-surname"/>
          <w:rFonts w:ascii="Cambria Math" w:eastAsia="Times New Roman" w:hAnsi="Cambria Math" w:cs="Cambria Math"/>
          <w:sz w:val="28"/>
          <w:szCs w:val="28"/>
          <w:lang w:val="en-US"/>
        </w:rPr>
        <w:t>‐</w:t>
      </w:r>
      <w:r w:rsidRPr="007F5722">
        <w:rPr>
          <w:rStyle w:val="cit-name-surname"/>
          <w:rFonts w:ascii="Times New Roman" w:eastAsia="Times New Roman" w:hAnsi="Times New Roman" w:cs="Times New Roman"/>
          <w:sz w:val="28"/>
          <w:szCs w:val="28"/>
          <w:lang w:val="en-US"/>
        </w:rPr>
        <w:t>Redondo</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L</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rPr>
        <w:t xml:space="preserve"> </w:t>
      </w:r>
      <w:r w:rsidRPr="007F5722">
        <w:rPr>
          <w:rStyle w:val="cit-name-surname"/>
          <w:rFonts w:ascii="Times New Roman" w:eastAsia="Times New Roman" w:hAnsi="Times New Roman" w:cs="Times New Roman"/>
          <w:sz w:val="28"/>
          <w:szCs w:val="28"/>
          <w:lang w:val="en-US"/>
        </w:rPr>
        <w:t>Barrus</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M</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T</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cit-name-surname"/>
          <w:rFonts w:ascii="Times New Roman" w:eastAsia="Times New Roman" w:hAnsi="Times New Roman" w:cs="Times New Roman"/>
          <w:sz w:val="28"/>
          <w:szCs w:val="28"/>
          <w:lang w:val="en-US"/>
        </w:rPr>
        <w:t xml:space="preserve"> de Batista</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P</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R</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rPr>
        <w:t xml:space="preserve"> </w:t>
      </w:r>
      <w:r w:rsidRPr="007F5722">
        <w:rPr>
          <w:rStyle w:val="cit-name-surname"/>
          <w:rFonts w:ascii="Times New Roman" w:eastAsia="Times New Roman" w:hAnsi="Times New Roman" w:cs="Times New Roman"/>
          <w:sz w:val="28"/>
          <w:szCs w:val="28"/>
          <w:lang w:val="en-US"/>
        </w:rPr>
        <w:t>Briones</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A</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M</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rPr>
        <w:t xml:space="preserve"> </w:t>
      </w:r>
      <w:r w:rsidRPr="007F5722">
        <w:rPr>
          <w:rStyle w:val="cit-name-surname"/>
          <w:rFonts w:ascii="Times New Roman" w:eastAsia="Times New Roman" w:hAnsi="Times New Roman" w:cs="Times New Roman"/>
          <w:sz w:val="28"/>
          <w:szCs w:val="28"/>
          <w:lang w:val="en-US"/>
        </w:rPr>
        <w:t>Salaices</w:t>
      </w:r>
      <w:r w:rsidRPr="007F5722">
        <w:rPr>
          <w:rStyle w:val="cit-auth"/>
          <w:rFonts w:ascii="Times New Roman" w:eastAsia="Times New Roman" w:hAnsi="Times New Roman" w:cs="Times New Roman"/>
          <w:sz w:val="28"/>
          <w:szCs w:val="28"/>
          <w:lang w:val="en-US"/>
        </w:rPr>
        <w:t xml:space="preserve"> </w:t>
      </w:r>
      <w:r w:rsidRPr="007F5722">
        <w:rPr>
          <w:rStyle w:val="cit-name-given-names"/>
          <w:rFonts w:ascii="Times New Roman" w:eastAsia="Times New Roman" w:hAnsi="Times New Roman" w:cs="Times New Roman"/>
          <w:sz w:val="28"/>
          <w:szCs w:val="28"/>
          <w:lang w:val="en-US"/>
        </w:rPr>
        <w:t>M</w:t>
      </w:r>
      <w:r w:rsidRPr="007F5722">
        <w:rPr>
          <w:rStyle w:val="cit-name-given-names"/>
          <w:rFonts w:ascii="Times New Roman" w:eastAsia="Times New Roman" w:hAnsi="Times New Roman" w:cs="Times New Roman"/>
          <w:sz w:val="28"/>
          <w:szCs w:val="28"/>
        </w:rPr>
        <w:t>.</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rPr>
        <w:t xml:space="preserve"> </w:t>
      </w:r>
      <w:r w:rsidRPr="007F5722">
        <w:rPr>
          <w:rStyle w:val="cit-name-surname"/>
          <w:rFonts w:ascii="Times New Roman" w:eastAsia="Times New Roman" w:hAnsi="Times New Roman" w:cs="Times New Roman"/>
          <w:sz w:val="28"/>
          <w:szCs w:val="28"/>
          <w:lang w:val="en-US"/>
        </w:rPr>
        <w:t>Alonso</w:t>
      </w:r>
      <w:r w:rsidRPr="007F5722">
        <w:rPr>
          <w:rStyle w:val="apple-converted-space"/>
          <w:rFonts w:ascii="Times New Roman" w:eastAsia="Times New Roman" w:hAnsi="Times New Roman" w:cs="Times New Roman"/>
          <w:sz w:val="28"/>
          <w:szCs w:val="28"/>
        </w:rPr>
        <w:t xml:space="preserve"> </w:t>
      </w:r>
      <w:r w:rsidRPr="007F5722">
        <w:rPr>
          <w:rStyle w:val="cit-name-given-names"/>
          <w:rFonts w:ascii="Times New Roman" w:eastAsia="Times New Roman" w:hAnsi="Times New Roman" w:cs="Times New Roman"/>
          <w:sz w:val="28"/>
          <w:szCs w:val="28"/>
          <w:lang w:val="en-US"/>
        </w:rPr>
        <w:t>M</w:t>
      </w:r>
      <w:r w:rsidRPr="007F5722">
        <w:rPr>
          <w:rStyle w:val="cit-name-given-names"/>
          <w:rFonts w:ascii="Times New Roman" w:eastAsia="Times New Roman" w:hAnsi="Times New Roman" w:cs="Times New Roman"/>
          <w:sz w:val="28"/>
          <w:szCs w:val="28"/>
        </w:rPr>
        <w:t>.</w:t>
      </w:r>
      <w:r w:rsidRPr="007F5722">
        <w:rPr>
          <w:rStyle w:val="cit-name-given-names"/>
          <w:rFonts w:ascii="Times New Roman" w:eastAsia="Times New Roman" w:hAnsi="Times New Roman" w:cs="Times New Roman"/>
          <w:sz w:val="28"/>
          <w:szCs w:val="28"/>
          <w:lang w:val="en-US"/>
        </w:rPr>
        <w:t>J</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cit-article-title"/>
          <w:rFonts w:ascii="Times New Roman" w:eastAsia="Times New Roman" w:hAnsi="Times New Roman" w:cs="Times New Roman"/>
          <w:sz w:val="28"/>
          <w:szCs w:val="28"/>
          <w:lang w:val="en-US"/>
        </w:rPr>
        <w:t>Toll</w:t>
      </w:r>
      <w:r w:rsidRPr="007F5722">
        <w:rPr>
          <w:rStyle w:val="cit-article-title"/>
          <w:rFonts w:ascii="Cambria Math" w:eastAsia="Times New Roman" w:hAnsi="Cambria Math" w:cs="Cambria Math"/>
          <w:sz w:val="28"/>
          <w:szCs w:val="28"/>
          <w:lang w:val="en-US"/>
        </w:rPr>
        <w:t>‐</w:t>
      </w:r>
      <w:r w:rsidRPr="007F5722">
        <w:rPr>
          <w:rStyle w:val="cit-article-title"/>
          <w:rFonts w:ascii="Times New Roman" w:eastAsia="Times New Roman" w:hAnsi="Times New Roman" w:cs="Times New Roman"/>
          <w:sz w:val="28"/>
          <w:szCs w:val="28"/>
          <w:lang w:val="en-US"/>
        </w:rPr>
        <w:t>like receptor 4 contributes to vascular remodelling and endothelial dysfunction in angiotensin II</w:t>
      </w:r>
      <w:r w:rsidRPr="007F5722">
        <w:rPr>
          <w:rStyle w:val="cit-article-title"/>
          <w:rFonts w:ascii="Cambria Math" w:eastAsia="Times New Roman" w:hAnsi="Cambria Math" w:cs="Cambria Math"/>
          <w:sz w:val="28"/>
          <w:szCs w:val="28"/>
          <w:lang w:val="en-US"/>
        </w:rPr>
        <w:t>‐</w:t>
      </w:r>
      <w:r w:rsidRPr="007F5722">
        <w:rPr>
          <w:rStyle w:val="cit-article-title"/>
          <w:rFonts w:ascii="Times New Roman" w:eastAsia="Times New Roman" w:hAnsi="Times New Roman" w:cs="Times New Roman"/>
          <w:sz w:val="28"/>
          <w:szCs w:val="28"/>
          <w:lang w:val="en-US"/>
        </w:rPr>
        <w:t>induced hypertension</w:t>
      </w:r>
      <w:r w:rsidRPr="007F5722">
        <w:rPr>
          <w:rStyle w:val="HTML"/>
          <w:rFonts w:ascii="Times New Roman" w:eastAsia="Times New Roman" w:hAnsi="Times New Roman" w:cs="Times New Roman"/>
          <w:sz w:val="28"/>
          <w:szCs w:val="28"/>
          <w:lang w:val="en-US"/>
        </w:rPr>
        <w:t>.</w:t>
      </w:r>
      <w:r w:rsidRPr="007F5722">
        <w:rPr>
          <w:rStyle w:val="apple-converted-space"/>
          <w:rFonts w:ascii="Times New Roman" w:eastAsia="Times New Roman" w:hAnsi="Times New Roman" w:cs="Times New Roman"/>
          <w:sz w:val="28"/>
          <w:szCs w:val="28"/>
          <w:lang w:val="en-US"/>
        </w:rPr>
        <w:t> </w:t>
      </w:r>
      <w:r w:rsidRPr="007F5722">
        <w:rPr>
          <w:rStyle w:val="HTML"/>
          <w:rFonts w:ascii="Times New Roman" w:eastAsia="Times New Roman" w:hAnsi="Times New Roman" w:cs="Times New Roman"/>
          <w:sz w:val="28"/>
          <w:szCs w:val="28"/>
          <w:lang w:val="en-US"/>
        </w:rPr>
        <w:t>Br J Pharmacol.</w:t>
      </w:r>
      <w:r w:rsidRPr="007F5722">
        <w:rPr>
          <w:rStyle w:val="apple-converted-space"/>
          <w:rFonts w:ascii="Times New Roman" w:eastAsia="Times New Roman" w:hAnsi="Times New Roman" w:cs="Times New Roman"/>
          <w:sz w:val="28"/>
          <w:szCs w:val="28"/>
          <w:lang w:val="en-US"/>
        </w:rPr>
        <w:t> </w:t>
      </w:r>
      <w:r w:rsidRPr="007F5722">
        <w:rPr>
          <w:rStyle w:val="cit-pub-date"/>
          <w:rFonts w:ascii="Times New Roman" w:eastAsia="Times New Roman" w:hAnsi="Times New Roman" w:cs="Times New Roman"/>
          <w:sz w:val="28"/>
          <w:szCs w:val="28"/>
          <w:lang w:val="en-US"/>
        </w:rPr>
        <w:t>2015</w:t>
      </w:r>
      <w:r w:rsidRPr="007F5722">
        <w:rPr>
          <w:rStyle w:val="HTML"/>
          <w:rFonts w:ascii="Times New Roman" w:eastAsia="Times New Roman" w:hAnsi="Times New Roman" w:cs="Times New Roman"/>
          <w:sz w:val="28"/>
          <w:szCs w:val="28"/>
          <w:lang w:val="en-US"/>
        </w:rPr>
        <w:t>;</w:t>
      </w:r>
      <w:r w:rsidRPr="007F5722">
        <w:rPr>
          <w:rStyle w:val="cit-vol"/>
          <w:rFonts w:ascii="Times New Roman" w:eastAsia="Times New Roman" w:hAnsi="Times New Roman" w:cs="Times New Roman"/>
          <w:bCs/>
          <w:sz w:val="28"/>
          <w:szCs w:val="28"/>
          <w:lang w:val="en-US"/>
        </w:rPr>
        <w:t>172</w:t>
      </w:r>
      <w:r w:rsidRPr="007F5722">
        <w:rPr>
          <w:rStyle w:val="HTML"/>
          <w:rFonts w:ascii="Times New Roman" w:eastAsia="Times New Roman" w:hAnsi="Times New Roman" w:cs="Times New Roman"/>
          <w:sz w:val="28"/>
          <w:szCs w:val="28"/>
          <w:lang w:val="en-US"/>
        </w:rPr>
        <w:t>:</w:t>
      </w:r>
      <w:r w:rsidRPr="007F5722">
        <w:rPr>
          <w:rStyle w:val="cit-fpage"/>
          <w:rFonts w:ascii="Times New Roman" w:eastAsia="Times New Roman" w:hAnsi="Times New Roman" w:cs="Times New Roman"/>
          <w:sz w:val="28"/>
          <w:szCs w:val="28"/>
          <w:lang w:val="en-US"/>
        </w:rPr>
        <w:t>3159</w:t>
      </w:r>
      <w:r w:rsidRPr="007F5722">
        <w:rPr>
          <w:rStyle w:val="HTML"/>
          <w:rFonts w:ascii="Times New Roman" w:eastAsia="Times New Roman" w:hAnsi="Times New Roman" w:cs="Times New Roman"/>
          <w:sz w:val="28"/>
          <w:szCs w:val="28"/>
          <w:lang w:val="en-US"/>
        </w:rPr>
        <w:t>–</w:t>
      </w:r>
      <w:r w:rsidRPr="007F5722">
        <w:rPr>
          <w:rStyle w:val="cit-lpage"/>
          <w:rFonts w:ascii="Times New Roman" w:eastAsia="Times New Roman" w:hAnsi="Times New Roman" w:cs="Times New Roman"/>
          <w:sz w:val="28"/>
          <w:szCs w:val="28"/>
          <w:lang w:val="en-US"/>
        </w:rPr>
        <w:t>3176</w:t>
      </w:r>
      <w:r w:rsidRPr="007F5722">
        <w:rPr>
          <w:rStyle w:val="HTML"/>
          <w:rFonts w:ascii="Times New Roman" w:eastAsia="Times New Roman" w:hAnsi="Times New Roman" w:cs="Times New Roman"/>
          <w:sz w:val="28"/>
          <w:szCs w:val="28"/>
          <w:lang w:val="en-US"/>
        </w:rPr>
        <w:t>.</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rPr>
        <w:t>Sabat R</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en-US"/>
        </w:rPr>
        <w:t>, Ouyang W</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en-US"/>
        </w:rPr>
        <w:t>, Wolk K. Therapeutic opportunities of the IL-22-IL-22R1 system. </w:t>
      </w:r>
      <w:r w:rsidRPr="007F5722">
        <w:rPr>
          <w:rFonts w:ascii="Times New Roman" w:eastAsia="Times New Roman" w:hAnsi="Times New Roman" w:cs="Times New Roman"/>
          <w:i/>
          <w:sz w:val="28"/>
          <w:szCs w:val="28"/>
          <w:lang w:val="en-US"/>
        </w:rPr>
        <w:t>Nat Rev Drug Discovery</w:t>
      </w:r>
      <w:r w:rsidRPr="007F5722">
        <w:rPr>
          <w:rFonts w:ascii="Times New Roman" w:eastAsia="Times New Roman" w:hAnsi="Times New Roman" w:cs="Times New Roman"/>
          <w:sz w:val="28"/>
          <w:szCs w:val="28"/>
          <w:lang w:val="en-US"/>
        </w:rPr>
        <w:t>. 2014;13(1):21–38. doi: 10.1038/nrd4176.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de-DE"/>
        </w:rPr>
        <w:t>Wang X</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de-DE"/>
        </w:rPr>
        <w:t>, Ota N</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de-DE"/>
        </w:rPr>
        <w:t>, Manzanillo P</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de-DE"/>
        </w:rPr>
        <w:t>, Kates L</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de-DE"/>
        </w:rPr>
        <w:t>, Zavala-Solorio J</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de-DE"/>
        </w:rPr>
        <w:t>, Eidenschenk C</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de-DE"/>
        </w:rPr>
        <w:t xml:space="preserve">, et al. </w:t>
      </w:r>
      <w:r w:rsidRPr="007F5722">
        <w:rPr>
          <w:rFonts w:ascii="Times New Roman" w:eastAsia="Times New Roman" w:hAnsi="Times New Roman" w:cs="Times New Roman"/>
          <w:sz w:val="28"/>
          <w:szCs w:val="28"/>
          <w:lang w:val="en-US"/>
        </w:rPr>
        <w:t>Interleukin-22 alleviates metabolic disorders and restores mucosal immunity in diabetes. Nature. 2014;514(7521):237–241.</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de-DE"/>
        </w:rPr>
        <w:t>Park O</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de-DE"/>
        </w:rPr>
        <w:t>, Ki S</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de-DE"/>
        </w:rPr>
        <w:t>H</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de-DE"/>
        </w:rPr>
        <w:t>, Xu M</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de-DE"/>
        </w:rPr>
        <w:t>, Wang H</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de-DE"/>
        </w:rPr>
        <w:t>, Feng D</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de-DE"/>
        </w:rPr>
        <w:t>, Tam J</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de-DE"/>
        </w:rPr>
        <w:t xml:space="preserve"> et al. </w:t>
      </w:r>
      <w:r w:rsidRPr="007F5722">
        <w:rPr>
          <w:rFonts w:ascii="Times New Roman" w:eastAsia="Times New Roman" w:hAnsi="Times New Roman" w:cs="Times New Roman"/>
          <w:sz w:val="28"/>
          <w:szCs w:val="28"/>
          <w:lang w:val="en-US"/>
        </w:rPr>
        <w:t>Biologically active, high levels of interleukin-22 inhibit hepatic gluconeogenesis but do not affect obesity and its metabolic consequences.</w:t>
      </w:r>
      <w:r w:rsidRPr="007F5722">
        <w:rPr>
          <w:rFonts w:ascii="Times New Roman" w:eastAsia="Times New Roman" w:hAnsi="Times New Roman" w:cs="Times New Roman"/>
          <w:sz w:val="28"/>
          <w:szCs w:val="28"/>
        </w:rPr>
        <w:t xml:space="preserve"> </w:t>
      </w:r>
      <w:r w:rsidRPr="007F5722">
        <w:rPr>
          <w:rFonts w:ascii="Times New Roman" w:eastAsia="Times New Roman" w:hAnsi="Times New Roman" w:cs="Times New Roman"/>
          <w:i/>
          <w:sz w:val="28"/>
          <w:szCs w:val="28"/>
          <w:lang w:val="en-US"/>
        </w:rPr>
        <w:t>Cell Biosci</w:t>
      </w:r>
      <w:r w:rsidRPr="007F5722">
        <w:rPr>
          <w:rFonts w:ascii="Times New Roman" w:eastAsia="Times New Roman" w:hAnsi="Times New Roman" w:cs="Times New Roman"/>
          <w:sz w:val="28"/>
          <w:szCs w:val="28"/>
          <w:lang w:val="en-US"/>
        </w:rPr>
        <w:t>.</w:t>
      </w:r>
      <w:r w:rsidRPr="007F5722">
        <w:rPr>
          <w:rFonts w:ascii="Times New Roman" w:eastAsia="Times New Roman" w:hAnsi="Times New Roman" w:cs="Times New Roman"/>
          <w:sz w:val="28"/>
          <w:szCs w:val="28"/>
        </w:rPr>
        <w:t xml:space="preserve"> </w:t>
      </w:r>
      <w:r w:rsidRPr="007F5722">
        <w:rPr>
          <w:rFonts w:ascii="Times New Roman" w:eastAsia="Times New Roman" w:hAnsi="Times New Roman" w:cs="Times New Roman"/>
          <w:sz w:val="28"/>
          <w:szCs w:val="28"/>
          <w:lang w:val="en-US"/>
        </w:rPr>
        <w:t>2015;</w:t>
      </w:r>
      <w:r w:rsidRPr="007F5722">
        <w:rPr>
          <w:rFonts w:ascii="Times New Roman" w:eastAsia="Times New Roman" w:hAnsi="Times New Roman" w:cs="Times New Roman"/>
          <w:sz w:val="28"/>
          <w:szCs w:val="28"/>
        </w:rPr>
        <w:t xml:space="preserve"> </w:t>
      </w:r>
      <w:r w:rsidRPr="007F5722">
        <w:rPr>
          <w:rFonts w:ascii="Times New Roman" w:eastAsia="Times New Roman" w:hAnsi="Times New Roman" w:cs="Times New Roman"/>
          <w:sz w:val="28"/>
          <w:szCs w:val="28"/>
          <w:lang w:val="en-US"/>
        </w:rPr>
        <w:t>5:25. doi: 10.1186/s13578-015-0015-0.</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rPr>
        <w:t>Guo H</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en-US"/>
        </w:rPr>
        <w:t>, Xu B</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en-US"/>
        </w:rPr>
        <w:t>C</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en-US"/>
        </w:rPr>
        <w:t>, Yang X</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en-US"/>
        </w:rPr>
        <w:t>G</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en-US"/>
        </w:rPr>
        <w:t>, Peng D</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en-US"/>
        </w:rPr>
        <w:t>, Wang Y</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en-US"/>
        </w:rPr>
        <w:t>, Liu X</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en-US"/>
        </w:rPr>
        <w:t>B</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en-US"/>
        </w:rPr>
        <w:t xml:space="preserve"> et al. A high frequency of peripheral blood IL-22 CD4 T cells in patients with new onset type 2 </w:t>
      </w:r>
      <w:r w:rsidRPr="007F5722">
        <w:rPr>
          <w:rFonts w:ascii="Times New Roman" w:eastAsia="Times New Roman" w:hAnsi="Times New Roman" w:cs="Times New Roman"/>
          <w:sz w:val="28"/>
          <w:szCs w:val="28"/>
          <w:lang w:val="en-US"/>
        </w:rPr>
        <w:lastRenderedPageBreak/>
        <w:t>diabetes mellitus. </w:t>
      </w:r>
      <w:r w:rsidRPr="007F5722">
        <w:rPr>
          <w:rFonts w:ascii="Times New Roman" w:hAnsi="Times New Roman" w:cs="Times New Roman"/>
          <w:sz w:val="28"/>
          <w:szCs w:val="28"/>
          <w:shd w:val="clear" w:color="auto" w:fill="FFFFFF"/>
          <w:lang w:val="en-US"/>
        </w:rPr>
        <w:t xml:space="preserve"> </w:t>
      </w:r>
      <w:r w:rsidRPr="007F5722">
        <w:rPr>
          <w:rFonts w:ascii="Times New Roman" w:hAnsi="Times New Roman" w:cs="Times New Roman"/>
          <w:i/>
          <w:sz w:val="28"/>
          <w:szCs w:val="28"/>
          <w:shd w:val="clear" w:color="auto" w:fill="FFFFFF"/>
          <w:lang w:val="en-US"/>
        </w:rPr>
        <w:t>PLoS One</w:t>
      </w:r>
      <w:r w:rsidRPr="007F5722">
        <w:rPr>
          <w:rFonts w:ascii="Times New Roman" w:hAnsi="Times New Roman" w:cs="Times New Roman"/>
          <w:i/>
          <w:sz w:val="28"/>
          <w:szCs w:val="28"/>
          <w:shd w:val="clear" w:color="auto" w:fill="FFFFFF"/>
        </w:rPr>
        <w:t>.</w:t>
      </w:r>
      <w:r w:rsidRPr="007F5722">
        <w:rPr>
          <w:rFonts w:ascii="Times New Roman" w:hAnsi="Times New Roman" w:cs="Times New Roman"/>
          <w:sz w:val="28"/>
          <w:szCs w:val="28"/>
          <w:shd w:val="clear" w:color="auto" w:fill="FFFFFF"/>
          <w:lang w:val="en-US"/>
        </w:rPr>
        <w:t xml:space="preserve"> 2013; 8(7): e68446. doi: 10.1371/journal.pone.0068446</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rPr>
        <w:t>Fabbrini E</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en-US"/>
        </w:rPr>
        <w:t>, Cella M</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en-US"/>
        </w:rPr>
        <w:t>, McCartney S</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en-US"/>
        </w:rPr>
        <w:t>A</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en-US"/>
        </w:rPr>
        <w:t>, Fuchs A</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en-US"/>
        </w:rPr>
        <w:t>, Abumrad N</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en-US"/>
        </w:rPr>
        <w:t>A</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en-US"/>
        </w:rPr>
        <w:t>, Pietka T</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en-US"/>
        </w:rPr>
        <w:t>A</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en-US"/>
        </w:rPr>
        <w:t xml:space="preserve"> et al. Association between specific adipose tissue CD4+ T-cell populations and insulin resistance in obese individuals. </w:t>
      </w:r>
      <w:r w:rsidRPr="007F5722">
        <w:rPr>
          <w:rFonts w:ascii="Times New Roman" w:eastAsia="Times New Roman" w:hAnsi="Times New Roman" w:cs="Times New Roman"/>
          <w:i/>
          <w:sz w:val="28"/>
          <w:szCs w:val="28"/>
          <w:lang w:val="en-US"/>
        </w:rPr>
        <w:t>Gastroenterology</w:t>
      </w:r>
      <w:r w:rsidRPr="007F5722">
        <w:rPr>
          <w:rFonts w:ascii="Times New Roman" w:eastAsia="Times New Roman" w:hAnsi="Times New Roman" w:cs="Times New Roman"/>
          <w:sz w:val="28"/>
          <w:szCs w:val="28"/>
          <w:lang w:val="en-US"/>
        </w:rPr>
        <w:t>. 2013;145(2):366–74 e1-3. doi:10.1053/j.gastro.2013.04.010.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rPr>
        <w:t>Dalmas E</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en-US"/>
        </w:rPr>
        <w:t>, Venteclef N</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en-US"/>
        </w:rPr>
        <w:t>, Caer C</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en-US"/>
        </w:rPr>
        <w:t>, Poitou C</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en-US"/>
        </w:rPr>
        <w:t>, Cremer I</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en-US"/>
        </w:rPr>
        <w:t>, Aron-Wisnewsky J</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en-US"/>
        </w:rPr>
        <w:t xml:space="preserve"> et al. T cell-derived IL-22 amplifies IL-1beta-driven inflammation in human adipose tissue: relevance to obesity and type 2 diabetes. </w:t>
      </w:r>
      <w:r w:rsidRPr="007F5722">
        <w:rPr>
          <w:rFonts w:ascii="Times New Roman" w:eastAsia="Times New Roman" w:hAnsi="Times New Roman" w:cs="Times New Roman"/>
          <w:i/>
          <w:sz w:val="28"/>
          <w:szCs w:val="28"/>
          <w:lang w:val="en-US"/>
        </w:rPr>
        <w:t>Diabetes</w:t>
      </w:r>
      <w:r w:rsidRPr="007F5722">
        <w:rPr>
          <w:rFonts w:ascii="Times New Roman" w:eastAsia="Times New Roman" w:hAnsi="Times New Roman" w:cs="Times New Roman"/>
          <w:sz w:val="28"/>
          <w:szCs w:val="28"/>
          <w:lang w:val="en-US"/>
        </w:rPr>
        <w:t>. 2014;63(6):1966–1977. doi: 10.2337/db13-1511.</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rPr>
        <w:t>Hasnain S</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en-US"/>
        </w:rPr>
        <w:t>Z</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en-US"/>
        </w:rPr>
        <w:t>, Borg D</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en-US"/>
        </w:rPr>
        <w:t>J</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en-US"/>
        </w:rPr>
        <w:t>, Harcourt B</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en-US"/>
        </w:rPr>
        <w:t>E</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en-US"/>
        </w:rPr>
        <w:t>, Tong H, Sheng Y</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en-US"/>
        </w:rPr>
        <w:t>H</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en-US"/>
        </w:rPr>
        <w:t>, Ng C</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en-US"/>
        </w:rPr>
        <w:t>P</w:t>
      </w:r>
      <w:r w:rsidRPr="007F5722">
        <w:rPr>
          <w:rFonts w:ascii="Times New Roman" w:eastAsia="Times New Roman" w:hAnsi="Times New Roman" w:cs="Times New Roman"/>
          <w:sz w:val="28"/>
          <w:szCs w:val="28"/>
        </w:rPr>
        <w:t>.</w:t>
      </w:r>
      <w:r w:rsidRPr="007F5722">
        <w:rPr>
          <w:rFonts w:ascii="Times New Roman" w:eastAsia="Times New Roman" w:hAnsi="Times New Roman" w:cs="Times New Roman"/>
          <w:sz w:val="28"/>
          <w:szCs w:val="28"/>
          <w:lang w:val="en-US"/>
        </w:rPr>
        <w:t xml:space="preserve"> et al. Glycemic control in diabetes is restored by therapeutic manipulation of cytokines that regulate beta cell stress. </w:t>
      </w:r>
      <w:r w:rsidRPr="007F5722">
        <w:rPr>
          <w:rFonts w:ascii="Times New Roman" w:eastAsia="Times New Roman" w:hAnsi="Times New Roman" w:cs="Times New Roman"/>
          <w:i/>
          <w:sz w:val="28"/>
          <w:szCs w:val="28"/>
          <w:lang w:val="en-US"/>
        </w:rPr>
        <w:t>Nat Med.</w:t>
      </w:r>
      <w:r w:rsidRPr="007F5722">
        <w:rPr>
          <w:rFonts w:ascii="Times New Roman" w:eastAsia="Times New Roman" w:hAnsi="Times New Roman" w:cs="Times New Roman"/>
          <w:sz w:val="28"/>
          <w:szCs w:val="28"/>
          <w:lang w:val="en-US"/>
        </w:rPr>
        <w:t> 2014;</w:t>
      </w:r>
      <w:r w:rsidRPr="007F5722">
        <w:rPr>
          <w:rFonts w:ascii="Times New Roman" w:eastAsia="Times New Roman" w:hAnsi="Times New Roman" w:cs="Times New Roman"/>
          <w:sz w:val="28"/>
          <w:szCs w:val="28"/>
        </w:rPr>
        <w:t xml:space="preserve"> </w:t>
      </w:r>
      <w:r w:rsidRPr="007F5722">
        <w:rPr>
          <w:rFonts w:ascii="Times New Roman" w:eastAsia="Times New Roman" w:hAnsi="Times New Roman" w:cs="Times New Roman"/>
          <w:sz w:val="28"/>
          <w:szCs w:val="28"/>
          <w:lang w:val="en-US"/>
        </w:rPr>
        <w:t>20(12):1417–1426. doi: 10.1038/nm.3705.</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rPr>
        <w:t> Zhang Yi., Lelong H., Kretz S. еt аl. Characteristics and Future Cardiovascular Risk of Patients With Not-At-Goal Hypertension in General Practice in France: The AVANT’AGE Study // J. Clin. Hypertens. (Greenwich). — 2013. — Vol. 15. — P. 291-295.</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shd w:val="clear" w:color="auto" w:fill="FFFFFF"/>
          <w:lang w:val="en-US"/>
        </w:rPr>
        <w:t>Piepoli M</w:t>
      </w:r>
      <w:r w:rsidRPr="007F5722">
        <w:rPr>
          <w:rFonts w:ascii="Times New Roman" w:hAnsi="Times New Roman" w:cs="Times New Roman"/>
          <w:sz w:val="28"/>
          <w:szCs w:val="28"/>
          <w:shd w:val="clear" w:color="auto" w:fill="FFFFFF"/>
        </w:rPr>
        <w:t>.</w:t>
      </w:r>
      <w:r w:rsidRPr="007F5722">
        <w:rPr>
          <w:rFonts w:ascii="Times New Roman" w:hAnsi="Times New Roman" w:cs="Times New Roman"/>
          <w:sz w:val="28"/>
          <w:szCs w:val="28"/>
          <w:shd w:val="clear" w:color="auto" w:fill="FFFFFF"/>
          <w:lang w:val="en-US"/>
        </w:rPr>
        <w:t>F</w:t>
      </w:r>
      <w:r w:rsidRPr="007F5722">
        <w:rPr>
          <w:rFonts w:ascii="Times New Roman" w:hAnsi="Times New Roman" w:cs="Times New Roman"/>
          <w:sz w:val="28"/>
          <w:szCs w:val="28"/>
          <w:shd w:val="clear" w:color="auto" w:fill="FFFFFF"/>
        </w:rPr>
        <w:t>.</w:t>
      </w:r>
      <w:r w:rsidRPr="007F5722">
        <w:rPr>
          <w:rFonts w:ascii="Times New Roman" w:hAnsi="Times New Roman" w:cs="Times New Roman"/>
          <w:sz w:val="28"/>
          <w:szCs w:val="28"/>
          <w:shd w:val="clear" w:color="auto" w:fill="FFFFFF"/>
          <w:lang w:val="en-US"/>
        </w:rPr>
        <w:t>, Hoes A</w:t>
      </w:r>
      <w:r w:rsidRPr="007F5722">
        <w:rPr>
          <w:rFonts w:ascii="Times New Roman" w:hAnsi="Times New Roman" w:cs="Times New Roman"/>
          <w:sz w:val="28"/>
          <w:szCs w:val="28"/>
          <w:shd w:val="clear" w:color="auto" w:fill="FFFFFF"/>
        </w:rPr>
        <w:t>.</w:t>
      </w:r>
      <w:r w:rsidRPr="007F5722">
        <w:rPr>
          <w:rFonts w:ascii="Times New Roman" w:hAnsi="Times New Roman" w:cs="Times New Roman"/>
          <w:sz w:val="28"/>
          <w:szCs w:val="28"/>
          <w:shd w:val="clear" w:color="auto" w:fill="FFFFFF"/>
          <w:lang w:val="en-US"/>
        </w:rPr>
        <w:t>W</w:t>
      </w:r>
      <w:r w:rsidRPr="007F5722">
        <w:rPr>
          <w:rFonts w:ascii="Times New Roman" w:hAnsi="Times New Roman" w:cs="Times New Roman"/>
          <w:sz w:val="28"/>
          <w:szCs w:val="28"/>
          <w:shd w:val="clear" w:color="auto" w:fill="FFFFFF"/>
        </w:rPr>
        <w:t>.</w:t>
      </w:r>
      <w:r w:rsidRPr="007F5722">
        <w:rPr>
          <w:rFonts w:ascii="Times New Roman" w:hAnsi="Times New Roman" w:cs="Times New Roman"/>
          <w:sz w:val="28"/>
          <w:szCs w:val="28"/>
          <w:shd w:val="clear" w:color="auto" w:fill="FFFFFF"/>
          <w:lang w:val="en-US"/>
        </w:rPr>
        <w:t>, Agewall S</w:t>
      </w:r>
      <w:r w:rsidRPr="007F5722">
        <w:rPr>
          <w:rFonts w:ascii="Times New Roman" w:hAnsi="Times New Roman" w:cs="Times New Roman"/>
          <w:sz w:val="28"/>
          <w:szCs w:val="28"/>
          <w:shd w:val="clear" w:color="auto" w:fill="FFFFFF"/>
        </w:rPr>
        <w:t>.</w:t>
      </w:r>
      <w:r w:rsidRPr="007F5722">
        <w:rPr>
          <w:rFonts w:ascii="Times New Roman" w:hAnsi="Times New Roman" w:cs="Times New Roman"/>
          <w:sz w:val="28"/>
          <w:szCs w:val="28"/>
          <w:shd w:val="clear" w:color="auto" w:fill="FFFFFF"/>
          <w:lang w:val="en-US"/>
        </w:rPr>
        <w:t xml:space="preserve"> et al. </w:t>
      </w:r>
      <w:r w:rsidRPr="007F5722">
        <w:rPr>
          <w:rStyle w:val="ref-title"/>
          <w:rFonts w:ascii="Times New Roman" w:hAnsi="Times New Roman" w:cs="Times New Roman"/>
          <w:sz w:val="28"/>
          <w:szCs w:val="28"/>
          <w:shd w:val="clear" w:color="auto" w:fill="FFFFFF"/>
          <w:lang w:val="en-US"/>
        </w:rPr>
        <w:t>2016 European guidelines on cardiovascular disease prevention in clinical practice: the Sixth Joint Task Force of the European Society of Cardiology and Other Societies on Cardiovascular Disease Prevention in Clinical Practice</w:t>
      </w:r>
      <w:r w:rsidRPr="007F5722">
        <w:rPr>
          <w:rFonts w:ascii="Times New Roman" w:hAnsi="Times New Roman" w:cs="Times New Roman"/>
          <w:sz w:val="28"/>
          <w:szCs w:val="28"/>
          <w:shd w:val="clear" w:color="auto" w:fill="FFFFFF"/>
          <w:lang w:val="en-US"/>
        </w:rPr>
        <w:t>. </w:t>
      </w:r>
      <w:r w:rsidRPr="007F5722">
        <w:rPr>
          <w:rStyle w:val="ref-journal"/>
          <w:rFonts w:ascii="Times New Roman" w:hAnsi="Times New Roman" w:cs="Times New Roman"/>
          <w:i/>
          <w:sz w:val="28"/>
          <w:szCs w:val="28"/>
          <w:shd w:val="clear" w:color="auto" w:fill="FFFFFF"/>
          <w:lang w:val="en-US"/>
        </w:rPr>
        <w:t>Eur J Prev Cardiol</w:t>
      </w:r>
      <w:r w:rsidRPr="007F5722">
        <w:rPr>
          <w:rStyle w:val="ref-journal"/>
          <w:rFonts w:ascii="Times New Roman" w:hAnsi="Times New Roman" w:cs="Times New Roman"/>
          <w:i/>
          <w:sz w:val="28"/>
          <w:szCs w:val="28"/>
          <w:shd w:val="clear" w:color="auto" w:fill="FFFFFF"/>
        </w:rPr>
        <w:t>.</w:t>
      </w:r>
      <w:r w:rsidRPr="007F5722">
        <w:rPr>
          <w:rFonts w:ascii="Times New Roman" w:hAnsi="Times New Roman" w:cs="Times New Roman"/>
          <w:sz w:val="28"/>
          <w:szCs w:val="28"/>
          <w:shd w:val="clear" w:color="auto" w:fill="FFFFFF"/>
          <w:lang w:val="en-US"/>
        </w:rPr>
        <w:t> 2016;</w:t>
      </w:r>
      <w:r w:rsidRPr="007F5722">
        <w:rPr>
          <w:rFonts w:ascii="Times New Roman" w:hAnsi="Times New Roman" w:cs="Times New Roman"/>
          <w:sz w:val="28"/>
          <w:szCs w:val="28"/>
          <w:shd w:val="clear" w:color="auto" w:fill="FFFFFF"/>
        </w:rPr>
        <w:t xml:space="preserve"> </w:t>
      </w:r>
      <w:r w:rsidRPr="007F5722">
        <w:rPr>
          <w:rStyle w:val="ref-vol"/>
          <w:rFonts w:ascii="Times New Roman" w:hAnsi="Times New Roman" w:cs="Times New Roman"/>
          <w:sz w:val="28"/>
          <w:szCs w:val="28"/>
          <w:shd w:val="clear" w:color="auto" w:fill="FFFFFF"/>
          <w:lang w:val="en-US"/>
        </w:rPr>
        <w:t>23</w:t>
      </w:r>
      <w:r w:rsidRPr="007F5722">
        <w:rPr>
          <w:rFonts w:ascii="Times New Roman" w:hAnsi="Times New Roman" w:cs="Times New Roman"/>
          <w:sz w:val="28"/>
          <w:szCs w:val="28"/>
          <w:shd w:val="clear" w:color="auto" w:fill="FFFFFF"/>
          <w:lang w:val="en-US"/>
        </w:rPr>
        <w:t>:NP1-96.</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 xml:space="preserve">Cachofeiro V.; Miana M.; de las Heras N.; Martin-Fernandez B.; Ballesteros S.; Balfagon G.; Lahera V. Inflammation: A link between hypertension and atherosclerosis. Curr. </w:t>
      </w:r>
      <w:r w:rsidRPr="007F5722">
        <w:rPr>
          <w:rFonts w:ascii="Times New Roman" w:hAnsi="Times New Roman" w:cs="Times New Roman"/>
          <w:i/>
          <w:sz w:val="28"/>
          <w:szCs w:val="28"/>
          <w:lang w:val="en-US"/>
        </w:rPr>
        <w:t>Hypertens</w:t>
      </w:r>
      <w:r w:rsidRPr="007F5722">
        <w:rPr>
          <w:rFonts w:ascii="Times New Roman" w:hAnsi="Times New Roman" w:cs="Times New Roman"/>
          <w:sz w:val="28"/>
          <w:szCs w:val="28"/>
          <w:lang w:val="en-US"/>
        </w:rPr>
        <w:t>. Rev., 2009, 5(1), 40-48.</w:t>
      </w:r>
    </w:p>
    <w:p w:rsidR="007F5722" w:rsidRPr="007F5722" w:rsidRDefault="000B5F47" w:rsidP="007F5722">
      <w:pPr>
        <w:pStyle w:val="a8"/>
        <w:numPr>
          <w:ilvl w:val="0"/>
          <w:numId w:val="25"/>
        </w:numPr>
        <w:spacing w:after="0" w:line="360" w:lineRule="auto"/>
        <w:ind w:left="0" w:firstLine="357"/>
        <w:jc w:val="both"/>
        <w:rPr>
          <w:rFonts w:ascii="Times New Roman" w:hAnsi="Times New Roman" w:cs="Times New Roman"/>
          <w:sz w:val="28"/>
          <w:szCs w:val="28"/>
        </w:rPr>
      </w:pPr>
      <w:hyperlink r:id="rId74" w:history="1">
        <w:r w:rsidR="007F5722" w:rsidRPr="007F5722">
          <w:rPr>
            <w:rFonts w:ascii="Times New Roman" w:hAnsi="Times New Roman" w:cs="Times New Roman"/>
            <w:sz w:val="28"/>
            <w:szCs w:val="28"/>
            <w:lang w:val="en-US"/>
          </w:rPr>
          <w:t>Sandfort V</w:t>
        </w:r>
      </w:hyperlink>
      <w:r w:rsidR="007F5722" w:rsidRPr="007F5722">
        <w:rPr>
          <w:rFonts w:ascii="Times New Roman" w:hAnsi="Times New Roman" w:cs="Times New Roman"/>
          <w:sz w:val="28"/>
          <w:szCs w:val="28"/>
          <w:lang w:val="en-US"/>
        </w:rPr>
        <w:t>, </w:t>
      </w:r>
      <w:hyperlink r:id="rId75" w:history="1">
        <w:r w:rsidR="007F5722" w:rsidRPr="007F5722">
          <w:rPr>
            <w:rFonts w:ascii="Times New Roman" w:hAnsi="Times New Roman" w:cs="Times New Roman"/>
            <w:sz w:val="28"/>
            <w:szCs w:val="28"/>
            <w:lang w:val="en-US"/>
          </w:rPr>
          <w:t>Lai S</w:t>
        </w:r>
      </w:hyperlink>
      <w:r w:rsidR="007F5722" w:rsidRPr="007F5722">
        <w:rPr>
          <w:rFonts w:ascii="Times New Roman" w:hAnsi="Times New Roman" w:cs="Times New Roman"/>
          <w:sz w:val="28"/>
          <w:szCs w:val="28"/>
          <w:lang w:val="en-US"/>
        </w:rPr>
        <w:t>, </w:t>
      </w:r>
      <w:hyperlink r:id="rId76" w:history="1">
        <w:r w:rsidR="007F5722" w:rsidRPr="007F5722">
          <w:rPr>
            <w:rFonts w:ascii="Times New Roman" w:hAnsi="Times New Roman" w:cs="Times New Roman"/>
            <w:sz w:val="28"/>
            <w:szCs w:val="28"/>
            <w:lang w:val="en-US"/>
          </w:rPr>
          <w:t>Ahlman MA</w:t>
        </w:r>
      </w:hyperlink>
      <w:r w:rsidR="007F5722" w:rsidRPr="007F5722">
        <w:rPr>
          <w:rFonts w:ascii="Times New Roman" w:hAnsi="Times New Roman" w:cs="Times New Roman"/>
          <w:sz w:val="28"/>
          <w:szCs w:val="28"/>
          <w:vertAlign w:val="superscript"/>
          <w:lang w:val="en-US"/>
        </w:rPr>
        <w:t xml:space="preserve"> </w:t>
      </w:r>
      <w:r w:rsidR="007F5722" w:rsidRPr="007F5722">
        <w:rPr>
          <w:rFonts w:ascii="Times New Roman" w:hAnsi="Times New Roman" w:cs="Times New Roman"/>
          <w:sz w:val="28"/>
          <w:szCs w:val="28"/>
          <w:lang w:val="en-US"/>
        </w:rPr>
        <w:t>et al.</w:t>
      </w:r>
      <w:r w:rsidR="007F5722" w:rsidRPr="007F5722">
        <w:rPr>
          <w:rFonts w:ascii="Times New Roman" w:hAnsi="Times New Roman" w:cs="Times New Roman"/>
          <w:bCs/>
          <w:kern w:val="36"/>
          <w:sz w:val="28"/>
          <w:szCs w:val="28"/>
          <w:lang w:val="en-US"/>
        </w:rPr>
        <w:t xml:space="preserve"> Obesity Is Associated With Progression of Atherosclerosis During Statin Treatment. </w:t>
      </w:r>
      <w:hyperlink r:id="rId77" w:tooltip="Journal of the American Heart Association." w:history="1">
        <w:r w:rsidR="007F5722" w:rsidRPr="007F5722">
          <w:rPr>
            <w:rFonts w:ascii="Times New Roman" w:hAnsi="Times New Roman" w:cs="Times New Roman"/>
            <w:i/>
            <w:sz w:val="28"/>
            <w:szCs w:val="28"/>
            <w:lang w:val="en-US"/>
          </w:rPr>
          <w:t>J Am Heart Assoc.</w:t>
        </w:r>
      </w:hyperlink>
      <w:r w:rsidR="007F5722" w:rsidRPr="007F5722">
        <w:rPr>
          <w:rFonts w:ascii="Times New Roman" w:hAnsi="Times New Roman" w:cs="Times New Roman"/>
          <w:sz w:val="28"/>
          <w:szCs w:val="28"/>
          <w:lang w:val="en-US"/>
        </w:rPr>
        <w:t> 2016;</w:t>
      </w:r>
      <w:r w:rsidR="007F5722" w:rsidRPr="007F5722">
        <w:rPr>
          <w:rFonts w:ascii="Times New Roman" w:hAnsi="Times New Roman" w:cs="Times New Roman"/>
          <w:sz w:val="28"/>
          <w:szCs w:val="28"/>
        </w:rPr>
        <w:t xml:space="preserve"> </w:t>
      </w:r>
      <w:r w:rsidR="007F5722" w:rsidRPr="007F5722">
        <w:rPr>
          <w:rFonts w:ascii="Times New Roman" w:hAnsi="Times New Roman" w:cs="Times New Roman"/>
          <w:sz w:val="28"/>
          <w:szCs w:val="28"/>
          <w:lang w:val="en-US"/>
        </w:rPr>
        <w:t>5(7)</w:t>
      </w:r>
      <w:r w:rsidR="007F5722" w:rsidRPr="007F5722">
        <w:rPr>
          <w:rFonts w:ascii="Times New Roman" w:hAnsi="Times New Roman" w:cs="Times New Roman"/>
          <w:sz w:val="28"/>
          <w:szCs w:val="28"/>
        </w:rPr>
        <w:t>:</w:t>
      </w:r>
      <w:r w:rsidR="007F5722" w:rsidRPr="007F5722">
        <w:rPr>
          <w:rFonts w:ascii="Times New Roman" w:hAnsi="Times New Roman" w:cs="Times New Roman"/>
          <w:sz w:val="28"/>
          <w:szCs w:val="28"/>
          <w:lang w:val="en-US"/>
        </w:rPr>
        <w:t>1213-1232.</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shd w:val="clear" w:color="auto" w:fill="FFFFFF"/>
          <w:lang w:val="en-US"/>
        </w:rPr>
        <w:lastRenderedPageBreak/>
        <w:t>Sabatine M</w:t>
      </w:r>
      <w:r w:rsidRPr="007F5722">
        <w:rPr>
          <w:rFonts w:ascii="Times New Roman" w:hAnsi="Times New Roman" w:cs="Times New Roman"/>
          <w:sz w:val="28"/>
          <w:szCs w:val="28"/>
          <w:shd w:val="clear" w:color="auto" w:fill="FFFFFF"/>
        </w:rPr>
        <w:t>.</w:t>
      </w:r>
      <w:r w:rsidRPr="007F5722">
        <w:rPr>
          <w:rFonts w:ascii="Times New Roman" w:hAnsi="Times New Roman" w:cs="Times New Roman"/>
          <w:sz w:val="28"/>
          <w:szCs w:val="28"/>
          <w:shd w:val="clear" w:color="auto" w:fill="FFFFFF"/>
          <w:lang w:val="en-US"/>
        </w:rPr>
        <w:t>S</w:t>
      </w:r>
      <w:r w:rsidRPr="007F5722">
        <w:rPr>
          <w:rFonts w:ascii="Times New Roman" w:hAnsi="Times New Roman" w:cs="Times New Roman"/>
          <w:sz w:val="28"/>
          <w:szCs w:val="28"/>
          <w:shd w:val="clear" w:color="auto" w:fill="FFFFFF"/>
        </w:rPr>
        <w:t>.</w:t>
      </w:r>
      <w:r w:rsidRPr="007F5722">
        <w:rPr>
          <w:rFonts w:ascii="Times New Roman" w:hAnsi="Times New Roman" w:cs="Times New Roman"/>
          <w:sz w:val="28"/>
          <w:szCs w:val="28"/>
          <w:shd w:val="clear" w:color="auto" w:fill="FFFFFF"/>
          <w:lang w:val="en-US"/>
        </w:rPr>
        <w:t>, Giugliano R</w:t>
      </w:r>
      <w:r w:rsidRPr="007F5722">
        <w:rPr>
          <w:rFonts w:ascii="Times New Roman" w:hAnsi="Times New Roman" w:cs="Times New Roman"/>
          <w:sz w:val="28"/>
          <w:szCs w:val="28"/>
          <w:shd w:val="clear" w:color="auto" w:fill="FFFFFF"/>
        </w:rPr>
        <w:t>.</w:t>
      </w:r>
      <w:r w:rsidRPr="007F5722">
        <w:rPr>
          <w:rFonts w:ascii="Times New Roman" w:hAnsi="Times New Roman" w:cs="Times New Roman"/>
          <w:sz w:val="28"/>
          <w:szCs w:val="28"/>
          <w:shd w:val="clear" w:color="auto" w:fill="FFFFFF"/>
          <w:lang w:val="en-US"/>
        </w:rPr>
        <w:t>P</w:t>
      </w:r>
      <w:r w:rsidRPr="007F5722">
        <w:rPr>
          <w:rFonts w:ascii="Times New Roman" w:hAnsi="Times New Roman" w:cs="Times New Roman"/>
          <w:sz w:val="28"/>
          <w:szCs w:val="28"/>
          <w:shd w:val="clear" w:color="auto" w:fill="FFFFFF"/>
        </w:rPr>
        <w:t>.</w:t>
      </w:r>
      <w:r w:rsidRPr="007F5722">
        <w:rPr>
          <w:rFonts w:ascii="Times New Roman" w:hAnsi="Times New Roman" w:cs="Times New Roman"/>
          <w:sz w:val="28"/>
          <w:szCs w:val="28"/>
          <w:shd w:val="clear" w:color="auto" w:fill="FFFFFF"/>
          <w:lang w:val="en-US"/>
        </w:rPr>
        <w:t>, Keech A</w:t>
      </w:r>
      <w:r w:rsidRPr="007F5722">
        <w:rPr>
          <w:rFonts w:ascii="Times New Roman" w:hAnsi="Times New Roman" w:cs="Times New Roman"/>
          <w:sz w:val="28"/>
          <w:szCs w:val="28"/>
          <w:shd w:val="clear" w:color="auto" w:fill="FFFFFF"/>
        </w:rPr>
        <w:t>.</w:t>
      </w:r>
      <w:r w:rsidRPr="007F5722">
        <w:rPr>
          <w:rFonts w:ascii="Times New Roman" w:hAnsi="Times New Roman" w:cs="Times New Roman"/>
          <w:sz w:val="28"/>
          <w:szCs w:val="28"/>
          <w:shd w:val="clear" w:color="auto" w:fill="FFFFFF"/>
          <w:lang w:val="en-US"/>
        </w:rPr>
        <w:t>C</w:t>
      </w:r>
      <w:r w:rsidRPr="007F5722">
        <w:rPr>
          <w:rFonts w:ascii="Times New Roman" w:hAnsi="Times New Roman" w:cs="Times New Roman"/>
          <w:sz w:val="28"/>
          <w:szCs w:val="28"/>
          <w:shd w:val="clear" w:color="auto" w:fill="FFFFFF"/>
        </w:rPr>
        <w:t>.</w:t>
      </w:r>
      <w:r w:rsidRPr="007F5722">
        <w:rPr>
          <w:rFonts w:ascii="Times New Roman" w:hAnsi="Times New Roman" w:cs="Times New Roman"/>
          <w:sz w:val="28"/>
          <w:szCs w:val="28"/>
          <w:shd w:val="clear" w:color="auto" w:fill="FFFFFF"/>
          <w:lang w:val="en-US"/>
        </w:rPr>
        <w:t xml:space="preserve"> et al. </w:t>
      </w:r>
      <w:r w:rsidRPr="007F5722">
        <w:rPr>
          <w:rStyle w:val="ref-title"/>
          <w:rFonts w:ascii="Times New Roman" w:hAnsi="Times New Roman" w:cs="Times New Roman"/>
          <w:sz w:val="28"/>
          <w:szCs w:val="28"/>
          <w:shd w:val="clear" w:color="auto" w:fill="FFFFFF"/>
          <w:lang w:val="en-US"/>
        </w:rPr>
        <w:t>Evolocumab and clinical outcomes in patients with cardiovascular disease</w:t>
      </w:r>
      <w:r w:rsidRPr="007F5722">
        <w:rPr>
          <w:rFonts w:ascii="Times New Roman" w:hAnsi="Times New Roman" w:cs="Times New Roman"/>
          <w:sz w:val="28"/>
          <w:szCs w:val="28"/>
          <w:shd w:val="clear" w:color="auto" w:fill="FFFFFF"/>
          <w:lang w:val="en-US"/>
        </w:rPr>
        <w:t>. </w:t>
      </w:r>
      <w:r w:rsidRPr="007F5722">
        <w:rPr>
          <w:rStyle w:val="ref-journal"/>
          <w:rFonts w:ascii="Times New Roman" w:hAnsi="Times New Roman" w:cs="Times New Roman"/>
          <w:i/>
          <w:sz w:val="28"/>
          <w:szCs w:val="28"/>
          <w:shd w:val="clear" w:color="auto" w:fill="FFFFFF"/>
          <w:lang w:val="en-US"/>
        </w:rPr>
        <w:t>N Engl J Med</w:t>
      </w:r>
      <w:r w:rsidRPr="007F5722">
        <w:rPr>
          <w:rStyle w:val="ref-journal"/>
          <w:rFonts w:ascii="Times New Roman" w:hAnsi="Times New Roman" w:cs="Times New Roman"/>
          <w:i/>
          <w:sz w:val="28"/>
          <w:szCs w:val="28"/>
          <w:shd w:val="clear" w:color="auto" w:fill="FFFFFF"/>
        </w:rPr>
        <w:t>.</w:t>
      </w:r>
      <w:r w:rsidRPr="007F5722">
        <w:rPr>
          <w:rFonts w:ascii="Times New Roman" w:hAnsi="Times New Roman" w:cs="Times New Roman"/>
          <w:sz w:val="28"/>
          <w:szCs w:val="28"/>
          <w:shd w:val="clear" w:color="auto" w:fill="FFFFFF"/>
          <w:lang w:val="en-US"/>
        </w:rPr>
        <w:t> 2017;</w:t>
      </w:r>
      <w:r w:rsidRPr="007F5722">
        <w:rPr>
          <w:rFonts w:ascii="Times New Roman" w:hAnsi="Times New Roman" w:cs="Times New Roman"/>
          <w:sz w:val="28"/>
          <w:szCs w:val="28"/>
          <w:shd w:val="clear" w:color="auto" w:fill="FFFFFF"/>
        </w:rPr>
        <w:t xml:space="preserve"> </w:t>
      </w:r>
      <w:r w:rsidRPr="007F5722">
        <w:rPr>
          <w:rStyle w:val="ref-vol"/>
          <w:rFonts w:ascii="Times New Roman" w:hAnsi="Times New Roman" w:cs="Times New Roman"/>
          <w:sz w:val="28"/>
          <w:szCs w:val="28"/>
          <w:shd w:val="clear" w:color="auto" w:fill="FFFFFF"/>
          <w:lang w:val="en-US"/>
        </w:rPr>
        <w:t>376</w:t>
      </w:r>
      <w:r w:rsidRPr="007F5722">
        <w:rPr>
          <w:rFonts w:ascii="Times New Roman" w:hAnsi="Times New Roman" w:cs="Times New Roman"/>
          <w:sz w:val="28"/>
          <w:szCs w:val="28"/>
          <w:shd w:val="clear" w:color="auto" w:fill="FFFFFF"/>
          <w:lang w:val="en-US"/>
        </w:rPr>
        <w:t>:1713-22.</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Collins R</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Armitage J</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Parish S</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 et al. MRC/BHF Heart Protection Study of cholesterol-lowering with simvastatin in 5963 people with diabetes: a randomised placebo-controlled trial. </w:t>
      </w:r>
      <w:r w:rsidRPr="007F5722">
        <w:rPr>
          <w:rFonts w:ascii="Times New Roman" w:hAnsi="Times New Roman" w:cs="Times New Roman"/>
          <w:i/>
          <w:sz w:val="28"/>
          <w:szCs w:val="28"/>
          <w:lang w:val="en-US"/>
        </w:rPr>
        <w:t>Lancet</w:t>
      </w:r>
      <w:r w:rsidRPr="007F5722">
        <w:rPr>
          <w:rFonts w:ascii="Times New Roman" w:hAnsi="Times New Roman" w:cs="Times New Roman"/>
          <w:i/>
          <w:sz w:val="28"/>
          <w:szCs w:val="28"/>
        </w:rPr>
        <w:t>.</w:t>
      </w:r>
      <w:r w:rsidRPr="007F5722">
        <w:rPr>
          <w:rFonts w:ascii="Times New Roman" w:hAnsi="Times New Roman" w:cs="Times New Roman"/>
          <w:sz w:val="28"/>
          <w:szCs w:val="28"/>
          <w:lang w:val="en-US"/>
        </w:rPr>
        <w:t xml:space="preserve"> 2003;361:2005-16.</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shd w:val="clear" w:color="auto" w:fill="FFFFFF"/>
          <w:lang w:val="en-US"/>
        </w:rPr>
        <w:t>Fukuda S</w:t>
      </w:r>
      <w:r w:rsidRPr="007F5722">
        <w:rPr>
          <w:rFonts w:ascii="Times New Roman" w:hAnsi="Times New Roman" w:cs="Times New Roman"/>
          <w:sz w:val="28"/>
          <w:szCs w:val="28"/>
          <w:shd w:val="clear" w:color="auto" w:fill="FFFFFF"/>
        </w:rPr>
        <w:t>.</w:t>
      </w:r>
      <w:r w:rsidRPr="007F5722">
        <w:rPr>
          <w:rFonts w:ascii="Times New Roman" w:hAnsi="Times New Roman" w:cs="Times New Roman"/>
          <w:sz w:val="28"/>
          <w:szCs w:val="28"/>
          <w:shd w:val="clear" w:color="auto" w:fill="FFFFFF"/>
          <w:lang w:val="en-US"/>
        </w:rPr>
        <w:t>, Hirata A</w:t>
      </w:r>
      <w:r w:rsidRPr="007F5722">
        <w:rPr>
          <w:rFonts w:ascii="Times New Roman" w:hAnsi="Times New Roman" w:cs="Times New Roman"/>
          <w:sz w:val="28"/>
          <w:szCs w:val="28"/>
          <w:shd w:val="clear" w:color="auto" w:fill="FFFFFF"/>
        </w:rPr>
        <w:t>.</w:t>
      </w:r>
      <w:r w:rsidRPr="007F5722">
        <w:rPr>
          <w:rFonts w:ascii="Times New Roman" w:hAnsi="Times New Roman" w:cs="Times New Roman"/>
          <w:sz w:val="28"/>
          <w:szCs w:val="28"/>
          <w:shd w:val="clear" w:color="auto" w:fill="FFFFFF"/>
          <w:lang w:val="en-US"/>
        </w:rPr>
        <w:t>, Nishizawa H</w:t>
      </w:r>
      <w:r w:rsidRPr="007F5722">
        <w:rPr>
          <w:rFonts w:ascii="Times New Roman" w:hAnsi="Times New Roman" w:cs="Times New Roman"/>
          <w:sz w:val="28"/>
          <w:szCs w:val="28"/>
          <w:shd w:val="clear" w:color="auto" w:fill="FFFFFF"/>
        </w:rPr>
        <w:t>.</w:t>
      </w:r>
      <w:r w:rsidRPr="007F5722">
        <w:rPr>
          <w:rFonts w:ascii="Times New Roman" w:hAnsi="Times New Roman" w:cs="Times New Roman"/>
          <w:sz w:val="28"/>
          <w:szCs w:val="28"/>
          <w:shd w:val="clear" w:color="auto" w:fill="FFFFFF"/>
          <w:lang w:val="en-US"/>
        </w:rPr>
        <w:t xml:space="preserve"> et al. Systemic arteriosclerosis and eating behavior in Japanese type 2 diabetic patients with visceral fat accumulation. </w:t>
      </w:r>
      <w:r w:rsidRPr="007F5722">
        <w:rPr>
          <w:rStyle w:val="af"/>
          <w:rFonts w:ascii="Times New Roman" w:hAnsi="Times New Roman" w:cs="Times New Roman"/>
          <w:sz w:val="28"/>
          <w:szCs w:val="28"/>
          <w:shd w:val="clear" w:color="auto" w:fill="FFFFFF"/>
          <w:lang w:val="en-US"/>
        </w:rPr>
        <w:t>Cardiovasc Diabetol</w:t>
      </w:r>
      <w:r w:rsidRPr="007F5722">
        <w:rPr>
          <w:rStyle w:val="af"/>
          <w:rFonts w:ascii="Times New Roman" w:hAnsi="Times New Roman" w:cs="Times New Roman"/>
          <w:sz w:val="28"/>
          <w:szCs w:val="28"/>
          <w:shd w:val="clear" w:color="auto" w:fill="FFFFFF"/>
        </w:rPr>
        <w:t>.</w:t>
      </w:r>
      <w:r w:rsidRPr="007F5722">
        <w:rPr>
          <w:rFonts w:ascii="Times New Roman" w:hAnsi="Times New Roman" w:cs="Times New Roman"/>
          <w:sz w:val="28"/>
          <w:szCs w:val="28"/>
          <w:shd w:val="clear" w:color="auto" w:fill="FFFFFF"/>
          <w:lang w:val="en-US"/>
        </w:rPr>
        <w:t> 2015; 14:8.</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bCs/>
          <w:color w:val="000000"/>
          <w:sz w:val="28"/>
          <w:szCs w:val="28"/>
          <w:lang w:val="de-DE" w:eastAsia="ru-RU"/>
        </w:rPr>
        <w:t>Banach M., Jankowski P., Jóźwiak J. et al. </w:t>
      </w:r>
      <w:r w:rsidRPr="007F5722">
        <w:rPr>
          <w:rFonts w:ascii="Times New Roman" w:eastAsia="Times New Roman" w:hAnsi="Times New Roman" w:cs="Times New Roman"/>
          <w:color w:val="000000"/>
          <w:sz w:val="28"/>
          <w:szCs w:val="28"/>
          <w:lang w:val="en-US" w:eastAsia="ru-RU"/>
        </w:rPr>
        <w:t xml:space="preserve">PoLA/CFPiP/PCS Guidelines for the Management of Dyslipidaemias for Family Physicians. </w:t>
      </w:r>
      <w:r w:rsidRPr="007F5722">
        <w:rPr>
          <w:rFonts w:ascii="Times New Roman" w:eastAsia="Times New Roman" w:hAnsi="Times New Roman" w:cs="Times New Roman"/>
          <w:i/>
          <w:color w:val="000000"/>
          <w:sz w:val="28"/>
          <w:szCs w:val="28"/>
          <w:lang w:val="en-US" w:eastAsia="ru-RU"/>
        </w:rPr>
        <w:t>Arch. Med. Sci.</w:t>
      </w:r>
      <w:r w:rsidRPr="007F5722">
        <w:rPr>
          <w:rFonts w:ascii="Times New Roman" w:eastAsia="Times New Roman" w:hAnsi="Times New Roman" w:cs="Times New Roman"/>
          <w:color w:val="000000"/>
          <w:sz w:val="28"/>
          <w:szCs w:val="28"/>
          <w:lang w:eastAsia="ru-RU"/>
        </w:rPr>
        <w:t>2016</w:t>
      </w:r>
      <w:r w:rsidRPr="007F5722">
        <w:rPr>
          <w:rFonts w:ascii="Times New Roman" w:eastAsia="Times New Roman" w:hAnsi="Times New Roman" w:cs="Times New Roman"/>
          <w:color w:val="000000"/>
          <w:sz w:val="28"/>
          <w:szCs w:val="28"/>
          <w:lang w:val="en-US" w:eastAsia="ru-RU"/>
        </w:rPr>
        <w:t>; 13(1): 1–45.</w:t>
      </w:r>
    </w:p>
    <w:p w:rsidR="007F5722" w:rsidRPr="007F5722" w:rsidRDefault="007F5722" w:rsidP="007F5722">
      <w:pPr>
        <w:pStyle w:val="a8"/>
        <w:numPr>
          <w:ilvl w:val="0"/>
          <w:numId w:val="25"/>
        </w:numPr>
        <w:spacing w:after="0" w:line="360" w:lineRule="auto"/>
        <w:ind w:left="0" w:firstLine="357"/>
        <w:jc w:val="both"/>
        <w:rPr>
          <w:rStyle w:val="mixed-citation"/>
          <w:rFonts w:ascii="Times New Roman" w:hAnsi="Times New Roman" w:cs="Times New Roman"/>
          <w:sz w:val="28"/>
          <w:szCs w:val="28"/>
        </w:rPr>
      </w:pPr>
      <w:r w:rsidRPr="007F5722">
        <w:rPr>
          <w:rStyle w:val="mixed-citation"/>
          <w:rFonts w:ascii="Times New Roman" w:hAnsi="Times New Roman" w:cs="Times New Roman"/>
          <w:sz w:val="28"/>
          <w:szCs w:val="28"/>
          <w:shd w:val="clear" w:color="auto" w:fill="FFFFFF"/>
          <w:lang w:val="en-US"/>
        </w:rPr>
        <w:t>Sidhu D</w:t>
      </w:r>
      <w:r w:rsidRPr="007F5722">
        <w:rPr>
          <w:rStyle w:val="mixed-citation"/>
          <w:rFonts w:ascii="Times New Roman" w:hAnsi="Times New Roman" w:cs="Times New Roman"/>
          <w:sz w:val="28"/>
          <w:szCs w:val="28"/>
          <w:shd w:val="clear" w:color="auto" w:fill="FFFFFF"/>
        </w:rPr>
        <w:t>.</w:t>
      </w:r>
      <w:r w:rsidRPr="007F5722">
        <w:rPr>
          <w:rStyle w:val="mixed-citation"/>
          <w:rFonts w:ascii="Times New Roman" w:hAnsi="Times New Roman" w:cs="Times New Roman"/>
          <w:sz w:val="28"/>
          <w:szCs w:val="28"/>
          <w:shd w:val="clear" w:color="auto" w:fill="FFFFFF"/>
          <w:lang w:val="en-US"/>
        </w:rPr>
        <w:t>, Naugler C. </w:t>
      </w:r>
      <w:r w:rsidRPr="007F5722">
        <w:rPr>
          <w:rStyle w:val="ref-title"/>
          <w:rFonts w:ascii="Times New Roman" w:hAnsi="Times New Roman" w:cs="Times New Roman"/>
          <w:sz w:val="28"/>
          <w:szCs w:val="28"/>
          <w:shd w:val="clear" w:color="auto" w:fill="FFFFFF"/>
          <w:lang w:val="en-US"/>
        </w:rPr>
        <w:t>Fasting time and lipid levels in a community-based population: a cross-sectional study</w:t>
      </w:r>
      <w:r w:rsidRPr="007F5722">
        <w:rPr>
          <w:rStyle w:val="mixed-citation"/>
          <w:rFonts w:ascii="Times New Roman" w:hAnsi="Times New Roman" w:cs="Times New Roman"/>
          <w:sz w:val="28"/>
          <w:szCs w:val="28"/>
          <w:shd w:val="clear" w:color="auto" w:fill="FFFFFF"/>
          <w:lang w:val="en-US"/>
        </w:rPr>
        <w:t>. </w:t>
      </w:r>
      <w:r w:rsidRPr="007F5722">
        <w:rPr>
          <w:rStyle w:val="ref-journal"/>
          <w:rFonts w:ascii="Times New Roman" w:hAnsi="Times New Roman" w:cs="Times New Roman"/>
          <w:i/>
          <w:sz w:val="28"/>
          <w:szCs w:val="28"/>
          <w:shd w:val="clear" w:color="auto" w:fill="FFFFFF"/>
          <w:lang w:val="en-US"/>
        </w:rPr>
        <w:t>Arch Intern Med</w:t>
      </w:r>
      <w:r w:rsidRPr="007F5722">
        <w:rPr>
          <w:rStyle w:val="mixed-citation"/>
          <w:rFonts w:ascii="Times New Roman" w:hAnsi="Times New Roman" w:cs="Times New Roman"/>
          <w:sz w:val="28"/>
          <w:szCs w:val="28"/>
          <w:shd w:val="clear" w:color="auto" w:fill="FFFFFF"/>
        </w:rPr>
        <w:t>.</w:t>
      </w:r>
      <w:r w:rsidRPr="007F5722">
        <w:rPr>
          <w:rStyle w:val="mixed-citation"/>
          <w:rFonts w:ascii="Times New Roman" w:hAnsi="Times New Roman" w:cs="Times New Roman"/>
          <w:sz w:val="28"/>
          <w:szCs w:val="28"/>
          <w:shd w:val="clear" w:color="auto" w:fill="FFFFFF"/>
          <w:lang w:val="en-US"/>
        </w:rPr>
        <w:t> 2012;</w:t>
      </w:r>
      <w:r w:rsidRPr="007F5722">
        <w:rPr>
          <w:rStyle w:val="mixed-citation"/>
          <w:rFonts w:ascii="Times New Roman" w:hAnsi="Times New Roman" w:cs="Times New Roman"/>
          <w:sz w:val="28"/>
          <w:szCs w:val="28"/>
          <w:shd w:val="clear" w:color="auto" w:fill="FFFFFF"/>
        </w:rPr>
        <w:t xml:space="preserve"> </w:t>
      </w:r>
      <w:r w:rsidRPr="007F5722">
        <w:rPr>
          <w:rStyle w:val="ref-vol"/>
          <w:rFonts w:ascii="Times New Roman" w:hAnsi="Times New Roman" w:cs="Times New Roman"/>
          <w:sz w:val="28"/>
          <w:szCs w:val="28"/>
          <w:shd w:val="clear" w:color="auto" w:fill="FFFFFF"/>
          <w:lang w:val="en-US"/>
        </w:rPr>
        <w:t>172</w:t>
      </w:r>
      <w:r w:rsidRPr="007F5722">
        <w:rPr>
          <w:rStyle w:val="mixed-citation"/>
          <w:rFonts w:ascii="Times New Roman" w:hAnsi="Times New Roman" w:cs="Times New Roman"/>
          <w:sz w:val="28"/>
          <w:szCs w:val="28"/>
          <w:shd w:val="clear" w:color="auto" w:fill="FFFFFF"/>
          <w:lang w:val="en-US"/>
        </w:rPr>
        <w:t>:1707-10.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shd w:val="clear" w:color="auto" w:fill="FFFFFF"/>
          <w:lang w:val="en-US"/>
        </w:rPr>
        <w:t>Langsted A</w:t>
      </w:r>
      <w:r w:rsidRPr="007F5722">
        <w:rPr>
          <w:rFonts w:ascii="Times New Roman" w:hAnsi="Times New Roman" w:cs="Times New Roman"/>
          <w:sz w:val="28"/>
          <w:szCs w:val="28"/>
          <w:shd w:val="clear" w:color="auto" w:fill="FFFFFF"/>
        </w:rPr>
        <w:t>.</w:t>
      </w:r>
      <w:r w:rsidRPr="007F5722">
        <w:rPr>
          <w:rFonts w:ascii="Times New Roman" w:hAnsi="Times New Roman" w:cs="Times New Roman"/>
          <w:sz w:val="28"/>
          <w:szCs w:val="28"/>
          <w:shd w:val="clear" w:color="auto" w:fill="FFFFFF"/>
          <w:lang w:val="en-US"/>
        </w:rPr>
        <w:t>, Freiberg J</w:t>
      </w:r>
      <w:r w:rsidRPr="007F5722">
        <w:rPr>
          <w:rFonts w:ascii="Times New Roman" w:hAnsi="Times New Roman" w:cs="Times New Roman"/>
          <w:sz w:val="28"/>
          <w:szCs w:val="28"/>
          <w:shd w:val="clear" w:color="auto" w:fill="FFFFFF"/>
        </w:rPr>
        <w:t>.</w:t>
      </w:r>
      <w:r w:rsidRPr="007F5722">
        <w:rPr>
          <w:rFonts w:ascii="Times New Roman" w:hAnsi="Times New Roman" w:cs="Times New Roman"/>
          <w:sz w:val="28"/>
          <w:szCs w:val="28"/>
          <w:shd w:val="clear" w:color="auto" w:fill="FFFFFF"/>
          <w:lang w:val="en-US"/>
        </w:rPr>
        <w:t>J</w:t>
      </w:r>
      <w:r w:rsidRPr="007F5722">
        <w:rPr>
          <w:rFonts w:ascii="Times New Roman" w:hAnsi="Times New Roman" w:cs="Times New Roman"/>
          <w:sz w:val="28"/>
          <w:szCs w:val="28"/>
          <w:shd w:val="clear" w:color="auto" w:fill="FFFFFF"/>
        </w:rPr>
        <w:t>.</w:t>
      </w:r>
      <w:r w:rsidRPr="007F5722">
        <w:rPr>
          <w:rFonts w:ascii="Times New Roman" w:hAnsi="Times New Roman" w:cs="Times New Roman"/>
          <w:sz w:val="28"/>
          <w:szCs w:val="28"/>
          <w:shd w:val="clear" w:color="auto" w:fill="FFFFFF"/>
          <w:lang w:val="en-US"/>
        </w:rPr>
        <w:t>, Nordestgaard B</w:t>
      </w:r>
      <w:r w:rsidRPr="007F5722">
        <w:rPr>
          <w:rFonts w:ascii="Times New Roman" w:hAnsi="Times New Roman" w:cs="Times New Roman"/>
          <w:sz w:val="28"/>
          <w:szCs w:val="28"/>
          <w:shd w:val="clear" w:color="auto" w:fill="FFFFFF"/>
        </w:rPr>
        <w:t>.</w:t>
      </w:r>
      <w:r w:rsidRPr="007F5722">
        <w:rPr>
          <w:rFonts w:ascii="Times New Roman" w:hAnsi="Times New Roman" w:cs="Times New Roman"/>
          <w:sz w:val="28"/>
          <w:szCs w:val="28"/>
          <w:shd w:val="clear" w:color="auto" w:fill="FFFFFF"/>
          <w:lang w:val="en-US"/>
        </w:rPr>
        <w:t>G. </w:t>
      </w:r>
      <w:r w:rsidRPr="007F5722">
        <w:rPr>
          <w:rStyle w:val="ref-title"/>
          <w:rFonts w:ascii="Times New Roman" w:hAnsi="Times New Roman" w:cs="Times New Roman"/>
          <w:sz w:val="28"/>
          <w:szCs w:val="28"/>
          <w:shd w:val="clear" w:color="auto" w:fill="FFFFFF"/>
          <w:lang w:val="en-US"/>
        </w:rPr>
        <w:t>Fasting and nonfasting lipid levels: influence of normal food intake on lipids, lipoproteins, apolipoproteins and cardiovascular risk prediction</w:t>
      </w:r>
      <w:r w:rsidRPr="007F5722">
        <w:rPr>
          <w:rFonts w:ascii="Times New Roman" w:hAnsi="Times New Roman" w:cs="Times New Roman"/>
          <w:sz w:val="28"/>
          <w:szCs w:val="28"/>
          <w:shd w:val="clear" w:color="auto" w:fill="FFFFFF"/>
          <w:lang w:val="en-US"/>
        </w:rPr>
        <w:t>. </w:t>
      </w:r>
      <w:r w:rsidRPr="007F5722">
        <w:rPr>
          <w:rStyle w:val="ref-journal"/>
          <w:rFonts w:ascii="Times New Roman" w:hAnsi="Times New Roman" w:cs="Times New Roman"/>
          <w:i/>
          <w:sz w:val="28"/>
          <w:szCs w:val="28"/>
          <w:shd w:val="clear" w:color="auto" w:fill="FFFFFF"/>
          <w:lang w:val="en-US"/>
        </w:rPr>
        <w:t>Circulation</w:t>
      </w:r>
      <w:r w:rsidRPr="007F5722">
        <w:rPr>
          <w:rStyle w:val="ref-journal"/>
          <w:rFonts w:ascii="Times New Roman" w:hAnsi="Times New Roman" w:cs="Times New Roman"/>
          <w:i/>
          <w:sz w:val="28"/>
          <w:szCs w:val="28"/>
          <w:shd w:val="clear" w:color="auto" w:fill="FFFFFF"/>
        </w:rPr>
        <w:t>.</w:t>
      </w:r>
      <w:r w:rsidRPr="007F5722">
        <w:rPr>
          <w:rFonts w:ascii="Times New Roman" w:hAnsi="Times New Roman" w:cs="Times New Roman"/>
          <w:sz w:val="28"/>
          <w:szCs w:val="28"/>
          <w:shd w:val="clear" w:color="auto" w:fill="FFFFFF"/>
          <w:lang w:val="en-US"/>
        </w:rPr>
        <w:t>2008;</w:t>
      </w:r>
      <w:r w:rsidRPr="007F5722">
        <w:rPr>
          <w:rFonts w:ascii="Times New Roman" w:hAnsi="Times New Roman" w:cs="Times New Roman"/>
          <w:sz w:val="28"/>
          <w:szCs w:val="28"/>
          <w:shd w:val="clear" w:color="auto" w:fill="FFFFFF"/>
        </w:rPr>
        <w:t>.</w:t>
      </w:r>
      <w:r w:rsidRPr="007F5722">
        <w:rPr>
          <w:rStyle w:val="ref-vol"/>
          <w:rFonts w:ascii="Times New Roman" w:hAnsi="Times New Roman" w:cs="Times New Roman"/>
          <w:sz w:val="28"/>
          <w:szCs w:val="28"/>
          <w:shd w:val="clear" w:color="auto" w:fill="FFFFFF"/>
          <w:lang w:val="en-US"/>
        </w:rPr>
        <w:t>118</w:t>
      </w:r>
      <w:r w:rsidRPr="007F5722">
        <w:rPr>
          <w:rFonts w:ascii="Times New Roman" w:hAnsi="Times New Roman" w:cs="Times New Roman"/>
          <w:sz w:val="28"/>
          <w:szCs w:val="28"/>
          <w:shd w:val="clear" w:color="auto" w:fill="FFFFFF"/>
          <w:lang w:val="en-US"/>
        </w:rPr>
        <w:t>:2047-</w:t>
      </w:r>
      <w:r w:rsidRPr="007F5722">
        <w:rPr>
          <w:rFonts w:ascii="Times New Roman" w:hAnsi="Times New Roman" w:cs="Times New Roman"/>
          <w:sz w:val="28"/>
          <w:szCs w:val="28"/>
          <w:shd w:val="clear" w:color="auto" w:fill="FFFFFF"/>
        </w:rPr>
        <w:t>20</w:t>
      </w:r>
      <w:r w:rsidRPr="007F5722">
        <w:rPr>
          <w:rFonts w:ascii="Times New Roman" w:hAnsi="Times New Roman" w:cs="Times New Roman"/>
          <w:sz w:val="28"/>
          <w:szCs w:val="28"/>
          <w:shd w:val="clear" w:color="auto" w:fill="FFFFFF"/>
          <w:lang w:val="en-US"/>
        </w:rPr>
        <w:t>56.</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Parks E.J. Recent findings in the study of postprandial lipemia</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 </w:t>
      </w:r>
      <w:r w:rsidRPr="007F5722">
        <w:rPr>
          <w:rFonts w:ascii="Times New Roman" w:hAnsi="Times New Roman" w:cs="Times New Roman"/>
          <w:i/>
          <w:sz w:val="28"/>
          <w:szCs w:val="28"/>
          <w:lang w:val="en-US"/>
        </w:rPr>
        <w:t>Curr. Atheroscler. Rep</w:t>
      </w:r>
      <w:r w:rsidRPr="007F5722">
        <w:rPr>
          <w:rFonts w:ascii="Times New Roman" w:hAnsi="Times New Roman" w:cs="Times New Roman"/>
          <w:sz w:val="28"/>
          <w:szCs w:val="28"/>
          <w:lang w:val="en-US"/>
        </w:rPr>
        <w:t>. 2001</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3</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462–470.</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Goudriaan J.R., Espirito Santo S.M., Voshol P.J. et al. The VLDL receptor plays a major role in chylomicron metabolism by enhancing LPL-mediated triglyceride hydrolysis</w:t>
      </w:r>
      <w:r w:rsidRPr="007F5722">
        <w:rPr>
          <w:rFonts w:ascii="Times New Roman" w:hAnsi="Times New Roman" w:cs="Times New Roman"/>
          <w:sz w:val="28"/>
          <w:szCs w:val="28"/>
        </w:rPr>
        <w:t xml:space="preserve">. </w:t>
      </w:r>
      <w:r w:rsidRPr="007F5722">
        <w:rPr>
          <w:rFonts w:ascii="Times New Roman" w:hAnsi="Times New Roman" w:cs="Times New Roman"/>
          <w:i/>
          <w:sz w:val="28"/>
          <w:szCs w:val="28"/>
          <w:lang w:val="en-US"/>
        </w:rPr>
        <w:t>J. Lipid Res.</w:t>
      </w:r>
      <w:r w:rsidRPr="007F5722">
        <w:rPr>
          <w:rFonts w:ascii="Times New Roman" w:hAnsi="Times New Roman" w:cs="Times New Roman"/>
          <w:sz w:val="28"/>
          <w:szCs w:val="28"/>
          <w:lang w:val="en-US"/>
        </w:rPr>
        <w:t xml:space="preserve"> 2004</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45</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1475–1481.</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de-DE"/>
        </w:rPr>
        <w:t xml:space="preserve">Kalsch T., Elmas E., Nguyen X.D. et al. </w:t>
      </w:r>
      <w:r w:rsidRPr="007F5722">
        <w:rPr>
          <w:rFonts w:ascii="Times New Roman" w:hAnsi="Times New Roman" w:cs="Times New Roman"/>
          <w:sz w:val="28"/>
          <w:szCs w:val="28"/>
          <w:lang w:val="en-US"/>
        </w:rPr>
        <w:t>Alimentary lipemia enhances procoagulatory effects of inflammation in patients with a history of acute myocardial infarction complicated by ventricular fibrillation</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 </w:t>
      </w:r>
      <w:r w:rsidRPr="007F5722">
        <w:rPr>
          <w:rFonts w:ascii="Times New Roman" w:hAnsi="Times New Roman" w:cs="Times New Roman"/>
          <w:i/>
          <w:sz w:val="28"/>
          <w:szCs w:val="28"/>
          <w:lang w:val="en-US"/>
        </w:rPr>
        <w:t>Int. J. Cardiol</w:t>
      </w:r>
      <w:r w:rsidRPr="007F5722">
        <w:rPr>
          <w:rFonts w:ascii="Times New Roman" w:hAnsi="Times New Roman" w:cs="Times New Roman"/>
          <w:sz w:val="28"/>
          <w:szCs w:val="28"/>
          <w:lang w:val="en-US"/>
        </w:rPr>
        <w:t>. 2008</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 123</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131–137.</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rPr>
        <w:t xml:space="preserve">Соколов Е.И., Перова Н.В., Щукина Г.Н. Мелкие плотные частицы липопротеидов низкой плотности: механизмы образования, атерогенные свойства, возможности изменения их содержания в плазме крови. </w:t>
      </w:r>
      <w:r w:rsidRPr="007F5722">
        <w:rPr>
          <w:rFonts w:ascii="Times New Roman" w:hAnsi="Times New Roman" w:cs="Times New Roman"/>
          <w:i/>
          <w:sz w:val="28"/>
          <w:szCs w:val="28"/>
        </w:rPr>
        <w:t>Кардиология</w:t>
      </w:r>
      <w:r w:rsidRPr="007F5722">
        <w:rPr>
          <w:rFonts w:ascii="Times New Roman" w:hAnsi="Times New Roman" w:cs="Times New Roman"/>
          <w:sz w:val="28"/>
          <w:szCs w:val="28"/>
        </w:rPr>
        <w:t>. 2005;10:91–96.</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rPr>
        <w:lastRenderedPageBreak/>
        <w:t xml:space="preserve">Братусь В.В., Талаева Т.В., Шумаков В.А.; под ред. Коваленко В.Н. Ожирение, инсулинорезистентность, метаболический синдром: фундаментальные и клинические аспекты: монография. К.: </w:t>
      </w:r>
      <w:r w:rsidRPr="007F5722">
        <w:rPr>
          <w:rFonts w:ascii="Times New Roman" w:hAnsi="Times New Roman" w:cs="Times New Roman"/>
          <w:i/>
          <w:sz w:val="28"/>
          <w:szCs w:val="28"/>
        </w:rPr>
        <w:t>Четверта хвиля.</w:t>
      </w:r>
      <w:r w:rsidRPr="007F5722">
        <w:rPr>
          <w:rFonts w:ascii="Times New Roman" w:hAnsi="Times New Roman" w:cs="Times New Roman"/>
          <w:sz w:val="28"/>
          <w:szCs w:val="28"/>
        </w:rPr>
        <w:t xml:space="preserve"> 2009:416.</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Lemieux</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I</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Couillard</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C</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Pascot</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A</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et</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al</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The small, dense LDL phenotype as a correlate of postprandial lipemia in men</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 </w:t>
      </w:r>
      <w:r w:rsidRPr="007F5722">
        <w:rPr>
          <w:rFonts w:ascii="Times New Roman" w:hAnsi="Times New Roman" w:cs="Times New Roman"/>
          <w:i/>
          <w:sz w:val="28"/>
          <w:szCs w:val="28"/>
          <w:lang w:val="en-US"/>
        </w:rPr>
        <w:t>Atherosclerosis</w:t>
      </w:r>
      <w:r w:rsidRPr="007F5722">
        <w:rPr>
          <w:rFonts w:ascii="Times New Roman" w:hAnsi="Times New Roman" w:cs="Times New Roman"/>
          <w:sz w:val="28"/>
          <w:szCs w:val="28"/>
          <w:lang w:val="en-US"/>
        </w:rPr>
        <w:t>. 2000</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 153</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 423–432.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de-DE"/>
        </w:rPr>
        <w:t xml:space="preserve">Lemieux I., Laperriere L., Dzavik V. et al. </w:t>
      </w:r>
      <w:r w:rsidRPr="007F5722">
        <w:rPr>
          <w:rFonts w:ascii="Times New Roman" w:hAnsi="Times New Roman" w:cs="Times New Roman"/>
          <w:sz w:val="28"/>
          <w:szCs w:val="28"/>
          <w:lang w:val="en-US"/>
        </w:rPr>
        <w:t>A 16-week fenofibrate treatment increases LDL particle size in type IIA dyslipidemic patients</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 </w:t>
      </w:r>
      <w:r w:rsidRPr="007F5722">
        <w:rPr>
          <w:rFonts w:ascii="Times New Roman" w:hAnsi="Times New Roman" w:cs="Times New Roman"/>
          <w:i/>
          <w:sz w:val="28"/>
          <w:szCs w:val="28"/>
          <w:lang w:val="en-US"/>
        </w:rPr>
        <w:t>Atherosclerosis.</w:t>
      </w:r>
      <w:r w:rsidRPr="007F5722">
        <w:rPr>
          <w:rFonts w:ascii="Times New Roman" w:hAnsi="Times New Roman" w:cs="Times New Roman"/>
          <w:sz w:val="28"/>
          <w:szCs w:val="28"/>
          <w:lang w:val="en-US"/>
        </w:rPr>
        <w:t xml:space="preserve"> 2002</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 162</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363–371.</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de-DE"/>
        </w:rPr>
        <w:t xml:space="preserve">Przybycien K., Kornacewicz-Jach Z., Torbus-Lisiecka B. et al. </w:t>
      </w:r>
      <w:r w:rsidRPr="007F5722">
        <w:rPr>
          <w:rFonts w:ascii="Times New Roman" w:hAnsi="Times New Roman" w:cs="Times New Roman"/>
          <w:sz w:val="28"/>
          <w:szCs w:val="28"/>
          <w:lang w:val="en-US"/>
        </w:rPr>
        <w:t xml:space="preserve">Is abnormal postprandial lipemia a familial risk factor for coronary artery disease in individuals with normal fasting concentrations of triglycerides and cholesterol? </w:t>
      </w:r>
      <w:r w:rsidRPr="007F5722">
        <w:rPr>
          <w:rFonts w:ascii="Times New Roman" w:hAnsi="Times New Roman" w:cs="Times New Roman"/>
          <w:i/>
          <w:sz w:val="28"/>
          <w:szCs w:val="28"/>
          <w:lang w:val="en-US"/>
        </w:rPr>
        <w:t>Coron. Artery Dis.</w:t>
      </w:r>
      <w:r w:rsidRPr="007F5722">
        <w:rPr>
          <w:rFonts w:ascii="Times New Roman" w:hAnsi="Times New Roman" w:cs="Times New Roman"/>
          <w:sz w:val="28"/>
          <w:szCs w:val="28"/>
          <w:lang w:val="en-US"/>
        </w:rPr>
        <w:t xml:space="preserve"> 2000</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 11</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5</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377–381.</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Tiret L., Gerdes C., Murphy M.J. et al. Postprandial response to fat tolerance test in young adults with a parental history of premature coronary heart disease – the EARS II study</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 </w:t>
      </w:r>
      <w:r w:rsidRPr="007F5722">
        <w:rPr>
          <w:rFonts w:ascii="Times New Roman" w:hAnsi="Times New Roman" w:cs="Times New Roman"/>
          <w:i/>
          <w:sz w:val="28"/>
          <w:szCs w:val="28"/>
          <w:lang w:val="en-US"/>
        </w:rPr>
        <w:t>Eur. J. Clin. Invest.</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2000</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30</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7</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578–585.</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Parks E.J. Recent findings in the study of postprandial lipemia</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 </w:t>
      </w:r>
      <w:r w:rsidRPr="007F5722">
        <w:rPr>
          <w:rFonts w:ascii="Times New Roman" w:hAnsi="Times New Roman" w:cs="Times New Roman"/>
          <w:i/>
          <w:sz w:val="28"/>
          <w:szCs w:val="28"/>
          <w:lang w:val="en-US"/>
        </w:rPr>
        <w:t>Curr. Atheroscler. Rep</w:t>
      </w:r>
      <w:r w:rsidRPr="007F5722">
        <w:rPr>
          <w:rFonts w:ascii="Times New Roman" w:hAnsi="Times New Roman" w:cs="Times New Roman"/>
          <w:sz w:val="28"/>
          <w:szCs w:val="28"/>
          <w:lang w:val="en-US"/>
        </w:rPr>
        <w:t>. 2001</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 3</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462–470.</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de-DE"/>
        </w:rPr>
        <w:t xml:space="preserve">Przybycien K., Kornacewicz-Jach Z., Torbus-Lisiecka B. et al. </w:t>
      </w:r>
      <w:r w:rsidRPr="007F5722">
        <w:rPr>
          <w:rFonts w:ascii="Times New Roman" w:hAnsi="Times New Roman" w:cs="Times New Roman"/>
          <w:sz w:val="28"/>
          <w:szCs w:val="28"/>
          <w:lang w:val="en-US"/>
        </w:rPr>
        <w:t xml:space="preserve">Is abnormal postprandial lipemia a familial risk factor for coronary artery disease in individuals with normal fasting concentrations of triglycerides and cholesterol? </w:t>
      </w:r>
      <w:r w:rsidRPr="007F5722">
        <w:rPr>
          <w:rFonts w:ascii="Times New Roman" w:hAnsi="Times New Roman" w:cs="Times New Roman"/>
          <w:i/>
          <w:sz w:val="28"/>
          <w:szCs w:val="28"/>
          <w:lang w:val="en-US"/>
        </w:rPr>
        <w:t xml:space="preserve">Coron. </w:t>
      </w:r>
      <w:r w:rsidRPr="007F5722">
        <w:rPr>
          <w:rFonts w:ascii="Times New Roman" w:hAnsi="Times New Roman" w:cs="Times New Roman"/>
          <w:i/>
          <w:sz w:val="28"/>
          <w:szCs w:val="28"/>
          <w:lang w:val="de-DE"/>
        </w:rPr>
        <w:t>Artery Dis</w:t>
      </w:r>
      <w:r w:rsidRPr="007F5722">
        <w:rPr>
          <w:rFonts w:ascii="Times New Roman" w:hAnsi="Times New Roman" w:cs="Times New Roman"/>
          <w:sz w:val="28"/>
          <w:szCs w:val="28"/>
          <w:lang w:val="de-DE"/>
        </w:rPr>
        <w:t>. 2000. 11</w:t>
      </w:r>
      <w:r w:rsidRPr="007F5722">
        <w:rPr>
          <w:rFonts w:ascii="Times New Roman" w:hAnsi="Times New Roman" w:cs="Times New Roman"/>
          <w:sz w:val="28"/>
          <w:szCs w:val="28"/>
        </w:rPr>
        <w:t>(5):</w:t>
      </w:r>
      <w:r w:rsidRPr="007F5722">
        <w:rPr>
          <w:rFonts w:ascii="Times New Roman" w:hAnsi="Times New Roman" w:cs="Times New Roman"/>
          <w:sz w:val="28"/>
          <w:szCs w:val="28"/>
          <w:lang w:val="de-DE"/>
        </w:rPr>
        <w:t>377–381.</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de-DE"/>
        </w:rPr>
        <w:t xml:space="preserve">Kalsch T., Elmas E., Nguyen X.D. et al. </w:t>
      </w:r>
      <w:r w:rsidRPr="007F5722">
        <w:rPr>
          <w:rFonts w:ascii="Times New Roman" w:hAnsi="Times New Roman" w:cs="Times New Roman"/>
          <w:sz w:val="28"/>
          <w:szCs w:val="28"/>
          <w:lang w:val="en-US"/>
        </w:rPr>
        <w:t>Alimentary lipemia enhances procoagulatory effects of inflammation in patients with a history of acute myocardial infarction complicated by ventricular fibrillation</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 </w:t>
      </w:r>
      <w:r w:rsidRPr="007F5722">
        <w:rPr>
          <w:rFonts w:ascii="Times New Roman" w:hAnsi="Times New Roman" w:cs="Times New Roman"/>
          <w:i/>
          <w:sz w:val="28"/>
          <w:szCs w:val="28"/>
          <w:lang w:val="en-US"/>
        </w:rPr>
        <w:t>Int. J. Cardiol.</w:t>
      </w:r>
      <w:r w:rsidRPr="007F5722">
        <w:rPr>
          <w:rFonts w:ascii="Times New Roman" w:hAnsi="Times New Roman" w:cs="Times New Roman"/>
          <w:sz w:val="28"/>
          <w:szCs w:val="28"/>
          <w:lang w:val="en-US"/>
        </w:rPr>
        <w:t xml:space="preserve"> 2008</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 123</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131–137.</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Parks E.J. Recent findings in the study of postprandial lipemia</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 </w:t>
      </w:r>
      <w:r w:rsidRPr="007F5722">
        <w:rPr>
          <w:rFonts w:ascii="Times New Roman" w:hAnsi="Times New Roman" w:cs="Times New Roman"/>
          <w:i/>
          <w:sz w:val="28"/>
          <w:szCs w:val="28"/>
          <w:lang w:val="en-US"/>
        </w:rPr>
        <w:t xml:space="preserve">Curr. </w:t>
      </w:r>
      <w:r w:rsidRPr="007F5722">
        <w:rPr>
          <w:rFonts w:ascii="Times New Roman" w:hAnsi="Times New Roman" w:cs="Times New Roman"/>
          <w:i/>
          <w:sz w:val="28"/>
          <w:szCs w:val="28"/>
          <w:lang w:val="de-DE"/>
        </w:rPr>
        <w:t>Atheroscler. Rep.</w:t>
      </w:r>
      <w:r w:rsidRPr="007F5722">
        <w:rPr>
          <w:rFonts w:ascii="Times New Roman" w:hAnsi="Times New Roman" w:cs="Times New Roman"/>
          <w:sz w:val="28"/>
          <w:szCs w:val="28"/>
          <w:lang w:val="de-DE"/>
        </w:rPr>
        <w:t xml:space="preserve"> 2001</w:t>
      </w:r>
      <w:r w:rsidRPr="007F5722">
        <w:rPr>
          <w:rFonts w:ascii="Times New Roman" w:hAnsi="Times New Roman" w:cs="Times New Roman"/>
          <w:sz w:val="28"/>
          <w:szCs w:val="28"/>
        </w:rPr>
        <w:t>;</w:t>
      </w:r>
      <w:r w:rsidRPr="007F5722">
        <w:rPr>
          <w:rFonts w:ascii="Times New Roman" w:hAnsi="Times New Roman" w:cs="Times New Roman"/>
          <w:sz w:val="28"/>
          <w:szCs w:val="28"/>
          <w:lang w:val="de-DE"/>
        </w:rPr>
        <w:t xml:space="preserve"> 3</w:t>
      </w:r>
      <w:r w:rsidRPr="007F5722">
        <w:rPr>
          <w:rFonts w:ascii="Times New Roman" w:hAnsi="Times New Roman" w:cs="Times New Roman"/>
          <w:sz w:val="28"/>
          <w:szCs w:val="28"/>
        </w:rPr>
        <w:t>:</w:t>
      </w:r>
      <w:r w:rsidRPr="007F5722">
        <w:rPr>
          <w:rFonts w:ascii="Times New Roman" w:hAnsi="Times New Roman" w:cs="Times New Roman"/>
          <w:sz w:val="28"/>
          <w:szCs w:val="28"/>
          <w:lang w:val="de-DE"/>
        </w:rPr>
        <w:t>462–470.</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de-DE"/>
        </w:rPr>
        <w:lastRenderedPageBreak/>
        <w:t xml:space="preserve">Nordestgaard B.G., Benn M., Schohr P. et al. </w:t>
      </w:r>
      <w:r w:rsidRPr="007F5722">
        <w:rPr>
          <w:rFonts w:ascii="Times New Roman" w:hAnsi="Times New Roman" w:cs="Times New Roman"/>
          <w:sz w:val="28"/>
          <w:szCs w:val="28"/>
          <w:lang w:val="en-US"/>
        </w:rPr>
        <w:t>Nonfasting triglycerides and risk of myocardial infarction, ischemic heart disease, and death in men and women</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 </w:t>
      </w:r>
      <w:r w:rsidRPr="007F5722">
        <w:rPr>
          <w:rFonts w:ascii="Times New Roman" w:hAnsi="Times New Roman" w:cs="Times New Roman"/>
          <w:i/>
          <w:sz w:val="28"/>
          <w:szCs w:val="28"/>
          <w:lang w:val="en-US"/>
        </w:rPr>
        <w:t>JAMA</w:t>
      </w:r>
      <w:r w:rsidRPr="007F5722">
        <w:rPr>
          <w:rFonts w:ascii="Times New Roman" w:hAnsi="Times New Roman" w:cs="Times New Roman"/>
          <w:sz w:val="28"/>
          <w:szCs w:val="28"/>
          <w:lang w:val="en-US"/>
        </w:rPr>
        <w:t>. 2007</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 298</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299–308.</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Kolovou</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G</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D</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Anagnostopoulou</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K</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K</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Daskalopoulou</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S</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S</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et</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al</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Clinical relevance of postprandial lipaemia</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 </w:t>
      </w:r>
      <w:r w:rsidRPr="007F5722">
        <w:rPr>
          <w:rFonts w:ascii="Times New Roman" w:hAnsi="Times New Roman" w:cs="Times New Roman"/>
          <w:i/>
          <w:sz w:val="28"/>
          <w:szCs w:val="28"/>
          <w:lang w:val="en-US"/>
        </w:rPr>
        <w:t>Curr. Med. Chem.</w:t>
      </w:r>
      <w:r w:rsidRPr="007F5722">
        <w:rPr>
          <w:rFonts w:ascii="Times New Roman" w:hAnsi="Times New Roman" w:cs="Times New Roman"/>
          <w:sz w:val="28"/>
          <w:szCs w:val="28"/>
          <w:lang w:val="en-US"/>
        </w:rPr>
        <w:t xml:space="preserve"> 2005</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 12</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1931–1945.</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bCs/>
          <w:color w:val="000000"/>
          <w:sz w:val="28"/>
          <w:szCs w:val="28"/>
          <w:lang w:val="en-US" w:eastAsia="ru-RU"/>
        </w:rPr>
        <w:t>Bartlomiejczyk M.A., Penson P., Banach M. </w:t>
      </w:r>
      <w:r w:rsidRPr="007F5722">
        <w:rPr>
          <w:rFonts w:ascii="Times New Roman" w:eastAsia="Times New Roman" w:hAnsi="Times New Roman" w:cs="Times New Roman"/>
          <w:color w:val="000000"/>
          <w:sz w:val="28"/>
          <w:szCs w:val="28"/>
          <w:lang w:val="en-US" w:eastAsia="ru-RU"/>
        </w:rPr>
        <w:t xml:space="preserve">Worldwide Dyslipidemia Guideline. </w:t>
      </w:r>
      <w:r w:rsidRPr="007F5722">
        <w:rPr>
          <w:rFonts w:ascii="Times New Roman" w:eastAsia="Times New Roman" w:hAnsi="Times New Roman" w:cs="Times New Roman"/>
          <w:i/>
          <w:color w:val="000000"/>
          <w:sz w:val="28"/>
          <w:szCs w:val="28"/>
          <w:lang w:val="en-US" w:eastAsia="ru-RU"/>
        </w:rPr>
        <w:t>Curr. Cardiovasc. Risk. Rep.</w:t>
      </w:r>
      <w:r w:rsidRPr="007F5722">
        <w:rPr>
          <w:rFonts w:ascii="Times New Roman" w:eastAsia="Times New Roman" w:hAnsi="Times New Roman" w:cs="Times New Roman"/>
          <w:color w:val="000000"/>
          <w:sz w:val="28"/>
          <w:szCs w:val="28"/>
          <w:lang w:eastAsia="ru-RU"/>
        </w:rPr>
        <w:t xml:space="preserve"> 2019;</w:t>
      </w:r>
      <w:r w:rsidRPr="007F5722">
        <w:rPr>
          <w:rFonts w:ascii="Times New Roman" w:eastAsia="Times New Roman" w:hAnsi="Times New Roman" w:cs="Times New Roman"/>
          <w:color w:val="000000"/>
          <w:sz w:val="28"/>
          <w:szCs w:val="28"/>
          <w:lang w:val="en-US" w:eastAsia="ru-RU"/>
        </w:rPr>
        <w:t xml:space="preserve"> 13: 2. DOI: 10.1007/signal-12170-019-0597-x.</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 xml:space="preserve">Ridker, P.M.; Morrow, D.A. C-reactive protein, inflammation and coronary risk. </w:t>
      </w:r>
      <w:r w:rsidRPr="007F5722">
        <w:rPr>
          <w:rFonts w:ascii="Times New Roman" w:hAnsi="Times New Roman" w:cs="Times New Roman"/>
          <w:i/>
          <w:sz w:val="28"/>
          <w:szCs w:val="28"/>
          <w:lang w:val="en-US"/>
        </w:rPr>
        <w:t>Cardiol. Clin</w:t>
      </w:r>
      <w:r w:rsidRPr="007F5722">
        <w:rPr>
          <w:rFonts w:ascii="Times New Roman" w:hAnsi="Times New Roman" w:cs="Times New Roman"/>
          <w:sz w:val="28"/>
          <w:szCs w:val="28"/>
          <w:lang w:val="en-US"/>
        </w:rPr>
        <w:t>. 2003</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 21(3)</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 315-325.</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Lewis G. F.</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 Rader D. J. New insights into the regulation of HDL metabolism and reverse cholesterol transport</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 </w:t>
      </w:r>
      <w:r w:rsidRPr="007F5722">
        <w:rPr>
          <w:rFonts w:ascii="Times New Roman" w:hAnsi="Times New Roman" w:cs="Times New Roman"/>
          <w:i/>
          <w:sz w:val="28"/>
          <w:szCs w:val="28"/>
          <w:lang w:val="en-US"/>
        </w:rPr>
        <w:t>Circ. Res.-</w:t>
      </w:r>
      <w:r w:rsidRPr="007F5722">
        <w:rPr>
          <w:rFonts w:ascii="Times New Roman" w:hAnsi="Times New Roman" w:cs="Times New Roman"/>
          <w:sz w:val="28"/>
          <w:szCs w:val="28"/>
          <w:lang w:val="en-US"/>
        </w:rPr>
        <w:t>2005</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96</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12</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1221 – 1232.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Danesh J., Collins R., Peto R.</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 xml:space="preserve">et al. Lipoprotein (a) and </w:t>
      </w:r>
      <w:r w:rsidRPr="007F5722">
        <w:rPr>
          <w:rFonts w:ascii="Times New Roman" w:hAnsi="Times New Roman" w:cs="Times New Roman"/>
          <w:sz w:val="28"/>
          <w:szCs w:val="28"/>
        </w:rPr>
        <w:t>С</w:t>
      </w:r>
      <w:r w:rsidRPr="007F5722">
        <w:rPr>
          <w:rFonts w:ascii="Times New Roman" w:hAnsi="Times New Roman" w:cs="Times New Roman"/>
          <w:sz w:val="28"/>
          <w:szCs w:val="28"/>
          <w:lang w:val="en-US"/>
        </w:rPr>
        <w:t>oronary Heart Disease. Meta-analysis of prospective studies</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 </w:t>
      </w:r>
      <w:r w:rsidRPr="007F5722">
        <w:rPr>
          <w:rFonts w:ascii="Times New Roman" w:hAnsi="Times New Roman" w:cs="Times New Roman"/>
          <w:i/>
          <w:sz w:val="28"/>
          <w:szCs w:val="28"/>
          <w:lang w:val="en-US"/>
        </w:rPr>
        <w:t>Circulation</w:t>
      </w:r>
      <w:r w:rsidRPr="007F5722">
        <w:rPr>
          <w:rFonts w:ascii="Times New Roman" w:hAnsi="Times New Roman" w:cs="Times New Roman"/>
          <w:sz w:val="28"/>
          <w:szCs w:val="28"/>
          <w:lang w:val="en-US"/>
        </w:rPr>
        <w:t>. 2000</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120</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1082 – 1085.</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rPr>
        <w:t xml:space="preserve">Визир В. А., Березин А. Е. Аполипопротеины как маркеры кардиоваскулярного риска. </w:t>
      </w:r>
      <w:r w:rsidRPr="007F5722">
        <w:rPr>
          <w:rFonts w:ascii="Times New Roman" w:hAnsi="Times New Roman" w:cs="Times New Roman"/>
          <w:i/>
          <w:sz w:val="28"/>
          <w:szCs w:val="28"/>
        </w:rPr>
        <w:t>Український</w:t>
      </w:r>
      <w:r w:rsidRPr="007F5722">
        <w:rPr>
          <w:rFonts w:ascii="Times New Roman" w:hAnsi="Times New Roman" w:cs="Times New Roman"/>
          <w:i/>
          <w:sz w:val="28"/>
          <w:szCs w:val="28"/>
          <w:lang w:val="ru-RU"/>
        </w:rPr>
        <w:t xml:space="preserve"> </w:t>
      </w:r>
      <w:r w:rsidRPr="007F5722">
        <w:rPr>
          <w:rFonts w:ascii="Times New Roman" w:hAnsi="Times New Roman" w:cs="Times New Roman"/>
          <w:i/>
          <w:sz w:val="28"/>
          <w:szCs w:val="28"/>
        </w:rPr>
        <w:t>медичний</w:t>
      </w:r>
      <w:r w:rsidRPr="007F5722">
        <w:rPr>
          <w:rFonts w:ascii="Times New Roman" w:hAnsi="Times New Roman" w:cs="Times New Roman"/>
          <w:i/>
          <w:sz w:val="28"/>
          <w:szCs w:val="28"/>
          <w:lang w:val="ru-RU"/>
        </w:rPr>
        <w:t xml:space="preserve"> </w:t>
      </w:r>
      <w:r w:rsidRPr="007F5722">
        <w:rPr>
          <w:rFonts w:ascii="Times New Roman" w:hAnsi="Times New Roman" w:cs="Times New Roman"/>
          <w:i/>
          <w:sz w:val="28"/>
          <w:szCs w:val="28"/>
        </w:rPr>
        <w:t>часопис</w:t>
      </w:r>
      <w:r w:rsidRPr="007F5722">
        <w:rPr>
          <w:rFonts w:ascii="Times New Roman" w:hAnsi="Times New Roman" w:cs="Times New Roman"/>
          <w:sz w:val="28"/>
          <w:szCs w:val="28"/>
          <w:lang w:val="ru-RU"/>
        </w:rPr>
        <w:t>. 2008</w:t>
      </w:r>
      <w:r w:rsidRPr="007F5722">
        <w:rPr>
          <w:rFonts w:ascii="Times New Roman" w:hAnsi="Times New Roman" w:cs="Times New Roman"/>
          <w:sz w:val="28"/>
          <w:szCs w:val="28"/>
        </w:rPr>
        <w:t>;</w:t>
      </w:r>
      <w:r w:rsidRPr="007F5722">
        <w:rPr>
          <w:rFonts w:ascii="Times New Roman" w:hAnsi="Times New Roman" w:cs="Times New Roman"/>
          <w:sz w:val="28"/>
          <w:szCs w:val="28"/>
          <w:lang w:val="ru-RU"/>
        </w:rPr>
        <w:t>. 6</w:t>
      </w:r>
      <w:r w:rsidRPr="007F5722">
        <w:rPr>
          <w:rFonts w:ascii="Times New Roman" w:hAnsi="Times New Roman" w:cs="Times New Roman"/>
          <w:sz w:val="28"/>
          <w:szCs w:val="28"/>
        </w:rPr>
        <w:t>:</w:t>
      </w:r>
      <w:r w:rsidRPr="007F5722">
        <w:rPr>
          <w:rFonts w:ascii="Times New Roman" w:hAnsi="Times New Roman" w:cs="Times New Roman"/>
          <w:sz w:val="28"/>
          <w:szCs w:val="28"/>
          <w:lang w:val="ru-RU"/>
        </w:rPr>
        <w:t>53 – 6</w:t>
      </w:r>
      <w:r w:rsidRPr="007F5722">
        <w:rPr>
          <w:rFonts w:ascii="Times New Roman" w:hAnsi="Times New Roman" w:cs="Times New Roman"/>
          <w:sz w:val="28"/>
          <w:szCs w:val="28"/>
        </w:rPr>
        <w:t>1.</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Barter P. J.</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 Rye K. A. The rationale for using apoA-I as a clinical marker of cardiovascular risk</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 xml:space="preserve"> </w:t>
      </w:r>
      <w:r w:rsidRPr="007F5722">
        <w:rPr>
          <w:rFonts w:ascii="Times New Roman" w:hAnsi="Times New Roman" w:cs="Times New Roman"/>
          <w:i/>
          <w:sz w:val="28"/>
          <w:szCs w:val="28"/>
          <w:lang w:val="en-US"/>
        </w:rPr>
        <w:t>J. Intern. Med.</w:t>
      </w:r>
      <w:r w:rsidRPr="007F5722">
        <w:rPr>
          <w:rFonts w:ascii="Times New Roman" w:hAnsi="Times New Roman" w:cs="Times New Roman"/>
          <w:sz w:val="28"/>
          <w:szCs w:val="28"/>
          <w:lang w:val="en-US"/>
        </w:rPr>
        <w:t xml:space="preserve"> 2006</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 259</w:t>
      </w:r>
      <w:r w:rsidRPr="007F5722">
        <w:rPr>
          <w:rFonts w:ascii="Times New Roman" w:hAnsi="Times New Roman" w:cs="Times New Roman"/>
          <w:sz w:val="28"/>
          <w:szCs w:val="28"/>
        </w:rPr>
        <w:t>(5):</w:t>
      </w:r>
      <w:r w:rsidRPr="007F5722">
        <w:rPr>
          <w:rFonts w:ascii="Times New Roman" w:hAnsi="Times New Roman" w:cs="Times New Roman"/>
          <w:sz w:val="28"/>
          <w:szCs w:val="28"/>
          <w:lang w:val="en-US"/>
        </w:rPr>
        <w:t>447 – 454.</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Grundy S. Low-density lipoprotein, non-high- density lipoprotein, and apolipoprotein B as targets of lipid-lowering therapy</w:t>
      </w:r>
      <w:r w:rsidRPr="007F5722">
        <w:rPr>
          <w:rFonts w:ascii="Times New Roman" w:hAnsi="Times New Roman" w:cs="Times New Roman"/>
          <w:sz w:val="28"/>
          <w:szCs w:val="28"/>
        </w:rPr>
        <w:t xml:space="preserve">. </w:t>
      </w:r>
      <w:r w:rsidRPr="007F5722">
        <w:rPr>
          <w:rFonts w:ascii="Times New Roman" w:hAnsi="Times New Roman" w:cs="Times New Roman"/>
          <w:i/>
          <w:sz w:val="28"/>
          <w:szCs w:val="28"/>
          <w:lang w:val="en-US"/>
        </w:rPr>
        <w:t>Circulation.-</w:t>
      </w:r>
      <w:r w:rsidRPr="007F5722">
        <w:rPr>
          <w:rFonts w:ascii="Times New Roman" w:hAnsi="Times New Roman" w:cs="Times New Roman"/>
          <w:sz w:val="28"/>
          <w:szCs w:val="28"/>
          <w:lang w:val="en-US"/>
        </w:rPr>
        <w:t>2002</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106</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2526 – 2529.</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Barter P. J.</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 Rye K. A. The rationale for using apoA-I as a clinical marker of cardiovascular risk</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 </w:t>
      </w:r>
      <w:r w:rsidRPr="007F5722">
        <w:rPr>
          <w:rFonts w:ascii="Times New Roman" w:hAnsi="Times New Roman" w:cs="Times New Roman"/>
          <w:i/>
          <w:sz w:val="28"/>
          <w:szCs w:val="28"/>
          <w:lang w:val="en-US"/>
        </w:rPr>
        <w:t>J. Intern. Med</w:t>
      </w:r>
      <w:r w:rsidRPr="007F5722">
        <w:rPr>
          <w:rFonts w:ascii="Times New Roman" w:hAnsi="Times New Roman" w:cs="Times New Roman"/>
          <w:sz w:val="28"/>
          <w:szCs w:val="28"/>
          <w:lang w:val="en-US"/>
        </w:rPr>
        <w:t>. 2006</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259</w:t>
      </w:r>
      <w:r w:rsidRPr="007F5722">
        <w:rPr>
          <w:rFonts w:ascii="Times New Roman" w:hAnsi="Times New Roman" w:cs="Times New Roman"/>
          <w:sz w:val="28"/>
          <w:szCs w:val="28"/>
        </w:rPr>
        <w:t>(5):</w:t>
      </w:r>
      <w:r w:rsidRPr="007F5722">
        <w:rPr>
          <w:rFonts w:ascii="Times New Roman" w:hAnsi="Times New Roman" w:cs="Times New Roman"/>
          <w:sz w:val="28"/>
          <w:szCs w:val="28"/>
          <w:lang w:val="en-US"/>
        </w:rPr>
        <w:t xml:space="preserve">447 – 454.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Danesh J</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 Collins R., Peto R. et al. Lipoprotein (a) and </w:t>
      </w:r>
      <w:r w:rsidRPr="007F5722">
        <w:rPr>
          <w:rFonts w:ascii="Times New Roman" w:hAnsi="Times New Roman" w:cs="Times New Roman"/>
          <w:sz w:val="28"/>
          <w:szCs w:val="28"/>
        </w:rPr>
        <w:t>С</w:t>
      </w:r>
      <w:r w:rsidRPr="007F5722">
        <w:rPr>
          <w:rFonts w:ascii="Times New Roman" w:hAnsi="Times New Roman" w:cs="Times New Roman"/>
          <w:sz w:val="28"/>
          <w:szCs w:val="28"/>
          <w:lang w:val="en-US"/>
        </w:rPr>
        <w:t>oronary Heart Disease. Meta-analysis of prospective studies</w:t>
      </w:r>
      <w:r w:rsidRPr="007F5722">
        <w:rPr>
          <w:rFonts w:ascii="Times New Roman" w:hAnsi="Times New Roman" w:cs="Times New Roman"/>
          <w:sz w:val="28"/>
          <w:szCs w:val="28"/>
        </w:rPr>
        <w:t xml:space="preserve">. </w:t>
      </w:r>
      <w:r w:rsidRPr="007F5722">
        <w:rPr>
          <w:rFonts w:ascii="Times New Roman" w:hAnsi="Times New Roman" w:cs="Times New Roman"/>
          <w:i/>
          <w:sz w:val="28"/>
          <w:szCs w:val="28"/>
          <w:lang w:val="en-US"/>
        </w:rPr>
        <w:t>Circulation</w:t>
      </w:r>
      <w:r w:rsidRPr="007F5722">
        <w:rPr>
          <w:rFonts w:ascii="Times New Roman" w:hAnsi="Times New Roman" w:cs="Times New Roman"/>
          <w:sz w:val="28"/>
          <w:szCs w:val="28"/>
          <w:lang w:val="en-US"/>
        </w:rPr>
        <w:t>.</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2000</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120</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1082 – 1085.</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Grundy S. Low-density lipoprotein, non-high- density lipoprotein, and apolipoprotein B as targets of lipid-lowering therapy</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 </w:t>
      </w:r>
      <w:r w:rsidRPr="007F5722">
        <w:rPr>
          <w:rFonts w:ascii="Times New Roman" w:hAnsi="Times New Roman" w:cs="Times New Roman"/>
          <w:i/>
          <w:sz w:val="28"/>
          <w:szCs w:val="28"/>
          <w:lang w:val="en-US"/>
        </w:rPr>
        <w:t xml:space="preserve">Circulation. </w:t>
      </w:r>
      <w:r w:rsidRPr="007F5722">
        <w:rPr>
          <w:rFonts w:ascii="Times New Roman" w:hAnsi="Times New Roman" w:cs="Times New Roman"/>
          <w:sz w:val="28"/>
          <w:szCs w:val="28"/>
          <w:lang w:val="en-US"/>
        </w:rPr>
        <w:t>2002</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106</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2526 – 2529.</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rPr>
        <w:lastRenderedPageBreak/>
        <w:t xml:space="preserve">Чумакова О. С., Затейщиков Д. А., Сидоренко Б. А. Аполипопротеин В: структура, функция, полиморфизм гена и связь с атеросклерозом. </w:t>
      </w:r>
      <w:r w:rsidRPr="007F5722">
        <w:rPr>
          <w:rFonts w:ascii="Times New Roman" w:hAnsi="Times New Roman" w:cs="Times New Roman"/>
          <w:i/>
          <w:sz w:val="28"/>
          <w:szCs w:val="28"/>
        </w:rPr>
        <w:t>Кардиология.</w:t>
      </w:r>
      <w:r w:rsidRPr="007F5722">
        <w:rPr>
          <w:rFonts w:ascii="Times New Roman" w:hAnsi="Times New Roman" w:cs="Times New Roman"/>
          <w:sz w:val="28"/>
          <w:szCs w:val="28"/>
        </w:rPr>
        <w:t xml:space="preserve"> 2005. Том 45(N6.):43 – 56.</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Sniderman A. D. Applying apoB to the Diagnosis and Therapy of the atherogenic dyslipoproteinemias: a clinical diagnostic algorithm</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 </w:t>
      </w:r>
      <w:r w:rsidRPr="007F5722">
        <w:rPr>
          <w:rFonts w:ascii="Times New Roman" w:hAnsi="Times New Roman" w:cs="Times New Roman"/>
          <w:i/>
          <w:sz w:val="28"/>
          <w:szCs w:val="28"/>
          <w:lang w:val="en-US"/>
        </w:rPr>
        <w:t xml:space="preserve">Curr. Opin. Lipidol.- </w:t>
      </w:r>
      <w:r w:rsidRPr="007F5722">
        <w:rPr>
          <w:rFonts w:ascii="Times New Roman" w:hAnsi="Times New Roman" w:cs="Times New Roman"/>
          <w:sz w:val="28"/>
          <w:szCs w:val="28"/>
          <w:lang w:val="en-US"/>
        </w:rPr>
        <w:t>2004</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15</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4</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433 – 438.</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shd w:val="clear" w:color="auto" w:fill="FFFFFF"/>
          <w:lang w:val="en-US"/>
        </w:rPr>
        <w:t>LIPID study group.Prevention of cardiovascular events and death with pravastatin in patients with coronary heart disease and a broad range of initial cholesterol levels. The Long-Term Intervention with Pravastatin in Ischaemic Disease (LIPID) Study Group. </w:t>
      </w:r>
      <w:r w:rsidRPr="007F5722">
        <w:rPr>
          <w:rFonts w:ascii="Times New Roman" w:hAnsi="Times New Roman" w:cs="Times New Roman"/>
          <w:i/>
          <w:iCs/>
          <w:sz w:val="28"/>
          <w:szCs w:val="28"/>
          <w:shd w:val="clear" w:color="auto" w:fill="FFFFFF"/>
          <w:lang w:val="en-US"/>
        </w:rPr>
        <w:t>The New England Journal of Medicine</w:t>
      </w:r>
      <w:r w:rsidRPr="007F5722">
        <w:rPr>
          <w:rFonts w:ascii="Times New Roman" w:hAnsi="Times New Roman" w:cs="Times New Roman"/>
          <w:sz w:val="28"/>
          <w:szCs w:val="28"/>
          <w:shd w:val="clear" w:color="auto" w:fill="FFFFFF"/>
          <w:lang w:val="en-US"/>
        </w:rPr>
        <w:t>. 1998</w:t>
      </w:r>
      <w:r w:rsidRPr="007F5722">
        <w:rPr>
          <w:rFonts w:ascii="Times New Roman" w:hAnsi="Times New Roman" w:cs="Times New Roman"/>
          <w:sz w:val="28"/>
          <w:szCs w:val="28"/>
          <w:shd w:val="clear" w:color="auto" w:fill="FFFFFF"/>
        </w:rPr>
        <w:t>;</w:t>
      </w:r>
      <w:r w:rsidRPr="007F5722">
        <w:rPr>
          <w:rFonts w:ascii="Times New Roman" w:hAnsi="Times New Roman" w:cs="Times New Roman"/>
          <w:sz w:val="28"/>
          <w:szCs w:val="28"/>
          <w:shd w:val="clear" w:color="auto" w:fill="FFFFFF"/>
          <w:lang w:val="en-US"/>
        </w:rPr>
        <w:t xml:space="preserve"> 339(19):1349-1357.</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Gotto A. M., Whitney E., Steein E. A. et al. Relation between baseline and on-treatment lipid parameters and first acute major coronary events in the Air Force</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  Texas Coronary Atherosclerosis Prevention Study (AFCAPS / TexCAPS) </w:t>
      </w:r>
      <w:r w:rsidRPr="007F5722">
        <w:rPr>
          <w:rFonts w:ascii="Times New Roman" w:hAnsi="Times New Roman" w:cs="Times New Roman"/>
          <w:i/>
          <w:sz w:val="28"/>
          <w:szCs w:val="28"/>
          <w:lang w:val="en-US"/>
        </w:rPr>
        <w:t>Circulation</w:t>
      </w:r>
      <w:r w:rsidRPr="007F5722">
        <w:rPr>
          <w:rFonts w:ascii="Times New Roman" w:hAnsi="Times New Roman" w:cs="Times New Roman"/>
          <w:sz w:val="28"/>
          <w:szCs w:val="28"/>
          <w:lang w:val="en-US"/>
        </w:rPr>
        <w:t>.</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2000</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101</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2</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477 – 484.</w:t>
      </w:r>
    </w:p>
    <w:p w:rsidR="007F5722" w:rsidRPr="007F5722" w:rsidRDefault="007F5722" w:rsidP="007F5722">
      <w:pPr>
        <w:pStyle w:val="a8"/>
        <w:numPr>
          <w:ilvl w:val="0"/>
          <w:numId w:val="25"/>
        </w:numPr>
        <w:spacing w:after="0" w:line="360" w:lineRule="auto"/>
        <w:ind w:left="0" w:firstLine="357"/>
        <w:jc w:val="both"/>
        <w:rPr>
          <w:rStyle w:val="mixed-citation"/>
          <w:rFonts w:ascii="Times New Roman" w:hAnsi="Times New Roman" w:cs="Times New Roman"/>
          <w:sz w:val="28"/>
          <w:szCs w:val="28"/>
        </w:rPr>
      </w:pPr>
      <w:r w:rsidRPr="007F5722">
        <w:rPr>
          <w:rStyle w:val="mixed-citation"/>
          <w:rFonts w:ascii="Times New Roman" w:hAnsi="Times New Roman" w:cs="Times New Roman"/>
          <w:sz w:val="28"/>
          <w:szCs w:val="28"/>
          <w:shd w:val="clear" w:color="auto" w:fill="FFFFFF"/>
          <w:lang w:val="en-US"/>
        </w:rPr>
        <w:t>Gasziou P</w:t>
      </w:r>
      <w:r w:rsidRPr="007F5722">
        <w:rPr>
          <w:rStyle w:val="mixed-citation"/>
          <w:rFonts w:ascii="Times New Roman" w:hAnsi="Times New Roman" w:cs="Times New Roman"/>
          <w:sz w:val="28"/>
          <w:szCs w:val="28"/>
          <w:shd w:val="clear" w:color="auto" w:fill="FFFFFF"/>
        </w:rPr>
        <w:t>.</w:t>
      </w:r>
      <w:r w:rsidRPr="007F5722">
        <w:rPr>
          <w:rStyle w:val="mixed-citation"/>
          <w:rFonts w:ascii="Times New Roman" w:hAnsi="Times New Roman" w:cs="Times New Roman"/>
          <w:sz w:val="28"/>
          <w:szCs w:val="28"/>
          <w:shd w:val="clear" w:color="auto" w:fill="FFFFFF"/>
          <w:lang w:val="en-US"/>
        </w:rPr>
        <w:t>P, Irwig L, Heritier S</w:t>
      </w:r>
      <w:r w:rsidRPr="007F5722">
        <w:rPr>
          <w:rStyle w:val="mixed-citation"/>
          <w:rFonts w:ascii="Times New Roman" w:hAnsi="Times New Roman" w:cs="Times New Roman"/>
          <w:sz w:val="28"/>
          <w:szCs w:val="28"/>
          <w:shd w:val="clear" w:color="auto" w:fill="FFFFFF"/>
        </w:rPr>
        <w:t>.</w:t>
      </w:r>
      <w:r w:rsidRPr="007F5722">
        <w:rPr>
          <w:rStyle w:val="mixed-citation"/>
          <w:rFonts w:ascii="Times New Roman" w:hAnsi="Times New Roman" w:cs="Times New Roman"/>
          <w:sz w:val="28"/>
          <w:szCs w:val="28"/>
          <w:shd w:val="clear" w:color="auto" w:fill="FFFFFF"/>
          <w:lang w:val="en-US"/>
        </w:rPr>
        <w:t xml:space="preserve"> et al. </w:t>
      </w:r>
      <w:r w:rsidRPr="007F5722">
        <w:rPr>
          <w:rStyle w:val="ref-title"/>
          <w:rFonts w:ascii="Times New Roman" w:hAnsi="Times New Roman" w:cs="Times New Roman"/>
          <w:sz w:val="28"/>
          <w:szCs w:val="28"/>
          <w:shd w:val="clear" w:color="auto" w:fill="FFFFFF"/>
          <w:lang w:val="en-US"/>
        </w:rPr>
        <w:t>Monitoring cholesterol levels: measurement error or true change?</w:t>
      </w:r>
      <w:r w:rsidRPr="007F5722">
        <w:rPr>
          <w:rStyle w:val="ref-title"/>
          <w:rFonts w:ascii="Times New Roman" w:hAnsi="Times New Roman" w:cs="Times New Roman"/>
          <w:sz w:val="28"/>
          <w:szCs w:val="28"/>
          <w:shd w:val="clear" w:color="auto" w:fill="FFFFFF"/>
        </w:rPr>
        <w:t xml:space="preserve"> </w:t>
      </w:r>
      <w:r w:rsidRPr="007F5722">
        <w:rPr>
          <w:rStyle w:val="ref-journal"/>
          <w:rFonts w:ascii="Times New Roman" w:hAnsi="Times New Roman" w:cs="Times New Roman"/>
          <w:i/>
          <w:sz w:val="28"/>
          <w:szCs w:val="28"/>
          <w:shd w:val="clear" w:color="auto" w:fill="FFFFFF"/>
          <w:lang w:val="en-US"/>
        </w:rPr>
        <w:t>Ann Intern Med</w:t>
      </w:r>
      <w:r w:rsidRPr="007F5722">
        <w:rPr>
          <w:rStyle w:val="mixed-citation"/>
          <w:rFonts w:ascii="Times New Roman" w:hAnsi="Times New Roman" w:cs="Times New Roman"/>
          <w:sz w:val="28"/>
          <w:szCs w:val="28"/>
          <w:shd w:val="clear" w:color="auto" w:fill="FFFFFF"/>
        </w:rPr>
        <w:t>.</w:t>
      </w:r>
      <w:r w:rsidRPr="007F5722">
        <w:rPr>
          <w:rStyle w:val="mixed-citation"/>
          <w:rFonts w:ascii="Times New Roman" w:hAnsi="Times New Roman" w:cs="Times New Roman"/>
          <w:sz w:val="28"/>
          <w:szCs w:val="28"/>
          <w:shd w:val="clear" w:color="auto" w:fill="FFFFFF"/>
          <w:lang w:val="en-US"/>
        </w:rPr>
        <w:t> 2008;</w:t>
      </w:r>
      <w:r w:rsidRPr="007F5722">
        <w:rPr>
          <w:rStyle w:val="mixed-citation"/>
          <w:rFonts w:ascii="Times New Roman" w:hAnsi="Times New Roman" w:cs="Times New Roman"/>
          <w:sz w:val="28"/>
          <w:szCs w:val="28"/>
          <w:shd w:val="clear" w:color="auto" w:fill="FFFFFF"/>
        </w:rPr>
        <w:t xml:space="preserve"> </w:t>
      </w:r>
      <w:r w:rsidRPr="007F5722">
        <w:rPr>
          <w:rStyle w:val="ref-vol"/>
          <w:rFonts w:ascii="Times New Roman" w:hAnsi="Times New Roman" w:cs="Times New Roman"/>
          <w:sz w:val="28"/>
          <w:szCs w:val="28"/>
          <w:shd w:val="clear" w:color="auto" w:fill="FFFFFF"/>
          <w:lang w:val="en-US"/>
        </w:rPr>
        <w:t>148</w:t>
      </w:r>
      <w:r w:rsidRPr="007F5722">
        <w:rPr>
          <w:rStyle w:val="mixed-citation"/>
          <w:rFonts w:ascii="Times New Roman" w:hAnsi="Times New Roman" w:cs="Times New Roman"/>
          <w:sz w:val="28"/>
          <w:szCs w:val="28"/>
          <w:shd w:val="clear" w:color="auto" w:fill="FFFFFF"/>
          <w:lang w:val="en-US"/>
        </w:rPr>
        <w:t>:656-661.</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Lamarche B.</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 Moorjani S., Lupein P. Apolipoprotein A-1 and B levels and the risk of ischemic heart disease during a five-year Followup of men in the Quebec Cardiovascular Study</w:t>
      </w:r>
      <w:r w:rsidRPr="007F5722">
        <w:rPr>
          <w:rFonts w:ascii="Times New Roman" w:hAnsi="Times New Roman" w:cs="Times New Roman"/>
          <w:sz w:val="28"/>
          <w:szCs w:val="28"/>
        </w:rPr>
        <w:t>.</w:t>
      </w:r>
      <w:r w:rsidRPr="007F5722">
        <w:rPr>
          <w:rFonts w:ascii="Times New Roman" w:hAnsi="Times New Roman" w:cs="Times New Roman"/>
          <w:i/>
          <w:sz w:val="28"/>
          <w:szCs w:val="28"/>
          <w:lang w:val="en-US"/>
        </w:rPr>
        <w:t>Circulation.-</w:t>
      </w:r>
      <w:r w:rsidRPr="007F5722">
        <w:rPr>
          <w:rFonts w:ascii="Times New Roman" w:hAnsi="Times New Roman" w:cs="Times New Roman"/>
          <w:sz w:val="28"/>
          <w:szCs w:val="28"/>
          <w:lang w:val="en-US"/>
        </w:rPr>
        <w:t>1996</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94</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3</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273 – 278.</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Yusuf, S. INTER-HEART: a study of risk factors for first myocardial infarction in 52 countries and over 27,000 subjects. Paper presented at the European Society for Cardiology Congress 2004, 29 August-1 September, Munich, Germany. Summary prepared by Murphy M.S.A. </w:t>
      </w:r>
      <w:hyperlink r:id="rId78" w:history="1">
        <w:r w:rsidRPr="007F5722">
          <w:rPr>
            <w:rFonts w:ascii="Times New Roman" w:hAnsi="Times New Roman" w:cs="Times New Roman"/>
            <w:sz w:val="28"/>
            <w:szCs w:val="28"/>
            <w:lang w:val="en-US"/>
          </w:rPr>
          <w:t>www.cardiosource.com.</w:t>
        </w:r>
      </w:hyperlink>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Sniderman A.D., Furberg C.D., Keech A. et al. Apolipoproteins versus lipids as indices of coronary risk and targets for statin treatment</w:t>
      </w:r>
      <w:r w:rsidRPr="007F5722">
        <w:rPr>
          <w:rFonts w:ascii="Times New Roman" w:hAnsi="Times New Roman" w:cs="Times New Roman"/>
          <w:sz w:val="28"/>
          <w:szCs w:val="28"/>
        </w:rPr>
        <w:t xml:space="preserve">. </w:t>
      </w:r>
      <w:r w:rsidRPr="007F5722">
        <w:rPr>
          <w:rFonts w:ascii="Times New Roman" w:hAnsi="Times New Roman" w:cs="Times New Roman"/>
          <w:i/>
          <w:sz w:val="28"/>
          <w:szCs w:val="28"/>
          <w:lang w:val="en-US"/>
        </w:rPr>
        <w:t>Lancet.</w:t>
      </w:r>
      <w:r w:rsidRPr="007F5722">
        <w:rPr>
          <w:rFonts w:ascii="Times New Roman" w:hAnsi="Times New Roman" w:cs="Times New Roman"/>
          <w:sz w:val="28"/>
          <w:szCs w:val="28"/>
          <w:lang w:val="en-US"/>
        </w:rPr>
        <w:t xml:space="preserve"> 2003</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 361(9359)</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777-780.</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Sniderman A.D. Applying apoB to the diagnosis and therapy of the atherogenic dyslipoproteinemias: a clinical diagnostic algorithm</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 </w:t>
      </w:r>
      <w:r w:rsidRPr="007F5722">
        <w:rPr>
          <w:rFonts w:ascii="Times New Roman" w:hAnsi="Times New Roman" w:cs="Times New Roman"/>
          <w:i/>
          <w:sz w:val="28"/>
          <w:szCs w:val="28"/>
          <w:lang w:val="en-US"/>
        </w:rPr>
        <w:t>Curr.Opin.Lipidol</w:t>
      </w:r>
      <w:r w:rsidRPr="007F5722">
        <w:rPr>
          <w:rFonts w:ascii="Times New Roman" w:hAnsi="Times New Roman" w:cs="Times New Roman"/>
          <w:sz w:val="28"/>
          <w:szCs w:val="28"/>
          <w:lang w:val="en-US"/>
        </w:rPr>
        <w:t>.</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2004</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15(4)</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433-438.</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lastRenderedPageBreak/>
        <w:t xml:space="preserve">Pischon T., Girman C.J., Sacks F.M. et al. Non-high-density lipoprotein cholesterol and apolipoprotein B in the predictor of coronary heart disease in men. </w:t>
      </w:r>
      <w:r w:rsidRPr="007F5722">
        <w:rPr>
          <w:rFonts w:ascii="Times New Roman" w:hAnsi="Times New Roman" w:cs="Times New Roman"/>
          <w:sz w:val="28"/>
          <w:szCs w:val="28"/>
        </w:rPr>
        <w:t>Circulation. 2005; 112:3375-83.</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 xml:space="preserve">Fisher E.A., Ginsberg H.N. Complexcity in secretory partway: the assembly and secretion of apolipoprotein B containing lipoproteins. </w:t>
      </w:r>
      <w:r w:rsidRPr="007F5722">
        <w:rPr>
          <w:rFonts w:ascii="Times New Roman" w:hAnsi="Times New Roman" w:cs="Times New Roman"/>
          <w:i/>
          <w:sz w:val="28"/>
          <w:szCs w:val="28"/>
        </w:rPr>
        <w:t>J.Biol.Chem</w:t>
      </w:r>
      <w:r w:rsidRPr="007F5722">
        <w:rPr>
          <w:rFonts w:ascii="Times New Roman" w:hAnsi="Times New Roman" w:cs="Times New Roman"/>
          <w:sz w:val="28"/>
          <w:szCs w:val="28"/>
        </w:rPr>
        <w:t>. 2002; 276(30):17377-17380.</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 xml:space="preserve">Lawes C.M., Vander Hoorn S., Rodgers A. International Society of Hypertension. Global burden of blood-pressure-related disease. </w:t>
      </w:r>
      <w:r w:rsidRPr="007F5722">
        <w:rPr>
          <w:rFonts w:ascii="Times New Roman" w:eastAsia="Times New Roman" w:hAnsi="Times New Roman" w:cs="Times New Roman"/>
          <w:bCs/>
          <w:i/>
          <w:sz w:val="28"/>
          <w:szCs w:val="28"/>
          <w:lang w:val="en-US" w:eastAsia="ru-RU"/>
        </w:rPr>
        <w:t>Lancet</w:t>
      </w:r>
      <w:r w:rsidRPr="007F5722">
        <w:rPr>
          <w:rFonts w:ascii="Times New Roman" w:eastAsia="Times New Roman" w:hAnsi="Times New Roman" w:cs="Times New Roman"/>
          <w:i/>
          <w:sz w:val="28"/>
          <w:szCs w:val="28"/>
          <w:lang w:val="en-US" w:eastAsia="ru-RU"/>
        </w:rPr>
        <w:t>. </w:t>
      </w:r>
      <w:r w:rsidRPr="007F5722">
        <w:rPr>
          <w:rFonts w:ascii="Times New Roman" w:eastAsia="Times New Roman" w:hAnsi="Times New Roman" w:cs="Times New Roman"/>
          <w:sz w:val="28"/>
          <w:szCs w:val="28"/>
          <w:lang w:val="en-US" w:eastAsia="ru-RU"/>
        </w:rPr>
        <w:t xml:space="preserve">2008; 371:1513–1518. doi: 10.1016/S0140-6736(08)60655-8.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 xml:space="preserve">Forouzanfar M.H., Liu P., Roth G.A. et al. Global burden of hypertension and systolic blood pressure of at least 110 to 115 mm Hg, 1990-2015. </w:t>
      </w:r>
      <w:r w:rsidRPr="007F5722">
        <w:rPr>
          <w:rFonts w:ascii="Times New Roman" w:eastAsia="Times New Roman" w:hAnsi="Times New Roman" w:cs="Times New Roman"/>
          <w:bCs/>
          <w:i/>
          <w:sz w:val="28"/>
          <w:szCs w:val="28"/>
          <w:lang w:val="en-US" w:eastAsia="ru-RU"/>
        </w:rPr>
        <w:t>JAMA</w:t>
      </w:r>
      <w:r w:rsidRPr="007F5722">
        <w:rPr>
          <w:rFonts w:ascii="Times New Roman" w:eastAsia="Times New Roman" w:hAnsi="Times New Roman" w:cs="Times New Roman"/>
          <w:sz w:val="28"/>
          <w:szCs w:val="28"/>
          <w:lang w:val="en-US" w:eastAsia="ru-RU"/>
        </w:rPr>
        <w:t>. 2017; 317:165–182. doi: 10.1001/jama.2016.19043.</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 xml:space="preserve">Izzo J.L., Gradman A.H. Mechanisms and management of hypertensive heart disease: from left ventricular hypertrophy to heart failure. </w:t>
      </w:r>
      <w:r w:rsidRPr="007F5722">
        <w:rPr>
          <w:rFonts w:ascii="Times New Roman" w:eastAsia="Times New Roman" w:hAnsi="Times New Roman" w:cs="Times New Roman"/>
          <w:bCs/>
          <w:i/>
          <w:sz w:val="28"/>
          <w:szCs w:val="28"/>
          <w:lang w:val="en-US" w:eastAsia="ru-RU"/>
        </w:rPr>
        <w:t>Med Clin North Am</w:t>
      </w:r>
      <w:r w:rsidRPr="007F5722">
        <w:rPr>
          <w:rFonts w:ascii="Times New Roman" w:eastAsia="Times New Roman" w:hAnsi="Times New Roman" w:cs="Times New Roman"/>
          <w:sz w:val="28"/>
          <w:szCs w:val="28"/>
          <w:lang w:val="en-US" w:eastAsia="ru-RU"/>
        </w:rPr>
        <w:t xml:space="preserve">. 2004; 88:1257–1271. doi: 10.1016/j.mcna.2004.06.002.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 xml:space="preserve">Lazzeroni D., Rimoldi O., Camici P.G. From left ventricular hypertrophy to dysfunction and failure. </w:t>
      </w:r>
      <w:r w:rsidRPr="007F5722">
        <w:rPr>
          <w:rFonts w:ascii="Times New Roman" w:eastAsia="Times New Roman" w:hAnsi="Times New Roman" w:cs="Times New Roman"/>
          <w:bCs/>
          <w:i/>
          <w:sz w:val="28"/>
          <w:szCs w:val="28"/>
          <w:lang w:val="en-US" w:eastAsia="ru-RU"/>
        </w:rPr>
        <w:t>Circ J</w:t>
      </w:r>
      <w:r w:rsidRPr="007F5722">
        <w:rPr>
          <w:rFonts w:ascii="Times New Roman" w:eastAsia="Times New Roman" w:hAnsi="Times New Roman" w:cs="Times New Roman"/>
          <w:i/>
          <w:sz w:val="28"/>
          <w:szCs w:val="28"/>
          <w:lang w:val="en-US" w:eastAsia="ru-RU"/>
        </w:rPr>
        <w:t>.</w:t>
      </w:r>
      <w:r w:rsidRPr="007F5722">
        <w:rPr>
          <w:rFonts w:ascii="Times New Roman" w:eastAsia="Times New Roman" w:hAnsi="Times New Roman" w:cs="Times New Roman"/>
          <w:sz w:val="28"/>
          <w:szCs w:val="28"/>
          <w:lang w:val="en-US" w:eastAsia="ru-RU"/>
        </w:rPr>
        <w:t xml:space="preserve"> 2016; 80:555–564. doi: 10.1253/circj.CJ-16-0062.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 xml:space="preserve">Shimizu I., Minamino T. Physiological and pathological cardiac hypertrophy. </w:t>
      </w:r>
      <w:r w:rsidRPr="007F5722">
        <w:rPr>
          <w:rFonts w:ascii="Times New Roman" w:eastAsia="Times New Roman" w:hAnsi="Times New Roman" w:cs="Times New Roman"/>
          <w:bCs/>
          <w:i/>
          <w:sz w:val="28"/>
          <w:szCs w:val="28"/>
          <w:lang w:val="en-US" w:eastAsia="ru-RU"/>
        </w:rPr>
        <w:t>J Mol Cell Cardiol</w:t>
      </w:r>
      <w:r w:rsidRPr="007F5722">
        <w:rPr>
          <w:rFonts w:ascii="Times New Roman" w:eastAsia="Times New Roman" w:hAnsi="Times New Roman" w:cs="Times New Roman"/>
          <w:i/>
          <w:sz w:val="28"/>
          <w:szCs w:val="28"/>
          <w:lang w:val="en-US" w:eastAsia="ru-RU"/>
        </w:rPr>
        <w:t>.</w:t>
      </w:r>
      <w:r w:rsidRPr="007F5722">
        <w:rPr>
          <w:rFonts w:ascii="Times New Roman" w:eastAsia="Times New Roman" w:hAnsi="Times New Roman" w:cs="Times New Roman"/>
          <w:sz w:val="28"/>
          <w:szCs w:val="28"/>
          <w:lang w:val="en-US" w:eastAsia="ru-RU"/>
        </w:rPr>
        <w:t xml:space="preserve"> 2016; 97:245–262. doi: 10.1016/j.yjmcc. 2016.06.001.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 xml:space="preserve">Knöll R., Iaccarino G., Tarone G., Hilfiker-Kleiner D, Bauersachs J, Leite-Moreira AF, Sugden PH, Balligand JL; European Society of Cardiology. Towards a re-definition of ‘cardiac hypertrophy’ through a rational characterization of left ventricular phenotypes: a position paper of the Working Group ‘Myocardial Function’ of the ESC. </w:t>
      </w:r>
      <w:r w:rsidRPr="007F5722">
        <w:rPr>
          <w:rFonts w:ascii="Times New Roman" w:eastAsia="Times New Roman" w:hAnsi="Times New Roman" w:cs="Times New Roman"/>
          <w:bCs/>
          <w:i/>
          <w:sz w:val="28"/>
          <w:szCs w:val="28"/>
          <w:lang w:val="en-US" w:eastAsia="ru-RU"/>
        </w:rPr>
        <w:t>Eur J Heart Fail</w:t>
      </w:r>
      <w:r w:rsidRPr="007F5722">
        <w:rPr>
          <w:rFonts w:ascii="Times New Roman" w:eastAsia="Times New Roman" w:hAnsi="Times New Roman" w:cs="Times New Roman"/>
          <w:i/>
          <w:sz w:val="28"/>
          <w:szCs w:val="28"/>
          <w:lang w:val="en-US" w:eastAsia="ru-RU"/>
        </w:rPr>
        <w:t>.</w:t>
      </w:r>
      <w:r w:rsidRPr="007F5722">
        <w:rPr>
          <w:rFonts w:ascii="Times New Roman" w:eastAsia="Times New Roman" w:hAnsi="Times New Roman" w:cs="Times New Roman"/>
          <w:sz w:val="28"/>
          <w:szCs w:val="28"/>
          <w:lang w:val="en-US" w:eastAsia="ru-RU"/>
        </w:rPr>
        <w:t xml:space="preserve"> 2011; 13:811–819. doi: 10.1093/eurjhf/hfr071.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 xml:space="preserve">Zile M.R., Baicu C.F., Ikonomidis J.S., Stroud R.E., Nietert P.J., Bradshaw A.D., Slater R., Palmer B.M., Van Buren P., Meyer M., Redfield M.M., Bull D.A., Granzier H.L., LeWinter M.M. Myocardial stiffness in patients with heart </w:t>
      </w:r>
      <w:r w:rsidRPr="007F5722">
        <w:rPr>
          <w:rFonts w:ascii="Times New Roman" w:eastAsia="Times New Roman" w:hAnsi="Times New Roman" w:cs="Times New Roman"/>
          <w:sz w:val="28"/>
          <w:szCs w:val="28"/>
          <w:lang w:val="en-US" w:eastAsia="ru-RU"/>
        </w:rPr>
        <w:lastRenderedPageBreak/>
        <w:t xml:space="preserve">failure and a preserved ejection fraction: contributions of collagen and titin. </w:t>
      </w:r>
      <w:r w:rsidRPr="007F5722">
        <w:rPr>
          <w:rFonts w:ascii="Times New Roman" w:eastAsia="Times New Roman" w:hAnsi="Times New Roman" w:cs="Times New Roman"/>
          <w:bCs/>
          <w:i/>
          <w:sz w:val="28"/>
          <w:szCs w:val="28"/>
          <w:lang w:val="en-US" w:eastAsia="ru-RU"/>
        </w:rPr>
        <w:t>Circulation</w:t>
      </w:r>
      <w:r w:rsidRPr="007F5722">
        <w:rPr>
          <w:rFonts w:ascii="Times New Roman" w:eastAsia="Times New Roman" w:hAnsi="Times New Roman" w:cs="Times New Roman"/>
          <w:i/>
          <w:sz w:val="28"/>
          <w:szCs w:val="28"/>
          <w:lang w:val="en-US" w:eastAsia="ru-RU"/>
        </w:rPr>
        <w:t>.</w:t>
      </w:r>
      <w:r w:rsidRPr="007F5722">
        <w:rPr>
          <w:rFonts w:ascii="Times New Roman" w:eastAsia="Times New Roman" w:hAnsi="Times New Roman" w:cs="Times New Roman"/>
          <w:sz w:val="28"/>
          <w:szCs w:val="28"/>
          <w:lang w:val="en-US" w:eastAsia="ru-RU"/>
        </w:rPr>
        <w:t xml:space="preserve"> 2015; 131:1247–1259. doi: 10.1161/ CIRCULATIONAHA. 114.013215.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 xml:space="preserve">Kamo T., Akazawa H., Komuro I. Cardiac nonmyocytes in the hub of cardiac hypertrophy. </w:t>
      </w:r>
      <w:r w:rsidRPr="007F5722">
        <w:rPr>
          <w:rFonts w:ascii="Times New Roman" w:eastAsia="Times New Roman" w:hAnsi="Times New Roman" w:cs="Times New Roman"/>
          <w:bCs/>
          <w:i/>
          <w:sz w:val="28"/>
          <w:szCs w:val="28"/>
          <w:lang w:val="en-US" w:eastAsia="ru-RU"/>
        </w:rPr>
        <w:t>Circ Res</w:t>
      </w:r>
      <w:r w:rsidRPr="007F5722">
        <w:rPr>
          <w:rFonts w:ascii="Times New Roman" w:eastAsia="Times New Roman" w:hAnsi="Times New Roman" w:cs="Times New Roman"/>
          <w:i/>
          <w:sz w:val="28"/>
          <w:szCs w:val="28"/>
          <w:lang w:val="en-US" w:eastAsia="ru-RU"/>
        </w:rPr>
        <w:t>.</w:t>
      </w:r>
      <w:r w:rsidRPr="007F5722">
        <w:rPr>
          <w:rFonts w:ascii="Times New Roman" w:eastAsia="Times New Roman" w:hAnsi="Times New Roman" w:cs="Times New Roman"/>
          <w:sz w:val="28"/>
          <w:szCs w:val="28"/>
          <w:lang w:val="en-US" w:eastAsia="ru-RU"/>
        </w:rPr>
        <w:t xml:space="preserve"> 2015; 117:89–98. doi: 10.1161/CIRCRESAHA. 117.305349.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 xml:space="preserve">Facundo H.D.T.F., Brainard R.E., Caldas F.R.L., Lucas A.M.B. Mitochondria and cardiac hypertrophy. </w:t>
      </w:r>
      <w:r w:rsidRPr="007F5722">
        <w:rPr>
          <w:rFonts w:ascii="Times New Roman" w:eastAsia="Times New Roman" w:hAnsi="Times New Roman" w:cs="Times New Roman"/>
          <w:bCs/>
          <w:i/>
          <w:sz w:val="28"/>
          <w:szCs w:val="28"/>
          <w:lang w:val="en-US" w:eastAsia="ru-RU"/>
        </w:rPr>
        <w:t>Adv Exp Med Biol</w:t>
      </w:r>
      <w:r w:rsidRPr="007F5722">
        <w:rPr>
          <w:rFonts w:ascii="Times New Roman" w:eastAsia="Times New Roman" w:hAnsi="Times New Roman" w:cs="Times New Roman"/>
          <w:i/>
          <w:sz w:val="28"/>
          <w:szCs w:val="28"/>
          <w:lang w:val="en-US" w:eastAsia="ru-RU"/>
        </w:rPr>
        <w:t>.</w:t>
      </w:r>
      <w:r w:rsidRPr="007F5722">
        <w:rPr>
          <w:rFonts w:ascii="Times New Roman" w:eastAsia="Times New Roman" w:hAnsi="Times New Roman" w:cs="Times New Roman"/>
          <w:sz w:val="28"/>
          <w:szCs w:val="28"/>
          <w:lang w:val="en-US" w:eastAsia="ru-RU"/>
        </w:rPr>
        <w:t xml:space="preserve"> 2017; 982:203–226. doi: 10.1007/978-3-319-55330-6_11.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 xml:space="preserve">Tuomainen T., Tavi P. The role of cardiac energy metabolism in cardiac hypertrophy and failure. </w:t>
      </w:r>
      <w:r w:rsidRPr="007F5722">
        <w:rPr>
          <w:rFonts w:ascii="Times New Roman" w:eastAsia="Times New Roman" w:hAnsi="Times New Roman" w:cs="Times New Roman"/>
          <w:bCs/>
          <w:i/>
          <w:sz w:val="28"/>
          <w:szCs w:val="28"/>
          <w:lang w:val="en-US" w:eastAsia="ru-RU"/>
        </w:rPr>
        <w:t>Exp Cell R</w:t>
      </w:r>
      <w:r w:rsidRPr="007F5722">
        <w:rPr>
          <w:rFonts w:ascii="Times New Roman" w:eastAsia="Times New Roman" w:hAnsi="Times New Roman" w:cs="Times New Roman"/>
          <w:bCs/>
          <w:sz w:val="28"/>
          <w:szCs w:val="28"/>
          <w:lang w:val="en-US" w:eastAsia="ru-RU"/>
        </w:rPr>
        <w:t>e</w:t>
      </w:r>
      <w:r w:rsidRPr="007F5722">
        <w:rPr>
          <w:rFonts w:ascii="Times New Roman" w:eastAsia="Times New Roman" w:hAnsi="Times New Roman" w:cs="Times New Roman"/>
          <w:b/>
          <w:bCs/>
          <w:sz w:val="28"/>
          <w:szCs w:val="28"/>
          <w:lang w:val="en-US" w:eastAsia="ru-RU"/>
        </w:rPr>
        <w:t>s</w:t>
      </w:r>
      <w:r w:rsidRPr="007F5722">
        <w:rPr>
          <w:rFonts w:ascii="Times New Roman" w:eastAsia="Times New Roman" w:hAnsi="Times New Roman" w:cs="Times New Roman"/>
          <w:sz w:val="28"/>
          <w:szCs w:val="28"/>
          <w:lang w:val="en-US" w:eastAsia="ru-RU"/>
        </w:rPr>
        <w:t xml:space="preserve">. 2017; 360:12–18. doi: 10.1016/j.yexcr. 2017.03.052.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Kuwahara K., Kinoshita H., Kuwabara Y., Nakagawa Y., Usami S., Minami T., Yamada Y., Fujiwara M., Nakao K. Myocardin-related transcription factor A is a common mediator of mechanical stress- and neurohumoral stimulation-induced cardiac hypertrophic signaling leading to activation of brain natriuretic peptide gene expression.</w:t>
      </w:r>
      <w:r w:rsidRPr="007F5722">
        <w:rPr>
          <w:rFonts w:ascii="Times New Roman" w:eastAsia="Times New Roman" w:hAnsi="Times New Roman" w:cs="Times New Roman"/>
          <w:sz w:val="28"/>
          <w:szCs w:val="28"/>
          <w:lang w:eastAsia="ru-RU"/>
        </w:rPr>
        <w:t xml:space="preserve"> </w:t>
      </w:r>
      <w:r w:rsidRPr="007F5722">
        <w:rPr>
          <w:rFonts w:ascii="Times New Roman" w:eastAsia="Times New Roman" w:hAnsi="Times New Roman" w:cs="Times New Roman"/>
          <w:bCs/>
          <w:i/>
          <w:sz w:val="28"/>
          <w:szCs w:val="28"/>
          <w:lang w:val="en-US" w:eastAsia="ru-RU"/>
        </w:rPr>
        <w:t>Mol Cell Biol</w:t>
      </w:r>
      <w:r w:rsidRPr="007F5722">
        <w:rPr>
          <w:rFonts w:ascii="Times New Roman" w:eastAsia="Times New Roman" w:hAnsi="Times New Roman" w:cs="Times New Roman"/>
          <w:sz w:val="28"/>
          <w:szCs w:val="28"/>
          <w:lang w:val="en-US" w:eastAsia="ru-RU"/>
        </w:rPr>
        <w:t xml:space="preserve">. 2010; 30:4134–4148. doi: 10.1128/MCB.00154-10.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Whelan R.S., Kaplinskiy V., Kitsis R.N. Cell death in the pathogenesis of heart disease: mechanisms and significance.</w:t>
      </w:r>
      <w:r w:rsidRPr="007F5722">
        <w:rPr>
          <w:rFonts w:ascii="Times New Roman" w:eastAsia="Times New Roman" w:hAnsi="Times New Roman" w:cs="Times New Roman"/>
          <w:bCs/>
          <w:i/>
          <w:sz w:val="28"/>
          <w:szCs w:val="28"/>
          <w:lang w:val="en-US" w:eastAsia="ru-RU"/>
        </w:rPr>
        <w:t>Annu Rev Physiol</w:t>
      </w:r>
      <w:r w:rsidRPr="007F5722">
        <w:rPr>
          <w:rFonts w:ascii="Times New Roman" w:eastAsia="Times New Roman" w:hAnsi="Times New Roman" w:cs="Times New Roman"/>
          <w:i/>
          <w:sz w:val="28"/>
          <w:szCs w:val="28"/>
          <w:lang w:val="en-US" w:eastAsia="ru-RU"/>
        </w:rPr>
        <w:t>.</w:t>
      </w:r>
      <w:r w:rsidRPr="007F5722">
        <w:rPr>
          <w:rFonts w:ascii="Times New Roman" w:eastAsia="Times New Roman" w:hAnsi="Times New Roman" w:cs="Times New Roman"/>
          <w:sz w:val="28"/>
          <w:szCs w:val="28"/>
          <w:lang w:val="en-US" w:eastAsia="ru-RU"/>
        </w:rPr>
        <w:t xml:space="preserve"> 2010; 72:19–44. doi: 10.1146/annurev.physiol.010908.163111.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 xml:space="preserve">Narula J., Arbustini E., Chandrashekhar Y., Schwaiger M. Apoptosis and the systolic dysfunction in congestive heart failure. Story of apoptosis interruptus and zombie myocytes. </w:t>
      </w:r>
      <w:r w:rsidRPr="007F5722">
        <w:rPr>
          <w:rFonts w:ascii="Times New Roman" w:eastAsia="Times New Roman" w:hAnsi="Times New Roman" w:cs="Times New Roman"/>
          <w:bCs/>
          <w:i/>
          <w:sz w:val="28"/>
          <w:szCs w:val="28"/>
          <w:lang w:val="en-US" w:eastAsia="ru-RU"/>
        </w:rPr>
        <w:t>Cardiol Clin</w:t>
      </w:r>
      <w:r w:rsidRPr="007F5722">
        <w:rPr>
          <w:rFonts w:ascii="Times New Roman" w:eastAsia="Times New Roman" w:hAnsi="Times New Roman" w:cs="Times New Roman"/>
          <w:i/>
          <w:sz w:val="28"/>
          <w:szCs w:val="28"/>
          <w:lang w:val="en-US" w:eastAsia="ru-RU"/>
        </w:rPr>
        <w:t>.</w:t>
      </w:r>
      <w:r w:rsidRPr="007F5722">
        <w:rPr>
          <w:rFonts w:ascii="Times New Roman" w:eastAsia="Times New Roman" w:hAnsi="Times New Roman" w:cs="Times New Roman"/>
          <w:sz w:val="28"/>
          <w:szCs w:val="28"/>
          <w:lang w:val="en-US" w:eastAsia="ru-RU"/>
        </w:rPr>
        <w:t xml:space="preserve"> 2001; 19:113–126.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 xml:space="preserve">Abel E.D., Litwin S.E., Sweeney G. Cardiac remodeling in obesity. </w:t>
      </w:r>
      <w:r w:rsidRPr="007F5722">
        <w:rPr>
          <w:rFonts w:ascii="Times New Roman" w:eastAsia="Times New Roman" w:hAnsi="Times New Roman" w:cs="Times New Roman"/>
          <w:i/>
          <w:sz w:val="28"/>
          <w:szCs w:val="28"/>
          <w:lang w:val="en-US" w:eastAsia="ru-RU"/>
        </w:rPr>
        <w:t>Physiol Rev.</w:t>
      </w:r>
      <w:r w:rsidRPr="007F5722">
        <w:rPr>
          <w:rFonts w:ascii="Times New Roman" w:eastAsia="Times New Roman" w:hAnsi="Times New Roman" w:cs="Times New Roman"/>
          <w:sz w:val="28"/>
          <w:szCs w:val="28"/>
          <w:lang w:val="en-US" w:eastAsia="ru-RU"/>
        </w:rPr>
        <w:t xml:space="preserve"> 2008; 88(2): 389-419.</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 xml:space="preserve">Buchanan J., Mazumder P.K., Hu P., Chakrabarti G., Roberts M.W., Yun U.J., Cooksey R.C., Litwin S.E., Abel E.D. Reduced cardiac efficiency and altered substrate metabolism precedes the onset of hyperglycemia and contractile </w:t>
      </w:r>
      <w:r w:rsidRPr="007F5722">
        <w:rPr>
          <w:rFonts w:ascii="Times New Roman" w:eastAsia="Times New Roman" w:hAnsi="Times New Roman" w:cs="Times New Roman"/>
          <w:sz w:val="28"/>
          <w:szCs w:val="28"/>
          <w:lang w:val="en-US" w:eastAsia="ru-RU"/>
        </w:rPr>
        <w:lastRenderedPageBreak/>
        <w:t>dysfunction in two mouse models of insulin resistance and obesity. </w:t>
      </w:r>
      <w:r w:rsidRPr="007F5722">
        <w:rPr>
          <w:rFonts w:ascii="Times New Roman" w:eastAsia="Times New Roman" w:hAnsi="Times New Roman" w:cs="Times New Roman"/>
          <w:i/>
          <w:sz w:val="28"/>
          <w:szCs w:val="28"/>
          <w:lang w:val="en-US" w:eastAsia="ru-RU"/>
        </w:rPr>
        <w:t>Endocrinology.</w:t>
      </w:r>
      <w:r w:rsidRPr="007F5722">
        <w:rPr>
          <w:rFonts w:ascii="Times New Roman" w:eastAsia="Times New Roman" w:hAnsi="Times New Roman" w:cs="Times New Roman"/>
          <w:sz w:val="28"/>
          <w:szCs w:val="28"/>
          <w:lang w:val="en-US" w:eastAsia="ru-RU"/>
        </w:rPr>
        <w:t> 2005; 146:5341–5349.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Mazumder P.K., O’Neill B.T., Roberts M.W., Buchanan J., Yun U.J., Cooksey R.C., Boudina S, Abel ED. Impaired cardiac efficiency and increased fatty acid oxidation in insulin-resistant </w:t>
      </w:r>
      <w:r w:rsidRPr="007F5722">
        <w:rPr>
          <w:rFonts w:ascii="Times New Roman" w:eastAsia="Times New Roman" w:hAnsi="Times New Roman" w:cs="Times New Roman"/>
          <w:i/>
          <w:iCs/>
          <w:sz w:val="28"/>
          <w:szCs w:val="28"/>
          <w:lang w:val="en-US" w:eastAsia="ru-RU"/>
        </w:rPr>
        <w:t>ob</w:t>
      </w:r>
      <w:r w:rsidRPr="007F5722">
        <w:rPr>
          <w:rFonts w:ascii="Times New Roman" w:eastAsia="Times New Roman" w:hAnsi="Times New Roman" w:cs="Times New Roman"/>
          <w:sz w:val="28"/>
          <w:szCs w:val="28"/>
          <w:lang w:val="en-US" w:eastAsia="ru-RU"/>
        </w:rPr>
        <w:t>/</w:t>
      </w:r>
      <w:r w:rsidRPr="007F5722">
        <w:rPr>
          <w:rFonts w:ascii="Times New Roman" w:eastAsia="Times New Roman" w:hAnsi="Times New Roman" w:cs="Times New Roman"/>
          <w:i/>
          <w:iCs/>
          <w:sz w:val="28"/>
          <w:szCs w:val="28"/>
          <w:lang w:val="en-US" w:eastAsia="ru-RU"/>
        </w:rPr>
        <w:t>ob</w:t>
      </w:r>
      <w:r w:rsidRPr="007F5722">
        <w:rPr>
          <w:rFonts w:ascii="Times New Roman" w:eastAsia="Times New Roman" w:hAnsi="Times New Roman" w:cs="Times New Roman"/>
          <w:sz w:val="28"/>
          <w:szCs w:val="28"/>
          <w:lang w:val="en-US" w:eastAsia="ru-RU"/>
        </w:rPr>
        <w:t> mouse hearts. </w:t>
      </w:r>
      <w:r w:rsidRPr="007F5722">
        <w:rPr>
          <w:rFonts w:ascii="Times New Roman" w:eastAsia="Times New Roman" w:hAnsi="Times New Roman" w:cs="Times New Roman"/>
          <w:i/>
          <w:sz w:val="28"/>
          <w:szCs w:val="28"/>
          <w:lang w:val="en-US" w:eastAsia="ru-RU"/>
        </w:rPr>
        <w:t>Diabetes.</w:t>
      </w:r>
      <w:r w:rsidRPr="007F5722">
        <w:rPr>
          <w:rFonts w:ascii="Times New Roman" w:eastAsia="Times New Roman" w:hAnsi="Times New Roman" w:cs="Times New Roman"/>
          <w:sz w:val="28"/>
          <w:szCs w:val="28"/>
          <w:lang w:val="en-US" w:eastAsia="ru-RU"/>
        </w:rPr>
        <w:t> 2004; 53:2366–2374.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 xml:space="preserve">Morgan E.E., Rennison J.H., Young M.E., McElfresh T.A., Kung T.A., Tserng K.Y., Hoit B.D., Stanley W.C., Chandler M.P. Effects of chronic activation of peroxisome proliferator-activated receptor-alpha or high-fat feeding in a rat infarct model of heart failure. </w:t>
      </w:r>
      <w:r w:rsidRPr="007F5722">
        <w:rPr>
          <w:rFonts w:ascii="Times New Roman" w:eastAsia="Times New Roman" w:hAnsi="Times New Roman" w:cs="Times New Roman"/>
          <w:i/>
          <w:sz w:val="28"/>
          <w:szCs w:val="28"/>
          <w:lang w:val="en-US" w:eastAsia="ru-RU"/>
        </w:rPr>
        <w:t>Am J Physiol Heart Circ Physiol.</w:t>
      </w:r>
      <w:r w:rsidRPr="007F5722">
        <w:rPr>
          <w:rFonts w:ascii="Times New Roman" w:eastAsia="Times New Roman" w:hAnsi="Times New Roman" w:cs="Times New Roman"/>
          <w:sz w:val="28"/>
          <w:szCs w:val="28"/>
          <w:lang w:val="en-US" w:eastAsia="ru-RU"/>
        </w:rPr>
        <w:t xml:space="preserve"> 2006; 290: 1899–1904.</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 xml:space="preserve">Okere I.C., Chess D.J., McElfresh T.A., Johnson J., Rennison J., Ernsberger P., Hoit B.D., Chandler M.P., Stanley W.C. High-fat diet prevents cardiac hypertrophy and improves contractile function in the hypertensive Dahl salt-sensitive rat. </w:t>
      </w:r>
      <w:r w:rsidRPr="007F5722">
        <w:rPr>
          <w:rFonts w:ascii="Times New Roman" w:eastAsia="Times New Roman" w:hAnsi="Times New Roman" w:cs="Times New Roman"/>
          <w:i/>
          <w:sz w:val="28"/>
          <w:szCs w:val="28"/>
          <w:lang w:val="en-US" w:eastAsia="ru-RU"/>
        </w:rPr>
        <w:t>Clin Exp Pharmacol Physiol</w:t>
      </w:r>
      <w:r w:rsidRPr="007F5722">
        <w:rPr>
          <w:rFonts w:ascii="Times New Roman" w:eastAsia="Times New Roman" w:hAnsi="Times New Roman" w:cs="Times New Roman"/>
          <w:sz w:val="28"/>
          <w:szCs w:val="28"/>
          <w:lang w:val="en-US" w:eastAsia="ru-RU"/>
        </w:rPr>
        <w:t>. 2005;32:825–831.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Okere I.C., Young M.E., McElfresh T.A., Chess D.J., Sharov V.G., Sabbah H.N., Hoit B.D., Ernsberger P., Chandler M.P., Stanley W.C. Low carbohydrate/high-fat diet attenuates cardiac hypertrophy, remodeling, altered gene expression in hypertension. </w:t>
      </w:r>
      <w:r w:rsidRPr="007F5722">
        <w:rPr>
          <w:rFonts w:ascii="Times New Roman" w:eastAsia="Times New Roman" w:hAnsi="Times New Roman" w:cs="Times New Roman"/>
          <w:i/>
          <w:sz w:val="28"/>
          <w:szCs w:val="28"/>
          <w:lang w:val="en-US" w:eastAsia="ru-RU"/>
        </w:rPr>
        <w:t>Hypertension.</w:t>
      </w:r>
      <w:r w:rsidRPr="007F5722">
        <w:rPr>
          <w:rFonts w:ascii="Times New Roman" w:eastAsia="Times New Roman" w:hAnsi="Times New Roman" w:cs="Times New Roman"/>
          <w:sz w:val="28"/>
          <w:szCs w:val="28"/>
          <w:lang w:val="en-US" w:eastAsia="ru-RU"/>
        </w:rPr>
        <w:t xml:space="preserve"> 2006; 48:1116–1123.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Ouwens D.M., Boer C., Fodor M., de Galan P., Heine R.J., Maassen J.A., Diamant M. Cardiac dysfunction induced by high-fat diet is associated with altered myocardial insulin signalling in rats. </w:t>
      </w:r>
      <w:r w:rsidRPr="007F5722">
        <w:rPr>
          <w:rFonts w:ascii="Times New Roman" w:eastAsia="Times New Roman" w:hAnsi="Times New Roman" w:cs="Times New Roman"/>
          <w:i/>
          <w:sz w:val="28"/>
          <w:szCs w:val="28"/>
          <w:lang w:val="en-US" w:eastAsia="ru-RU"/>
        </w:rPr>
        <w:t>Diabetologia.</w:t>
      </w:r>
      <w:r w:rsidRPr="007F5722">
        <w:rPr>
          <w:rFonts w:ascii="Times New Roman" w:eastAsia="Times New Roman" w:hAnsi="Times New Roman" w:cs="Times New Roman"/>
          <w:sz w:val="28"/>
          <w:szCs w:val="28"/>
          <w:lang w:val="en-US" w:eastAsia="ru-RU"/>
        </w:rPr>
        <w:t> 2005; 48:1229–1237.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Park S.Y., Cho Y.R., Kim H.J., Higashimori T., Danton C., Lee M.K., Dey A., Rothermel B., Kim Y.B., Kalinowski A., Russell K.S., Kim J.K. Unraveling the temporal pattern of diet-induced insulin resistance in individual organs and cardiac dysfunction in C57BL/6 mice. </w:t>
      </w:r>
      <w:r w:rsidRPr="007F5722">
        <w:rPr>
          <w:rFonts w:ascii="Times New Roman" w:eastAsia="Times New Roman" w:hAnsi="Times New Roman" w:cs="Times New Roman"/>
          <w:i/>
          <w:sz w:val="28"/>
          <w:szCs w:val="28"/>
          <w:lang w:val="en-US" w:eastAsia="ru-RU"/>
        </w:rPr>
        <w:t>Diabetes.</w:t>
      </w:r>
      <w:r w:rsidRPr="007F5722">
        <w:rPr>
          <w:rFonts w:ascii="Times New Roman" w:eastAsia="Times New Roman" w:hAnsi="Times New Roman" w:cs="Times New Roman"/>
          <w:sz w:val="28"/>
          <w:szCs w:val="28"/>
          <w:lang w:val="en-US" w:eastAsia="ru-RU"/>
        </w:rPr>
        <w:t> 2005; 54:3530–3540.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Relling D.P., Esberg L.B., Fang C.X., Johnson W.T., Murphy E.J., Carlson E.C., Saari J.T., Ren J. High-fat diet-induced juvenile obesity leads to cardiomyocyte dysfunction and upregulation of Foxo3a transcription factor independent of lipotoxicity and apoptosis. </w:t>
      </w:r>
      <w:r w:rsidRPr="007F5722">
        <w:rPr>
          <w:rFonts w:ascii="Times New Roman" w:eastAsia="Times New Roman" w:hAnsi="Times New Roman" w:cs="Times New Roman"/>
          <w:i/>
          <w:sz w:val="28"/>
          <w:szCs w:val="28"/>
          <w:lang w:val="en-US" w:eastAsia="ru-RU"/>
        </w:rPr>
        <w:t>J Hypertens.</w:t>
      </w:r>
      <w:r w:rsidRPr="007F5722">
        <w:rPr>
          <w:rFonts w:ascii="Times New Roman" w:eastAsia="Times New Roman" w:hAnsi="Times New Roman" w:cs="Times New Roman"/>
          <w:sz w:val="28"/>
          <w:szCs w:val="28"/>
          <w:lang w:val="en-US" w:eastAsia="ru-RU"/>
        </w:rPr>
        <w:t> 2006; 24:549–561.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lastRenderedPageBreak/>
        <w:t>Carroll J.F., Zenebe W.J., Strange T.B. Cardiovascular function in a rat model of diet-induced obesity. </w:t>
      </w:r>
      <w:r w:rsidRPr="007F5722">
        <w:rPr>
          <w:rFonts w:ascii="Times New Roman" w:eastAsia="Times New Roman" w:hAnsi="Times New Roman" w:cs="Times New Roman"/>
          <w:i/>
          <w:sz w:val="28"/>
          <w:szCs w:val="28"/>
          <w:lang w:val="en-US" w:eastAsia="ru-RU"/>
        </w:rPr>
        <w:t>Hypertension.</w:t>
      </w:r>
      <w:r w:rsidRPr="007F5722">
        <w:rPr>
          <w:rFonts w:ascii="Times New Roman" w:eastAsia="Times New Roman" w:hAnsi="Times New Roman" w:cs="Times New Roman"/>
          <w:sz w:val="28"/>
          <w:szCs w:val="28"/>
          <w:lang w:val="en-US" w:eastAsia="ru-RU"/>
        </w:rPr>
        <w:t> 2006; 48:65–72.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Avelar E., Cloward T.V., Walker J.M., Farney R.J., Strong M., Pendleton R.C., Segerson N., Adams T.D., Gress R.E., Hunt S.C., Litwin S.E. Left ventricular hypertrophy in severe obesity: interactions among blood pressure, nocturnal hypoxemia, body mass. </w:t>
      </w:r>
      <w:r w:rsidRPr="007F5722">
        <w:rPr>
          <w:rFonts w:ascii="Times New Roman" w:eastAsia="Times New Roman" w:hAnsi="Times New Roman" w:cs="Times New Roman"/>
          <w:i/>
          <w:sz w:val="28"/>
          <w:szCs w:val="28"/>
          <w:lang w:val="en-US" w:eastAsia="ru-RU"/>
        </w:rPr>
        <w:t>Hypertension.</w:t>
      </w:r>
      <w:r w:rsidRPr="007F5722">
        <w:rPr>
          <w:rFonts w:ascii="Times New Roman" w:eastAsia="Times New Roman" w:hAnsi="Times New Roman" w:cs="Times New Roman"/>
          <w:sz w:val="28"/>
          <w:szCs w:val="28"/>
          <w:lang w:val="en-US" w:eastAsia="ru-RU"/>
        </w:rPr>
        <w:t> 2007; 49:34–39.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Morricone L., Malavazos A.E., Coman C., Donati C., Hassan T., Caviezel F. Echocardiographic abnormalities in normotensive obese patients: relationship with visceral fat. </w:t>
      </w:r>
      <w:r w:rsidRPr="007F5722">
        <w:rPr>
          <w:rFonts w:ascii="Times New Roman" w:eastAsia="Times New Roman" w:hAnsi="Times New Roman" w:cs="Times New Roman"/>
          <w:i/>
          <w:sz w:val="28"/>
          <w:szCs w:val="28"/>
          <w:lang w:val="en-US" w:eastAsia="ru-RU"/>
        </w:rPr>
        <w:t>Obes Res.</w:t>
      </w:r>
      <w:r w:rsidRPr="007F5722">
        <w:rPr>
          <w:rFonts w:ascii="Times New Roman" w:eastAsia="Times New Roman" w:hAnsi="Times New Roman" w:cs="Times New Roman"/>
          <w:sz w:val="28"/>
          <w:szCs w:val="28"/>
          <w:lang w:val="en-US" w:eastAsia="ru-RU"/>
        </w:rPr>
        <w:t> 2002; 10:489–498.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Poirier P., Giles T.D., Bray G.A., Hong Y., Stern J.S., Pi-Sunyer F.X., Eckel R.H. Obesity and cardiovascular disease: pathophysiology, evaluation, effect of weight loss: an update of the 1997 American Heart Association Scientific Statement on Obesity and Heart Disease from the Obesity Committee of the Council on Nutrition, Physical Activity, Metabolism. </w:t>
      </w:r>
      <w:r w:rsidRPr="007F5722">
        <w:rPr>
          <w:rFonts w:ascii="Times New Roman" w:eastAsia="Times New Roman" w:hAnsi="Times New Roman" w:cs="Times New Roman"/>
          <w:i/>
          <w:sz w:val="28"/>
          <w:szCs w:val="28"/>
          <w:lang w:val="en-US" w:eastAsia="ru-RU"/>
        </w:rPr>
        <w:t>Circulation.</w:t>
      </w:r>
      <w:r w:rsidRPr="007F5722">
        <w:rPr>
          <w:rFonts w:ascii="Times New Roman" w:eastAsia="Times New Roman" w:hAnsi="Times New Roman" w:cs="Times New Roman"/>
          <w:sz w:val="28"/>
          <w:szCs w:val="28"/>
          <w:lang w:val="en-US" w:eastAsia="ru-RU"/>
        </w:rPr>
        <w:t> 2006; 113:898–918.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Wong C.Y., O’Moore-Sullivan T., Leano., Byrne N., Beller E., Marwick T.H. Alterations of left ventricular myocardial characteristics associated with obesity. </w:t>
      </w:r>
      <w:r w:rsidRPr="007F5722">
        <w:rPr>
          <w:rFonts w:ascii="Times New Roman" w:eastAsia="Times New Roman" w:hAnsi="Times New Roman" w:cs="Times New Roman"/>
          <w:i/>
          <w:sz w:val="28"/>
          <w:szCs w:val="28"/>
          <w:lang w:val="en-US" w:eastAsia="ru-RU"/>
        </w:rPr>
        <w:t>Circulation.</w:t>
      </w:r>
      <w:r w:rsidRPr="007F5722">
        <w:rPr>
          <w:rFonts w:ascii="Times New Roman" w:eastAsia="Times New Roman" w:hAnsi="Times New Roman" w:cs="Times New Roman"/>
          <w:sz w:val="28"/>
          <w:szCs w:val="28"/>
          <w:lang w:val="en-US" w:eastAsia="ru-RU"/>
        </w:rPr>
        <w:t> 2004; 110:3081–3087.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 xml:space="preserve">Iacobellis G. True uncomplicated obesity is not related to increased left ventricular mass and systolic dysfunction. </w:t>
      </w:r>
      <w:r w:rsidRPr="007F5722">
        <w:rPr>
          <w:rFonts w:ascii="Times New Roman" w:eastAsia="Times New Roman" w:hAnsi="Times New Roman" w:cs="Times New Roman"/>
          <w:i/>
          <w:sz w:val="28"/>
          <w:szCs w:val="28"/>
          <w:lang w:val="en-US" w:eastAsia="ru-RU"/>
        </w:rPr>
        <w:t>J Am Coll Cardiol.</w:t>
      </w:r>
      <w:r w:rsidRPr="007F5722">
        <w:rPr>
          <w:rFonts w:ascii="Times New Roman" w:eastAsia="Times New Roman" w:hAnsi="Times New Roman" w:cs="Times New Roman"/>
          <w:sz w:val="28"/>
          <w:szCs w:val="28"/>
          <w:lang w:val="en-US" w:eastAsia="ru-RU"/>
        </w:rPr>
        <w:t xml:space="preserve"> 2004; 44:2257–2258.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Iacobellis G., Ribaudo M.C., Zappaterreno A., Iannucci C.V., Di Mario U., Leonetti F. Adapted changes in left ventricular structure and function in severe uncomplicated obesity. </w:t>
      </w:r>
      <w:r w:rsidRPr="007F5722">
        <w:rPr>
          <w:rFonts w:ascii="Times New Roman" w:eastAsia="Times New Roman" w:hAnsi="Times New Roman" w:cs="Times New Roman"/>
          <w:i/>
          <w:sz w:val="28"/>
          <w:szCs w:val="28"/>
          <w:lang w:val="en-US" w:eastAsia="ru-RU"/>
        </w:rPr>
        <w:t>Obes Res.</w:t>
      </w:r>
      <w:r w:rsidRPr="007F5722">
        <w:rPr>
          <w:rFonts w:ascii="Times New Roman" w:eastAsia="Times New Roman" w:hAnsi="Times New Roman" w:cs="Times New Roman"/>
          <w:sz w:val="28"/>
          <w:szCs w:val="28"/>
          <w:lang w:val="en-US" w:eastAsia="ru-RU"/>
        </w:rPr>
        <w:t> 2004; 12:1616–1621.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Alpert M.A., Hashimi M.W. Obesity and the heart. </w:t>
      </w:r>
      <w:r w:rsidRPr="007F5722">
        <w:rPr>
          <w:rFonts w:ascii="Times New Roman" w:eastAsia="Times New Roman" w:hAnsi="Times New Roman" w:cs="Times New Roman"/>
          <w:i/>
          <w:sz w:val="28"/>
          <w:szCs w:val="28"/>
          <w:lang w:val="en-US" w:eastAsia="ru-RU"/>
        </w:rPr>
        <w:t>Am J Med Sci. </w:t>
      </w:r>
      <w:r w:rsidRPr="007F5722">
        <w:rPr>
          <w:rFonts w:ascii="Times New Roman" w:eastAsia="Times New Roman" w:hAnsi="Times New Roman" w:cs="Times New Roman"/>
          <w:sz w:val="28"/>
          <w:szCs w:val="28"/>
          <w:lang w:val="en-US" w:eastAsia="ru-RU"/>
        </w:rPr>
        <w:t>1993; 306:117–123.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Alpert M.A., Lambert C.R., Panayiotou H., Terry B.E., Cohen M.V., Massey C.V., Hashimi M.W., Mukerji V. Relation of duration of morbid obesity to left ventricular mass, systolic function, and diastolic filling, and effect of weight loss. </w:t>
      </w:r>
      <w:r w:rsidRPr="007F5722">
        <w:rPr>
          <w:rFonts w:ascii="Times New Roman" w:eastAsia="Times New Roman" w:hAnsi="Times New Roman" w:cs="Times New Roman"/>
          <w:i/>
          <w:sz w:val="28"/>
          <w:szCs w:val="28"/>
          <w:lang w:val="en-US" w:eastAsia="ru-RU"/>
        </w:rPr>
        <w:t>Am J Cardiol. </w:t>
      </w:r>
      <w:r w:rsidRPr="007F5722">
        <w:rPr>
          <w:rFonts w:ascii="Times New Roman" w:eastAsia="Times New Roman" w:hAnsi="Times New Roman" w:cs="Times New Roman"/>
          <w:sz w:val="28"/>
          <w:szCs w:val="28"/>
          <w:lang w:val="en-US" w:eastAsia="ru-RU"/>
        </w:rPr>
        <w:t>1995; 76:1194–1197.</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 xml:space="preserve">Peterson L.R., Waggoner A.D., Schechtman K.B., Meyer T., Gropler R.J., Barzilai B., Davila-Roman V.G. Alterations in left ventricular structure and </w:t>
      </w:r>
      <w:r w:rsidRPr="007F5722">
        <w:rPr>
          <w:rFonts w:ascii="Times New Roman" w:eastAsia="Times New Roman" w:hAnsi="Times New Roman" w:cs="Times New Roman"/>
          <w:sz w:val="28"/>
          <w:szCs w:val="28"/>
          <w:lang w:val="en-US" w:eastAsia="ru-RU"/>
        </w:rPr>
        <w:lastRenderedPageBreak/>
        <w:t>function in young healthy obese women: assessment by echocardiography and tissue Doppler imaging. </w:t>
      </w:r>
      <w:r w:rsidRPr="007F5722">
        <w:rPr>
          <w:rFonts w:ascii="Times New Roman" w:eastAsia="Times New Roman" w:hAnsi="Times New Roman" w:cs="Times New Roman"/>
          <w:i/>
          <w:sz w:val="28"/>
          <w:szCs w:val="28"/>
          <w:lang w:val="en-US" w:eastAsia="ru-RU"/>
        </w:rPr>
        <w:t>J Am Coll Cardiol.</w:t>
      </w:r>
      <w:r w:rsidRPr="007F5722">
        <w:rPr>
          <w:rFonts w:ascii="Times New Roman" w:eastAsia="Times New Roman" w:hAnsi="Times New Roman" w:cs="Times New Roman"/>
          <w:sz w:val="28"/>
          <w:szCs w:val="28"/>
          <w:lang w:val="en-US" w:eastAsia="ru-RU"/>
        </w:rPr>
        <w:t> 2004; 43:1399–1404.</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Heckbert S.R., Post W., Pearson G.D., Arnett D.K., Gomes A.S., Jerosch-Herold M., Hundley W.G., Lima J.A., Bluemke D.A. Traditional cardiovascular risk factors in relation to left ventricular mass, volume, systolic function by cardiac magnetic resonance imaging: the Multiethnic Study of Atherosclerosis. </w:t>
      </w:r>
      <w:r w:rsidRPr="007F5722">
        <w:rPr>
          <w:rFonts w:ascii="Times New Roman" w:eastAsia="Times New Roman" w:hAnsi="Times New Roman" w:cs="Times New Roman"/>
          <w:i/>
          <w:sz w:val="28"/>
          <w:szCs w:val="28"/>
          <w:lang w:val="en-US" w:eastAsia="ru-RU"/>
        </w:rPr>
        <w:t>J Am Coll Cardiol.</w:t>
      </w:r>
      <w:r w:rsidRPr="007F5722">
        <w:rPr>
          <w:rFonts w:ascii="Times New Roman" w:eastAsia="Times New Roman" w:hAnsi="Times New Roman" w:cs="Times New Roman"/>
          <w:sz w:val="28"/>
          <w:szCs w:val="28"/>
          <w:lang w:val="en-US" w:eastAsia="ru-RU"/>
        </w:rPr>
        <w:t> 2006;</w:t>
      </w:r>
      <w:r w:rsidRPr="007F5722">
        <w:rPr>
          <w:rFonts w:ascii="Times New Roman" w:eastAsia="Times New Roman" w:hAnsi="Times New Roman" w:cs="Times New Roman"/>
          <w:sz w:val="28"/>
          <w:szCs w:val="28"/>
          <w:lang w:eastAsia="ru-RU"/>
        </w:rPr>
        <w:t xml:space="preserve"> </w:t>
      </w:r>
      <w:r w:rsidRPr="007F5722">
        <w:rPr>
          <w:rFonts w:ascii="Times New Roman" w:eastAsia="Times New Roman" w:hAnsi="Times New Roman" w:cs="Times New Roman"/>
          <w:sz w:val="28"/>
          <w:szCs w:val="28"/>
          <w:lang w:val="en-US" w:eastAsia="ru-RU"/>
        </w:rPr>
        <w:t>48: 2285–2292.</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 xml:space="preserve">Kvakan H., Luft F.C., Muller D.N. Role of the immune system in hypertensive target organ damage. </w:t>
      </w:r>
      <w:r w:rsidRPr="007F5722">
        <w:rPr>
          <w:rFonts w:ascii="Times New Roman" w:eastAsia="Times New Roman" w:hAnsi="Times New Roman" w:cs="Times New Roman"/>
          <w:bCs/>
          <w:i/>
          <w:sz w:val="28"/>
          <w:szCs w:val="28"/>
          <w:lang w:val="en-US" w:eastAsia="ru-RU"/>
        </w:rPr>
        <w:t>Trends Cardiovasc Med</w:t>
      </w:r>
      <w:r w:rsidRPr="007F5722">
        <w:rPr>
          <w:rFonts w:ascii="Times New Roman" w:eastAsia="Times New Roman" w:hAnsi="Times New Roman" w:cs="Times New Roman"/>
          <w:i/>
          <w:sz w:val="28"/>
          <w:szCs w:val="28"/>
          <w:lang w:val="en-US" w:eastAsia="ru-RU"/>
        </w:rPr>
        <w:t>.</w:t>
      </w:r>
      <w:r w:rsidRPr="007F5722">
        <w:rPr>
          <w:rFonts w:ascii="Times New Roman" w:eastAsia="Times New Roman" w:hAnsi="Times New Roman" w:cs="Times New Roman"/>
          <w:sz w:val="28"/>
          <w:szCs w:val="28"/>
          <w:lang w:val="en-US" w:eastAsia="ru-RU"/>
        </w:rPr>
        <w:t xml:space="preserve"> 2009; 19:242–246. doi: 10.1016/j.tcm.2010.02.004.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 xml:space="preserve">McMaster W.G., Kirabo A., Madhur M.S., Harrison D.G. Inflammation, immunity, and hypertensive end-organ damage. </w:t>
      </w:r>
      <w:r w:rsidRPr="007F5722">
        <w:rPr>
          <w:rFonts w:ascii="Times New Roman" w:eastAsia="Times New Roman" w:hAnsi="Times New Roman" w:cs="Times New Roman"/>
          <w:bCs/>
          <w:i/>
          <w:sz w:val="28"/>
          <w:szCs w:val="28"/>
          <w:lang w:val="en-US" w:eastAsia="ru-RU"/>
        </w:rPr>
        <w:t>Circ Res</w:t>
      </w:r>
      <w:r w:rsidRPr="007F5722">
        <w:rPr>
          <w:rFonts w:ascii="Times New Roman" w:eastAsia="Times New Roman" w:hAnsi="Times New Roman" w:cs="Times New Roman"/>
          <w:i/>
          <w:sz w:val="28"/>
          <w:szCs w:val="28"/>
          <w:lang w:val="en-US" w:eastAsia="ru-RU"/>
        </w:rPr>
        <w:t>.</w:t>
      </w:r>
      <w:r w:rsidRPr="007F5722">
        <w:rPr>
          <w:rFonts w:ascii="Times New Roman" w:eastAsia="Times New Roman" w:hAnsi="Times New Roman" w:cs="Times New Roman"/>
          <w:sz w:val="28"/>
          <w:szCs w:val="28"/>
          <w:lang w:val="en-US" w:eastAsia="ru-RU"/>
        </w:rPr>
        <w:t xml:space="preserve"> 2015; 116:1022–1033. doi: 10.1161/CIRCRESAHA.116.303697.</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 xml:space="preserve">Altara R., Mallat Z., Booz G.W., Zouein F.A. The CXCL10/CXCR3 axis and cardiac inflammation: implications for immunotherapy to treat infectious and noninfectious diseases of the heart. </w:t>
      </w:r>
      <w:r w:rsidRPr="007F5722">
        <w:rPr>
          <w:rFonts w:ascii="Times New Roman" w:eastAsia="Times New Roman" w:hAnsi="Times New Roman" w:cs="Times New Roman"/>
          <w:bCs/>
          <w:i/>
          <w:sz w:val="28"/>
          <w:szCs w:val="28"/>
          <w:lang w:val="en-US" w:eastAsia="ru-RU"/>
        </w:rPr>
        <w:t>J Immunol Res</w:t>
      </w:r>
      <w:r w:rsidRPr="007F5722">
        <w:rPr>
          <w:rFonts w:ascii="Times New Roman" w:eastAsia="Times New Roman" w:hAnsi="Times New Roman" w:cs="Times New Roman"/>
          <w:i/>
          <w:sz w:val="28"/>
          <w:szCs w:val="28"/>
          <w:lang w:val="en-US" w:eastAsia="ru-RU"/>
        </w:rPr>
        <w:t>.</w:t>
      </w:r>
      <w:r w:rsidRPr="007F5722">
        <w:rPr>
          <w:rFonts w:ascii="Times New Roman" w:eastAsia="Times New Roman" w:hAnsi="Times New Roman" w:cs="Times New Roman"/>
          <w:sz w:val="28"/>
          <w:szCs w:val="28"/>
          <w:lang w:val="en-US" w:eastAsia="ru-RU"/>
        </w:rPr>
        <w:t xml:space="preserve"> 2016; 2016:4396368. doi: 10.1155/2016/4396368.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 xml:space="preserve">Behr T.M., Willette R.N., Coatney R.W., Berova M., Angermann C.E., Anderson K., Sackner-Bernstein J.D., Barone F.C. Eprosartan improves cardiac performance, reduces cardiac hypertrophy and mortality and downregulates myocardial monocyte chemoattractant protein-1 and inflammation in hypertensive heart disease. </w:t>
      </w:r>
      <w:r w:rsidRPr="007F5722">
        <w:rPr>
          <w:rFonts w:ascii="Times New Roman" w:eastAsia="Times New Roman" w:hAnsi="Times New Roman" w:cs="Times New Roman"/>
          <w:bCs/>
          <w:i/>
          <w:sz w:val="28"/>
          <w:szCs w:val="28"/>
          <w:lang w:val="en-US" w:eastAsia="ru-RU"/>
        </w:rPr>
        <w:t>J Hypertens</w:t>
      </w:r>
      <w:r w:rsidRPr="007F5722">
        <w:rPr>
          <w:rFonts w:ascii="Times New Roman" w:eastAsia="Times New Roman" w:hAnsi="Times New Roman" w:cs="Times New Roman"/>
          <w:i/>
          <w:sz w:val="28"/>
          <w:szCs w:val="28"/>
          <w:lang w:val="en-US" w:eastAsia="ru-RU"/>
        </w:rPr>
        <w:t>.</w:t>
      </w:r>
      <w:r w:rsidRPr="007F5722">
        <w:rPr>
          <w:rFonts w:ascii="Times New Roman" w:eastAsia="Times New Roman" w:hAnsi="Times New Roman" w:cs="Times New Roman"/>
          <w:sz w:val="28"/>
          <w:szCs w:val="28"/>
          <w:lang w:val="en-US" w:eastAsia="ru-RU"/>
        </w:rPr>
        <w:t xml:space="preserve"> 2004; 22:583–592.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 xml:space="preserve">Yoshida K., Kim-Mitsuyama S., Wake R., Izumiya Y., Izumi Y., Yukimura T., Ueda M., Yoshiyama M., Iwao H. Excess aldosterone under normal salt diet induces cardiac hypertrophy and infiltration via oxidative stress. </w:t>
      </w:r>
      <w:r w:rsidRPr="007F5722">
        <w:rPr>
          <w:rFonts w:ascii="Times New Roman" w:eastAsia="Times New Roman" w:hAnsi="Times New Roman" w:cs="Times New Roman"/>
          <w:bCs/>
          <w:i/>
          <w:sz w:val="28"/>
          <w:szCs w:val="28"/>
          <w:lang w:val="en-US" w:eastAsia="ru-RU"/>
        </w:rPr>
        <w:t>Hypertens Res</w:t>
      </w:r>
      <w:r w:rsidRPr="007F5722">
        <w:rPr>
          <w:rFonts w:ascii="Times New Roman" w:eastAsia="Times New Roman" w:hAnsi="Times New Roman" w:cs="Times New Roman"/>
          <w:i/>
          <w:sz w:val="28"/>
          <w:szCs w:val="28"/>
          <w:lang w:val="en-US" w:eastAsia="ru-RU"/>
        </w:rPr>
        <w:t>. </w:t>
      </w:r>
      <w:r w:rsidRPr="007F5722">
        <w:rPr>
          <w:rFonts w:ascii="Times New Roman" w:eastAsia="Times New Roman" w:hAnsi="Times New Roman" w:cs="Times New Roman"/>
          <w:sz w:val="28"/>
          <w:szCs w:val="28"/>
          <w:lang w:val="en-US" w:eastAsia="ru-RU"/>
        </w:rPr>
        <w:t xml:space="preserve">2005; 28:447–455. doi: 10.1291/hypres.28.447.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 xml:space="preserve">Ogata T., Miyauchi T., Sakai S., Takanashi M., Irukayama-Tomobe Y., Yamaguchi I. Myocardial fibrosis and diastolic dysfunction in deoxycorticosterone acetate-salt hypertensive rats is ameliorated by the peroxisome proliferator-activated receptor-alpha activator fenofibrate, partly by suppressing inflammatory responses </w:t>
      </w:r>
      <w:r w:rsidRPr="007F5722">
        <w:rPr>
          <w:rFonts w:ascii="Times New Roman" w:eastAsia="Times New Roman" w:hAnsi="Times New Roman" w:cs="Times New Roman"/>
          <w:sz w:val="28"/>
          <w:szCs w:val="28"/>
          <w:lang w:val="en-US" w:eastAsia="ru-RU"/>
        </w:rPr>
        <w:lastRenderedPageBreak/>
        <w:t xml:space="preserve">associated with the nuclear factor-kappa-B pathway. </w:t>
      </w:r>
      <w:r w:rsidRPr="007F5722">
        <w:rPr>
          <w:rFonts w:ascii="Times New Roman" w:eastAsia="Times New Roman" w:hAnsi="Times New Roman" w:cs="Times New Roman"/>
          <w:bCs/>
          <w:i/>
          <w:sz w:val="28"/>
          <w:szCs w:val="28"/>
          <w:lang w:val="en-US" w:eastAsia="ru-RU"/>
        </w:rPr>
        <w:t>J Am Coll Cardiol</w:t>
      </w:r>
      <w:r w:rsidRPr="007F5722">
        <w:rPr>
          <w:rFonts w:ascii="Times New Roman" w:eastAsia="Times New Roman" w:hAnsi="Times New Roman" w:cs="Times New Roman"/>
          <w:i/>
          <w:sz w:val="28"/>
          <w:szCs w:val="28"/>
          <w:lang w:val="en-US" w:eastAsia="ru-RU"/>
        </w:rPr>
        <w:t>.</w:t>
      </w:r>
      <w:r w:rsidRPr="007F5722">
        <w:rPr>
          <w:rFonts w:ascii="Times New Roman" w:eastAsia="Times New Roman" w:hAnsi="Times New Roman" w:cs="Times New Roman"/>
          <w:sz w:val="28"/>
          <w:szCs w:val="28"/>
          <w:lang w:val="en-US" w:eastAsia="ru-RU"/>
        </w:rPr>
        <w:t xml:space="preserve"> 2004; 43:1481–1488. doi: 10.1016/j.jacc.2003.11.043.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 xml:space="preserve">Levick S.P., Murray D.B., Janicki J.S., Brower G.L. Sympathetic nervous system modulation of inflammation and remodeling in the hypertensive heart. </w:t>
      </w:r>
      <w:r w:rsidRPr="007F5722">
        <w:rPr>
          <w:rFonts w:ascii="Times New Roman" w:eastAsia="Times New Roman" w:hAnsi="Times New Roman" w:cs="Times New Roman"/>
          <w:bCs/>
          <w:i/>
          <w:sz w:val="28"/>
          <w:szCs w:val="28"/>
          <w:lang w:val="en-US" w:eastAsia="ru-RU"/>
        </w:rPr>
        <w:t>Hypertension</w:t>
      </w:r>
      <w:r w:rsidRPr="007F5722">
        <w:rPr>
          <w:rFonts w:ascii="Times New Roman" w:eastAsia="Times New Roman" w:hAnsi="Times New Roman" w:cs="Times New Roman"/>
          <w:i/>
          <w:sz w:val="28"/>
          <w:szCs w:val="28"/>
          <w:lang w:val="en-US" w:eastAsia="ru-RU"/>
        </w:rPr>
        <w:t>.</w:t>
      </w:r>
      <w:r w:rsidRPr="007F5722">
        <w:rPr>
          <w:rFonts w:ascii="Times New Roman" w:eastAsia="Times New Roman" w:hAnsi="Times New Roman" w:cs="Times New Roman"/>
          <w:sz w:val="28"/>
          <w:szCs w:val="28"/>
          <w:lang w:val="en-US" w:eastAsia="ru-RU"/>
        </w:rPr>
        <w:t xml:space="preserve"> 2010; 55:270–276. doi: 10.1161/ HYPERTENSIONAHA.1 09.142042.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 xml:space="preserve">Deckx S., Heggermont W., Carai P., Rienks M., Dresselaers T., Himmelreich U., Van Leeuwen R., Lommen W., van der Velden J., Gonzalez A., Diez J., Papageorgiou A.P., Heymans S. Osteoglycin prevents the development of age-related diastolic dysfunction during pressure overload by reducing cardiac fibrosis and inflammation. </w:t>
      </w:r>
      <w:r w:rsidRPr="007F5722">
        <w:rPr>
          <w:rFonts w:ascii="Times New Roman" w:eastAsia="Times New Roman" w:hAnsi="Times New Roman" w:cs="Times New Roman"/>
          <w:bCs/>
          <w:i/>
          <w:sz w:val="28"/>
          <w:szCs w:val="28"/>
          <w:lang w:val="en-US" w:eastAsia="ru-RU"/>
        </w:rPr>
        <w:t>Matrix Biol</w:t>
      </w:r>
      <w:r w:rsidRPr="007F5722">
        <w:rPr>
          <w:rFonts w:ascii="Times New Roman" w:eastAsia="Times New Roman" w:hAnsi="Times New Roman" w:cs="Times New Roman"/>
          <w:i/>
          <w:sz w:val="28"/>
          <w:szCs w:val="28"/>
          <w:lang w:val="en-US" w:eastAsia="ru-RU"/>
        </w:rPr>
        <w:t>.</w:t>
      </w:r>
      <w:r w:rsidRPr="007F5722">
        <w:rPr>
          <w:rFonts w:ascii="Times New Roman" w:eastAsia="Times New Roman" w:hAnsi="Times New Roman" w:cs="Times New Roman"/>
          <w:sz w:val="28"/>
          <w:szCs w:val="28"/>
          <w:lang w:val="en-US" w:eastAsia="ru-RU"/>
        </w:rPr>
        <w:t xml:space="preserve"> 2018; 66:110–124. doi: 10.1016/j.matbio. 2017.09.002.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 xml:space="preserve">Ghigo A., Franco I., Morello F., Hirsch E. Myocyte signalling in leucocyte recruitment to the heart. </w:t>
      </w:r>
      <w:r w:rsidRPr="007F5722">
        <w:rPr>
          <w:rFonts w:ascii="Times New Roman" w:eastAsia="Times New Roman" w:hAnsi="Times New Roman" w:cs="Times New Roman"/>
          <w:bCs/>
          <w:i/>
          <w:sz w:val="28"/>
          <w:szCs w:val="28"/>
          <w:lang w:val="en-US" w:eastAsia="ru-RU"/>
        </w:rPr>
        <w:t>Cardiovasc Res</w:t>
      </w:r>
      <w:r w:rsidRPr="007F5722">
        <w:rPr>
          <w:rFonts w:ascii="Times New Roman" w:eastAsia="Times New Roman" w:hAnsi="Times New Roman" w:cs="Times New Roman"/>
          <w:i/>
          <w:sz w:val="28"/>
          <w:szCs w:val="28"/>
          <w:lang w:val="en-US" w:eastAsia="ru-RU"/>
        </w:rPr>
        <w:t>.</w:t>
      </w:r>
      <w:r w:rsidRPr="007F5722">
        <w:rPr>
          <w:rFonts w:ascii="Times New Roman" w:eastAsia="Times New Roman" w:hAnsi="Times New Roman" w:cs="Times New Roman"/>
          <w:sz w:val="28"/>
          <w:szCs w:val="28"/>
          <w:lang w:val="en-US" w:eastAsia="ru-RU"/>
        </w:rPr>
        <w:t> 2014; 102:270–280. doi: 10.1093/cvr/cvu030.</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 xml:space="preserve">Despres J.P. Inflammation and cardiovascular disease: is abdominal obesity the missing link? </w:t>
      </w:r>
      <w:r w:rsidRPr="007F5722">
        <w:rPr>
          <w:rFonts w:ascii="Times New Roman" w:eastAsia="Times New Roman" w:hAnsi="Times New Roman" w:cs="Times New Roman"/>
          <w:i/>
          <w:sz w:val="28"/>
          <w:szCs w:val="28"/>
          <w:lang w:val="en-US" w:eastAsia="ru-RU"/>
        </w:rPr>
        <w:t>Int J Obes Relat Metab Disord.</w:t>
      </w:r>
      <w:r w:rsidRPr="007F5722">
        <w:rPr>
          <w:rFonts w:ascii="Times New Roman" w:eastAsia="Times New Roman" w:hAnsi="Times New Roman" w:cs="Times New Roman"/>
          <w:sz w:val="28"/>
          <w:szCs w:val="28"/>
          <w:lang w:val="en-US" w:eastAsia="ru-RU"/>
        </w:rPr>
        <w:t xml:space="preserve"> 2003; 27(Suppl 3):22–24.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 xml:space="preserve">Despres J.P., Lemieux I. Abdominal obesity and metabolic syndrome. </w:t>
      </w:r>
      <w:r w:rsidRPr="007F5722">
        <w:rPr>
          <w:rFonts w:ascii="Times New Roman" w:eastAsia="Times New Roman" w:hAnsi="Times New Roman" w:cs="Times New Roman"/>
          <w:i/>
          <w:sz w:val="28"/>
          <w:szCs w:val="28"/>
          <w:lang w:val="en-US" w:eastAsia="ru-RU"/>
        </w:rPr>
        <w:t>Nature.</w:t>
      </w:r>
      <w:r w:rsidRPr="007F5722">
        <w:rPr>
          <w:rFonts w:ascii="Times New Roman" w:eastAsia="Times New Roman" w:hAnsi="Times New Roman" w:cs="Times New Roman"/>
          <w:sz w:val="28"/>
          <w:szCs w:val="28"/>
          <w:lang w:val="en-US" w:eastAsia="ru-RU"/>
        </w:rPr>
        <w:t xml:space="preserve"> 2006; 444:881–887.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Lee Y.H., Pratley R.E. The evolving role of inflammation in obesity and the metabolic syndrome. </w:t>
      </w:r>
      <w:r w:rsidRPr="007F5722">
        <w:rPr>
          <w:rFonts w:ascii="Times New Roman" w:eastAsia="Times New Roman" w:hAnsi="Times New Roman" w:cs="Times New Roman"/>
          <w:i/>
          <w:sz w:val="28"/>
          <w:szCs w:val="28"/>
          <w:lang w:val="en-US" w:eastAsia="ru-RU"/>
        </w:rPr>
        <w:t>Curr Diab Rep.</w:t>
      </w:r>
      <w:r w:rsidRPr="007F5722">
        <w:rPr>
          <w:rFonts w:ascii="Times New Roman" w:eastAsia="Times New Roman" w:hAnsi="Times New Roman" w:cs="Times New Roman"/>
          <w:sz w:val="28"/>
          <w:szCs w:val="28"/>
          <w:lang w:val="en-US" w:eastAsia="ru-RU"/>
        </w:rPr>
        <w:t> 2005; 5:70–75.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Lisman K.A., Stetson S.J., Koerner M.M., Farmer J.A., Torre-Amione G. The role of inflammation in the pathogenesis of heart failure. </w:t>
      </w:r>
      <w:r w:rsidRPr="007F5722">
        <w:rPr>
          <w:rFonts w:ascii="Times New Roman" w:eastAsia="Times New Roman" w:hAnsi="Times New Roman" w:cs="Times New Roman"/>
          <w:i/>
          <w:sz w:val="28"/>
          <w:szCs w:val="28"/>
          <w:lang w:val="en-US" w:eastAsia="ru-RU"/>
        </w:rPr>
        <w:t>Curr Cardiol Rep.</w:t>
      </w:r>
      <w:r w:rsidRPr="007F5722">
        <w:rPr>
          <w:rFonts w:ascii="Times New Roman" w:eastAsia="Times New Roman" w:hAnsi="Times New Roman" w:cs="Times New Roman"/>
          <w:sz w:val="28"/>
          <w:szCs w:val="28"/>
          <w:lang w:val="en-US" w:eastAsia="ru-RU"/>
        </w:rPr>
        <w:t> 2002; 4:200–205.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Tanaka T., Ozaki K. Inflammation as a risk factor for myocardial infarction. </w:t>
      </w:r>
      <w:r w:rsidRPr="007F5722">
        <w:rPr>
          <w:rFonts w:ascii="Times New Roman" w:eastAsia="Times New Roman" w:hAnsi="Times New Roman" w:cs="Times New Roman"/>
          <w:i/>
          <w:sz w:val="28"/>
          <w:szCs w:val="28"/>
          <w:lang w:val="en-US" w:eastAsia="ru-RU"/>
        </w:rPr>
        <w:t>J Hum Genet.</w:t>
      </w:r>
      <w:r w:rsidRPr="007F5722">
        <w:rPr>
          <w:rFonts w:ascii="Times New Roman" w:eastAsia="Times New Roman" w:hAnsi="Times New Roman" w:cs="Times New Roman"/>
          <w:sz w:val="28"/>
          <w:szCs w:val="28"/>
          <w:lang w:val="en-US" w:eastAsia="ru-RU"/>
        </w:rPr>
        <w:t> 2006;51:595–604.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Ingelsson E., Arnlov J., Sundstrom J., Lind L. Inflammation, as measured by the erythrocyte sedimentation rate, is an independent predictor for the development of heart failure. </w:t>
      </w:r>
      <w:r w:rsidRPr="007F5722">
        <w:rPr>
          <w:rFonts w:ascii="Times New Roman" w:eastAsia="Times New Roman" w:hAnsi="Times New Roman" w:cs="Times New Roman"/>
          <w:i/>
          <w:sz w:val="28"/>
          <w:szCs w:val="28"/>
          <w:lang w:val="en-US" w:eastAsia="ru-RU"/>
        </w:rPr>
        <w:t>J Am Coll Cardiol.</w:t>
      </w:r>
      <w:r w:rsidRPr="007F5722">
        <w:rPr>
          <w:rFonts w:ascii="Times New Roman" w:eastAsia="Times New Roman" w:hAnsi="Times New Roman" w:cs="Times New Roman"/>
          <w:sz w:val="28"/>
          <w:szCs w:val="28"/>
          <w:lang w:val="en-US" w:eastAsia="ru-RU"/>
        </w:rPr>
        <w:t> 2005; 45:1802–1806.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lastRenderedPageBreak/>
        <w:t>Mueller C., Laule-Kilian K., Christ A., Brunner-La Rocca H.P., Perruchoud A.P. Inflammation and long-term mortality in acute congestive heart failure. </w:t>
      </w:r>
      <w:r w:rsidRPr="007F5722">
        <w:rPr>
          <w:rFonts w:ascii="Times New Roman" w:eastAsia="Times New Roman" w:hAnsi="Times New Roman" w:cs="Times New Roman"/>
          <w:i/>
          <w:sz w:val="28"/>
          <w:szCs w:val="28"/>
          <w:lang w:val="en-US" w:eastAsia="ru-RU"/>
        </w:rPr>
        <w:t>Am Heart J.</w:t>
      </w:r>
      <w:r w:rsidRPr="007F5722">
        <w:rPr>
          <w:rFonts w:ascii="Times New Roman" w:eastAsia="Times New Roman" w:hAnsi="Times New Roman" w:cs="Times New Roman"/>
          <w:sz w:val="28"/>
          <w:szCs w:val="28"/>
          <w:lang w:val="en-US" w:eastAsia="ru-RU"/>
        </w:rPr>
        <w:t> 2006; 151:845–850.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Gullestad L., Kjekshus J., Damas J.K., Ueland T., Yndestad A., Aukrust P. Agents targeting inflammation in heart failure. </w:t>
      </w:r>
      <w:r w:rsidRPr="007F5722">
        <w:rPr>
          <w:rFonts w:ascii="Times New Roman" w:eastAsia="Times New Roman" w:hAnsi="Times New Roman" w:cs="Times New Roman"/>
          <w:i/>
          <w:sz w:val="28"/>
          <w:szCs w:val="28"/>
          <w:lang w:val="en-US" w:eastAsia="ru-RU"/>
        </w:rPr>
        <w:t>Expert Opin Invest Drugs. </w:t>
      </w:r>
      <w:r w:rsidRPr="007F5722">
        <w:rPr>
          <w:rFonts w:ascii="Times New Roman" w:eastAsia="Times New Roman" w:hAnsi="Times New Roman" w:cs="Times New Roman"/>
          <w:sz w:val="28"/>
          <w:szCs w:val="28"/>
          <w:lang w:val="en-US" w:eastAsia="ru-RU"/>
        </w:rPr>
        <w:t>2005; 14:557–566.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Von Eynatten M., Hamann A., Twardella D., Nawroth P.P., Brenner H., Rothenbacher D. Relationship of adiponectin with markers of systemic inflammation, atherogenic dyslipidemia, heart failure in patients with coronary heart disease. </w:t>
      </w:r>
      <w:r w:rsidRPr="007F5722">
        <w:rPr>
          <w:rFonts w:ascii="Times New Roman" w:eastAsia="Times New Roman" w:hAnsi="Times New Roman" w:cs="Times New Roman"/>
          <w:i/>
          <w:sz w:val="28"/>
          <w:szCs w:val="28"/>
          <w:lang w:val="en-US" w:eastAsia="ru-RU"/>
        </w:rPr>
        <w:t>Clin Chem.</w:t>
      </w:r>
      <w:r w:rsidRPr="007F5722">
        <w:rPr>
          <w:rFonts w:ascii="Times New Roman" w:eastAsia="Times New Roman" w:hAnsi="Times New Roman" w:cs="Times New Roman"/>
          <w:sz w:val="28"/>
          <w:szCs w:val="28"/>
          <w:lang w:val="en-US" w:eastAsia="ru-RU"/>
        </w:rPr>
        <w:t> 2006; 52:853–859.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Aukrust P., Yndestad A., Damas J.K., Gullestad L. Inflammation and chronic heart failure: potential therapeutic role of intravenous immunoglobulin. </w:t>
      </w:r>
      <w:r w:rsidRPr="007F5722">
        <w:rPr>
          <w:rFonts w:ascii="Times New Roman" w:eastAsia="Times New Roman" w:hAnsi="Times New Roman" w:cs="Times New Roman"/>
          <w:i/>
          <w:sz w:val="28"/>
          <w:szCs w:val="28"/>
          <w:lang w:val="en-US" w:eastAsia="ru-RU"/>
        </w:rPr>
        <w:t>Autoimmun Rev.</w:t>
      </w:r>
      <w:r w:rsidRPr="007F5722">
        <w:rPr>
          <w:rFonts w:ascii="Times New Roman" w:eastAsia="Times New Roman" w:hAnsi="Times New Roman" w:cs="Times New Roman"/>
          <w:sz w:val="28"/>
          <w:szCs w:val="28"/>
          <w:lang w:val="en-US" w:eastAsia="ru-RU"/>
        </w:rPr>
        <w:t> 2004; 3:221–227.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 xml:space="preserve">Hilfiker-Kleiner D., Landmesser U., Drexler H. Molecular mechanisms in heart failure focus on cardiac hypertrophy, inflammation, angiogenesis, apoptosis. </w:t>
      </w:r>
      <w:r w:rsidRPr="007F5722">
        <w:rPr>
          <w:rFonts w:ascii="Times New Roman" w:eastAsia="Times New Roman" w:hAnsi="Times New Roman" w:cs="Times New Roman"/>
          <w:i/>
          <w:sz w:val="28"/>
          <w:szCs w:val="28"/>
          <w:lang w:val="en-US" w:eastAsia="ru-RU"/>
        </w:rPr>
        <w:t>J Am Coll Cardiol</w:t>
      </w:r>
      <w:r w:rsidRPr="007F5722">
        <w:rPr>
          <w:rFonts w:ascii="Times New Roman" w:eastAsia="Times New Roman" w:hAnsi="Times New Roman" w:cs="Times New Roman"/>
          <w:sz w:val="28"/>
          <w:szCs w:val="28"/>
          <w:lang w:val="en-US" w:eastAsia="ru-RU"/>
        </w:rPr>
        <w:t>. 2006; 48:A56–66.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 xml:space="preserve">Hotamisligil G.S. Inflammation and metabolic disorders. </w:t>
      </w:r>
      <w:r w:rsidRPr="007F5722">
        <w:rPr>
          <w:rFonts w:ascii="Times New Roman" w:eastAsia="Times New Roman" w:hAnsi="Times New Roman" w:cs="Times New Roman"/>
          <w:i/>
          <w:sz w:val="28"/>
          <w:szCs w:val="28"/>
          <w:lang w:val="en-US" w:eastAsia="ru-RU"/>
        </w:rPr>
        <w:t>Nature</w:t>
      </w:r>
      <w:r w:rsidRPr="007F5722">
        <w:rPr>
          <w:rFonts w:ascii="Times New Roman" w:eastAsia="Times New Roman" w:hAnsi="Times New Roman" w:cs="Times New Roman"/>
          <w:sz w:val="28"/>
          <w:szCs w:val="28"/>
          <w:lang w:val="en-US" w:eastAsia="ru-RU"/>
        </w:rPr>
        <w:t>. 2006; 444:860–867.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Shoelson S.E., Lee J., Goldfine A.B. Inflammation and insulin resistance. </w:t>
      </w:r>
      <w:r w:rsidRPr="007F5722">
        <w:rPr>
          <w:rFonts w:ascii="Times New Roman" w:eastAsia="Times New Roman" w:hAnsi="Times New Roman" w:cs="Times New Roman"/>
          <w:i/>
          <w:sz w:val="28"/>
          <w:szCs w:val="28"/>
          <w:lang w:val="en-US" w:eastAsia="ru-RU"/>
        </w:rPr>
        <w:t>J Clin Invest.</w:t>
      </w:r>
      <w:r w:rsidRPr="007F5722">
        <w:rPr>
          <w:rFonts w:ascii="Times New Roman" w:eastAsia="Times New Roman" w:hAnsi="Times New Roman" w:cs="Times New Roman"/>
          <w:sz w:val="28"/>
          <w:szCs w:val="28"/>
          <w:lang w:val="en-US" w:eastAsia="ru-RU"/>
        </w:rPr>
        <w:t> 2006; 116:1793–1801. </w:t>
      </w:r>
    </w:p>
    <w:p w:rsidR="007F5722" w:rsidRPr="007F5722" w:rsidRDefault="007F5722" w:rsidP="007F5722">
      <w:pPr>
        <w:pStyle w:val="a8"/>
        <w:numPr>
          <w:ilvl w:val="0"/>
          <w:numId w:val="25"/>
        </w:numPr>
        <w:spacing w:after="0" w:line="360" w:lineRule="auto"/>
        <w:ind w:left="0" w:firstLine="357"/>
        <w:jc w:val="both"/>
        <w:rPr>
          <w:rStyle w:val="doi"/>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 xml:space="preserve">Nakamura K., Fuster J.J., Walsh K. Adipokines: a link between obesity and cardiovascular disease. </w:t>
      </w:r>
      <w:r w:rsidRPr="007F5722">
        <w:rPr>
          <w:rFonts w:ascii="Times New Roman" w:eastAsia="Times New Roman" w:hAnsi="Times New Roman" w:cs="Times New Roman"/>
          <w:i/>
          <w:sz w:val="28"/>
          <w:szCs w:val="28"/>
          <w:lang w:val="en-US" w:eastAsia="ru-RU"/>
        </w:rPr>
        <w:t>J Cardiol</w:t>
      </w:r>
      <w:r w:rsidRPr="007F5722">
        <w:rPr>
          <w:rFonts w:ascii="Times New Roman" w:eastAsia="Times New Roman" w:hAnsi="Times New Roman" w:cs="Times New Roman"/>
          <w:sz w:val="28"/>
          <w:szCs w:val="28"/>
          <w:lang w:val="en-US" w:eastAsia="ru-RU"/>
        </w:rPr>
        <w:t>. 2014; 63(4): 250-259.</w:t>
      </w:r>
      <w:r w:rsidRPr="007F5722">
        <w:rPr>
          <w:rStyle w:val="doi"/>
          <w:rFonts w:ascii="Arial" w:hAnsi="Arial" w:cs="Arial"/>
          <w:sz w:val="28"/>
          <w:szCs w:val="28"/>
          <w:lang w:val="en-US"/>
        </w:rPr>
        <w:t xml:space="preserve">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Samaras K., Botelho N.K., Chisholm D.J., Lord R.V. Subcutaneous and visceral adipose tissue gene expression of serum adipokines that predict type 2 diabetes. </w:t>
      </w:r>
      <w:r w:rsidRPr="007F5722">
        <w:rPr>
          <w:rFonts w:ascii="Times New Roman" w:eastAsia="Times New Roman" w:hAnsi="Times New Roman" w:cs="Times New Roman"/>
          <w:i/>
          <w:sz w:val="28"/>
          <w:szCs w:val="28"/>
          <w:lang w:val="en-US" w:eastAsia="ru-RU"/>
        </w:rPr>
        <w:t xml:space="preserve">Obesity </w:t>
      </w:r>
      <w:r w:rsidRPr="007F5722">
        <w:rPr>
          <w:rFonts w:ascii="Times New Roman" w:eastAsia="Times New Roman" w:hAnsi="Times New Roman" w:cs="Times New Roman"/>
          <w:sz w:val="28"/>
          <w:szCs w:val="28"/>
          <w:lang w:val="en-US" w:eastAsia="ru-RU"/>
        </w:rPr>
        <w:t xml:space="preserve">(Silver Spring) 2010; 18:884–889. </w:t>
      </w:r>
    </w:p>
    <w:p w:rsidR="007F5722" w:rsidRPr="007F5722" w:rsidRDefault="007F5722" w:rsidP="007F5722">
      <w:pPr>
        <w:pStyle w:val="a8"/>
        <w:numPr>
          <w:ilvl w:val="0"/>
          <w:numId w:val="25"/>
        </w:numPr>
        <w:spacing w:after="0" w:line="360" w:lineRule="auto"/>
        <w:ind w:left="0" w:firstLine="357"/>
        <w:jc w:val="both"/>
        <w:rPr>
          <w:rStyle w:val="doi"/>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 xml:space="preserve">Chatterjee T.K., Stoll L.L., Denning G.M., Harrelson A., Blomkalns A.L., Idelman G., Rothenberg F.G., Neltner B., Romig-Martin S.A., Dickson E.W., Rudich S., Weintraub N.L. Proinflammatory phenotype of perivascular adipocytes: influence of high-fat feeding. </w:t>
      </w:r>
      <w:r w:rsidRPr="007F5722">
        <w:rPr>
          <w:rFonts w:ascii="Times New Roman" w:eastAsia="Times New Roman" w:hAnsi="Times New Roman" w:cs="Times New Roman"/>
          <w:i/>
          <w:sz w:val="28"/>
          <w:szCs w:val="28"/>
          <w:lang w:val="en-US" w:eastAsia="ru-RU"/>
        </w:rPr>
        <w:t>Circ Res.</w:t>
      </w:r>
      <w:r w:rsidRPr="007F5722">
        <w:rPr>
          <w:rFonts w:ascii="Times New Roman" w:eastAsia="Times New Roman" w:hAnsi="Times New Roman" w:cs="Times New Roman"/>
          <w:sz w:val="28"/>
          <w:szCs w:val="28"/>
          <w:lang w:val="en-US" w:eastAsia="ru-RU"/>
        </w:rPr>
        <w:t xml:space="preserve"> 2009; 104:541–549. </w:t>
      </w:r>
      <w:r w:rsidRPr="007F5722">
        <w:rPr>
          <w:rStyle w:val="doi"/>
          <w:rFonts w:ascii="Times New Roman" w:eastAsia="Times New Roman" w:hAnsi="Times New Roman" w:cs="Times New Roman"/>
          <w:sz w:val="28"/>
          <w:szCs w:val="28"/>
          <w:lang w:val="en-US" w:eastAsia="ru-RU"/>
        </w:rPr>
        <w:t xml:space="preserve">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lastRenderedPageBreak/>
        <w:t>Ouchi N., Parker J.L., Lugus J.J., Walsh K. Adipokines in inflammation and metabolic disease. </w:t>
      </w:r>
      <w:r w:rsidRPr="007F5722">
        <w:rPr>
          <w:rFonts w:ascii="Times New Roman" w:eastAsia="Times New Roman" w:hAnsi="Times New Roman" w:cs="Times New Roman"/>
          <w:i/>
          <w:sz w:val="28"/>
          <w:szCs w:val="28"/>
          <w:lang w:val="en-US" w:eastAsia="ru-RU"/>
        </w:rPr>
        <w:t>Nat Rev Immunol.</w:t>
      </w:r>
      <w:r w:rsidRPr="007F5722">
        <w:rPr>
          <w:rFonts w:ascii="Times New Roman" w:eastAsia="Times New Roman" w:hAnsi="Times New Roman" w:cs="Times New Roman"/>
          <w:sz w:val="28"/>
          <w:szCs w:val="28"/>
          <w:lang w:val="en-US" w:eastAsia="ru-RU"/>
        </w:rPr>
        <w:t> 2011;</w:t>
      </w:r>
      <w:r w:rsidRPr="007F5722">
        <w:rPr>
          <w:rFonts w:ascii="Times New Roman" w:eastAsia="Times New Roman" w:hAnsi="Times New Roman" w:cs="Times New Roman"/>
          <w:sz w:val="28"/>
          <w:szCs w:val="28"/>
          <w:lang w:eastAsia="ru-RU"/>
        </w:rPr>
        <w:t xml:space="preserve"> </w:t>
      </w:r>
      <w:r w:rsidRPr="007F5722">
        <w:rPr>
          <w:rFonts w:ascii="Times New Roman" w:eastAsia="Times New Roman" w:hAnsi="Times New Roman" w:cs="Times New Roman"/>
          <w:sz w:val="28"/>
          <w:szCs w:val="28"/>
          <w:lang w:val="en-US" w:eastAsia="ru-RU"/>
        </w:rPr>
        <w:t>11:</w:t>
      </w:r>
      <w:r w:rsidRPr="007F5722">
        <w:rPr>
          <w:rFonts w:ascii="Times New Roman" w:eastAsia="Times New Roman" w:hAnsi="Times New Roman" w:cs="Times New Roman"/>
          <w:sz w:val="28"/>
          <w:szCs w:val="28"/>
          <w:lang w:eastAsia="ru-RU"/>
        </w:rPr>
        <w:t xml:space="preserve"> </w:t>
      </w:r>
      <w:r w:rsidRPr="007F5722">
        <w:rPr>
          <w:rFonts w:ascii="Times New Roman" w:eastAsia="Times New Roman" w:hAnsi="Times New Roman" w:cs="Times New Roman"/>
          <w:sz w:val="28"/>
          <w:szCs w:val="28"/>
          <w:lang w:val="en-US" w:eastAsia="ru-RU"/>
        </w:rPr>
        <w:t>85–97.</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Ouchi N, Kihara S, Funahashi T, Matsuzawa Y, Walsh K. Obesity, adiponectin and vascular inflammatory disease. </w:t>
      </w:r>
      <w:r w:rsidRPr="007F5722">
        <w:rPr>
          <w:rFonts w:ascii="Times New Roman" w:eastAsia="Times New Roman" w:hAnsi="Times New Roman" w:cs="Times New Roman"/>
          <w:i/>
          <w:sz w:val="28"/>
          <w:szCs w:val="28"/>
          <w:lang w:val="en-US" w:eastAsia="ru-RU"/>
        </w:rPr>
        <w:t>Curr Opin Lipidol.</w:t>
      </w:r>
      <w:r w:rsidRPr="007F5722">
        <w:rPr>
          <w:rFonts w:ascii="Times New Roman" w:eastAsia="Times New Roman" w:hAnsi="Times New Roman" w:cs="Times New Roman"/>
          <w:sz w:val="28"/>
          <w:szCs w:val="28"/>
          <w:lang w:val="en-US" w:eastAsia="ru-RU"/>
        </w:rPr>
        <w:t xml:space="preserve"> 2003; 14:561–566.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 xml:space="preserve">Berg A.H., Scherer P.E. Adipose tissue, inflammation, and cardiovascular disease. </w:t>
      </w:r>
      <w:r w:rsidRPr="007F5722">
        <w:rPr>
          <w:rFonts w:ascii="Times New Roman" w:eastAsia="Times New Roman" w:hAnsi="Times New Roman" w:cs="Times New Roman"/>
          <w:i/>
          <w:sz w:val="28"/>
          <w:szCs w:val="28"/>
          <w:lang w:val="en-US" w:eastAsia="ru-RU"/>
        </w:rPr>
        <w:t>Circ Res.</w:t>
      </w:r>
      <w:r w:rsidRPr="007F5722">
        <w:rPr>
          <w:rFonts w:ascii="Times New Roman" w:eastAsia="Times New Roman" w:hAnsi="Times New Roman" w:cs="Times New Roman"/>
          <w:sz w:val="28"/>
          <w:szCs w:val="28"/>
          <w:lang w:val="en-US" w:eastAsia="ru-RU"/>
        </w:rPr>
        <w:t xml:space="preserve"> 2005; 96:939–949.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Ouchi N., Higuchi A., Ohashi K., Oshima Y., Gokce N., Shibata R., Akasaki Y., Shimono A., Walsh K. Sfrp5 is an anti-inflammatory adipokine that modulates metabolic dysfunction in obesity. </w:t>
      </w:r>
      <w:r w:rsidRPr="007F5722">
        <w:rPr>
          <w:rFonts w:ascii="Times New Roman" w:eastAsia="Times New Roman" w:hAnsi="Times New Roman" w:cs="Times New Roman"/>
          <w:i/>
          <w:sz w:val="28"/>
          <w:szCs w:val="28"/>
          <w:lang w:val="en-US" w:eastAsia="ru-RU"/>
        </w:rPr>
        <w:t>Science.</w:t>
      </w:r>
      <w:r w:rsidRPr="007F5722">
        <w:rPr>
          <w:rFonts w:ascii="Times New Roman" w:eastAsia="Times New Roman" w:hAnsi="Times New Roman" w:cs="Times New Roman"/>
          <w:sz w:val="28"/>
          <w:szCs w:val="28"/>
          <w:lang w:val="en-US" w:eastAsia="ru-RU"/>
        </w:rPr>
        <w:t> 2010; 329:454–457.</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 xml:space="preserve">Renna N.F., Heras N., Miatello R.M. Pathophysiology of vascular remodeling in hypertension. </w:t>
      </w:r>
      <w:r w:rsidRPr="007F5722">
        <w:rPr>
          <w:rFonts w:ascii="Times New Roman" w:eastAsia="Times New Roman" w:hAnsi="Times New Roman" w:cs="Times New Roman"/>
          <w:i/>
          <w:sz w:val="28"/>
          <w:szCs w:val="28"/>
          <w:lang w:val="en-US" w:eastAsia="ru-RU"/>
        </w:rPr>
        <w:t>Int J of Hypertens</w:t>
      </w:r>
      <w:r w:rsidRPr="007F5722">
        <w:rPr>
          <w:rFonts w:ascii="Times New Roman" w:eastAsia="Times New Roman" w:hAnsi="Times New Roman" w:cs="Times New Roman"/>
          <w:sz w:val="28"/>
          <w:szCs w:val="28"/>
          <w:lang w:val="en-US" w:eastAsia="ru-RU"/>
        </w:rPr>
        <w:t>. 2013;</w:t>
      </w:r>
      <w:r w:rsidRPr="007F5722">
        <w:rPr>
          <w:rFonts w:ascii="Times New Roman" w:hAnsi="Times New Roman" w:cs="Times New Roman"/>
          <w:sz w:val="28"/>
          <w:szCs w:val="28"/>
          <w:shd w:val="clear" w:color="auto" w:fill="FFFFFF"/>
          <w:lang w:val="en-US"/>
        </w:rPr>
        <w:t xml:space="preserve"> 2013: doi: </w:t>
      </w:r>
      <w:hyperlink r:id="rId79" w:tgtFrame="pmc_ext" w:history="1">
        <w:r w:rsidRPr="007F5722">
          <w:rPr>
            <w:rFonts w:ascii="Times New Roman" w:hAnsi="Times New Roman" w:cs="Times New Roman"/>
            <w:sz w:val="28"/>
            <w:szCs w:val="28"/>
            <w:shd w:val="clear" w:color="auto" w:fill="FFFFFF"/>
            <w:lang w:val="en-US"/>
          </w:rPr>
          <w:t>10.1155/2013/808353</w:t>
        </w:r>
      </w:hyperlink>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Glagov S., Weisenberg E., Zarins C.K., Stankunavicius R., Kolettis G.J. Compensatory enlargement of human atherosclerotic coronary arteries. </w:t>
      </w:r>
      <w:r w:rsidRPr="007F5722">
        <w:rPr>
          <w:rFonts w:ascii="Times New Roman" w:eastAsia="Times New Roman" w:hAnsi="Times New Roman" w:cs="Times New Roman"/>
          <w:i/>
          <w:iCs/>
          <w:sz w:val="28"/>
          <w:szCs w:val="28"/>
          <w:lang w:val="en-US" w:eastAsia="ru-RU"/>
        </w:rPr>
        <w:t>The New England Journal of Medicine</w:t>
      </w:r>
      <w:r w:rsidRPr="007F5722">
        <w:rPr>
          <w:rFonts w:ascii="Times New Roman" w:eastAsia="Times New Roman" w:hAnsi="Times New Roman" w:cs="Times New Roman"/>
          <w:sz w:val="28"/>
          <w:szCs w:val="28"/>
          <w:lang w:val="en-US" w:eastAsia="ru-RU"/>
        </w:rPr>
        <w:t>. 1987; 316(22):1371–1375.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Feihl F, Liaudet L, Waeber B, Levy BI. Hypertension: a disease of the microcirculation? </w:t>
      </w:r>
      <w:r w:rsidRPr="007F5722">
        <w:rPr>
          <w:rFonts w:ascii="Times New Roman" w:eastAsia="Times New Roman" w:hAnsi="Times New Roman" w:cs="Times New Roman"/>
          <w:i/>
          <w:iCs/>
          <w:sz w:val="28"/>
          <w:szCs w:val="28"/>
          <w:lang w:val="en-US" w:eastAsia="ru-RU"/>
        </w:rPr>
        <w:t>Hypertension</w:t>
      </w:r>
      <w:r w:rsidRPr="007F5722">
        <w:rPr>
          <w:rFonts w:ascii="Times New Roman" w:eastAsia="Times New Roman" w:hAnsi="Times New Roman" w:cs="Times New Roman"/>
          <w:sz w:val="28"/>
          <w:szCs w:val="28"/>
          <w:lang w:val="en-US" w:eastAsia="ru-RU"/>
        </w:rPr>
        <w:t>. 2006;</w:t>
      </w:r>
      <w:r w:rsidRPr="007F5722">
        <w:rPr>
          <w:rFonts w:ascii="Times New Roman" w:eastAsia="Times New Roman" w:hAnsi="Times New Roman" w:cs="Times New Roman"/>
          <w:sz w:val="28"/>
          <w:szCs w:val="28"/>
          <w:lang w:eastAsia="ru-RU"/>
        </w:rPr>
        <w:t xml:space="preserve"> </w:t>
      </w:r>
      <w:r w:rsidRPr="007F5722">
        <w:rPr>
          <w:rFonts w:ascii="Times New Roman" w:eastAsia="Times New Roman" w:hAnsi="Times New Roman" w:cs="Times New Roman"/>
          <w:sz w:val="28"/>
          <w:szCs w:val="28"/>
          <w:lang w:val="en-US" w:eastAsia="ru-RU"/>
        </w:rPr>
        <w:t>48(6):1012–1017.</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 xml:space="preserve">Mulvany M.J. Small artery remodeling in hypertension. </w:t>
      </w:r>
      <w:r w:rsidRPr="007F5722">
        <w:rPr>
          <w:rFonts w:ascii="Times New Roman" w:eastAsia="Times New Roman" w:hAnsi="Times New Roman" w:cs="Times New Roman"/>
          <w:i/>
          <w:iCs/>
          <w:sz w:val="28"/>
          <w:szCs w:val="28"/>
          <w:lang w:val="en-US" w:eastAsia="ru-RU"/>
        </w:rPr>
        <w:t>Current Hypertension Reports</w:t>
      </w:r>
      <w:r w:rsidRPr="007F5722">
        <w:rPr>
          <w:rFonts w:ascii="Times New Roman" w:eastAsia="Times New Roman" w:hAnsi="Times New Roman" w:cs="Times New Roman"/>
          <w:sz w:val="28"/>
          <w:szCs w:val="28"/>
          <w:lang w:val="en-US" w:eastAsia="ru-RU"/>
        </w:rPr>
        <w:t>. 2002; 4(1):49–55.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 xml:space="preserve">Simon G. Pathogenesis of structural vascular changes in hypertension. </w:t>
      </w:r>
      <w:r w:rsidRPr="007F5722">
        <w:rPr>
          <w:rFonts w:ascii="Times New Roman" w:eastAsia="Times New Roman" w:hAnsi="Times New Roman" w:cs="Times New Roman"/>
          <w:i/>
          <w:iCs/>
          <w:sz w:val="28"/>
          <w:szCs w:val="28"/>
          <w:lang w:val="en-US" w:eastAsia="ru-RU"/>
        </w:rPr>
        <w:t>Journal of Hypertension</w:t>
      </w:r>
      <w:r w:rsidRPr="007F5722">
        <w:rPr>
          <w:rFonts w:ascii="Times New Roman" w:eastAsia="Times New Roman" w:hAnsi="Times New Roman" w:cs="Times New Roman"/>
          <w:sz w:val="28"/>
          <w:szCs w:val="28"/>
          <w:lang w:val="en-US" w:eastAsia="ru-RU"/>
        </w:rPr>
        <w:t>. 2004; 22(1):3–10.</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Ashcheulova T. V.</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 Honchar</w:t>
      </w:r>
      <w:r w:rsidRPr="007F5722">
        <w:rPr>
          <w:rFonts w:ascii="Times New Roman" w:hAnsi="Times New Roman" w:cs="Times New Roman"/>
          <w:sz w:val="28"/>
          <w:szCs w:val="28"/>
        </w:rPr>
        <w:t xml:space="preserve"> О</w:t>
      </w:r>
      <w:r w:rsidRPr="007F5722">
        <w:rPr>
          <w:rFonts w:ascii="Times New Roman" w:hAnsi="Times New Roman" w:cs="Times New Roman"/>
          <w:sz w:val="28"/>
          <w:szCs w:val="28"/>
          <w:lang w:val="en-US"/>
        </w:rPr>
        <w:t>, Smyrnova</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V, Gerasimchuk N, Ivanchenko S. Left ventricular remodeling in hypertension: evolution of the approach</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 xml:space="preserve"> </w:t>
      </w:r>
      <w:r w:rsidRPr="007F5722">
        <w:rPr>
          <w:rFonts w:ascii="Times New Roman" w:hAnsi="Times New Roman" w:cs="Times New Roman"/>
          <w:i/>
          <w:sz w:val="28"/>
          <w:szCs w:val="28"/>
          <w:lang w:val="en-US"/>
        </w:rPr>
        <w:t>Inter Collegas</w:t>
      </w:r>
      <w:r w:rsidRPr="007F5722">
        <w:rPr>
          <w:rFonts w:ascii="Times New Roman" w:hAnsi="Times New Roman" w:cs="Times New Roman"/>
          <w:sz w:val="28"/>
          <w:szCs w:val="28"/>
          <w:lang w:val="en-US"/>
        </w:rPr>
        <w:t>. 2017; 4 (1):10–14.</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Sack MN. Tumor necrosis factor-</w:t>
      </w:r>
      <w:r w:rsidRPr="007F5722">
        <w:rPr>
          <w:rFonts w:ascii="Times New Roman" w:eastAsia="Times New Roman" w:hAnsi="Times New Roman" w:cs="Times New Roman"/>
          <w:i/>
          <w:iCs/>
          <w:sz w:val="28"/>
          <w:szCs w:val="28"/>
          <w:lang w:eastAsia="ru-RU"/>
        </w:rPr>
        <w:t>α</w:t>
      </w:r>
      <w:r w:rsidRPr="007F5722">
        <w:rPr>
          <w:rFonts w:ascii="Times New Roman" w:eastAsia="Times New Roman" w:hAnsi="Times New Roman" w:cs="Times New Roman"/>
          <w:sz w:val="28"/>
          <w:szCs w:val="28"/>
          <w:lang w:val="en-US" w:eastAsia="ru-RU"/>
        </w:rPr>
        <w:t> in cardiovascular biology and the potential role for anti-tumor necrosis factor-</w:t>
      </w:r>
      <w:r w:rsidRPr="007F5722">
        <w:rPr>
          <w:rFonts w:ascii="Times New Roman" w:eastAsia="Times New Roman" w:hAnsi="Times New Roman" w:cs="Times New Roman"/>
          <w:i/>
          <w:iCs/>
          <w:sz w:val="28"/>
          <w:szCs w:val="28"/>
          <w:lang w:eastAsia="ru-RU"/>
        </w:rPr>
        <w:t>α</w:t>
      </w:r>
      <w:r w:rsidRPr="007F5722">
        <w:rPr>
          <w:rFonts w:ascii="Times New Roman" w:eastAsia="Times New Roman" w:hAnsi="Times New Roman" w:cs="Times New Roman"/>
          <w:sz w:val="28"/>
          <w:szCs w:val="28"/>
          <w:lang w:val="en-US" w:eastAsia="ru-RU"/>
        </w:rPr>
        <w:t> therapy in heart disease. </w:t>
      </w:r>
      <w:r w:rsidRPr="007F5722">
        <w:rPr>
          <w:rFonts w:ascii="Times New Roman" w:eastAsia="Times New Roman" w:hAnsi="Times New Roman" w:cs="Times New Roman"/>
          <w:i/>
          <w:iCs/>
          <w:sz w:val="28"/>
          <w:szCs w:val="28"/>
          <w:lang w:val="en-US" w:eastAsia="ru-RU"/>
        </w:rPr>
        <w:t>Pharmacology and Therapeutics</w:t>
      </w:r>
      <w:r w:rsidRPr="007F5722">
        <w:rPr>
          <w:rFonts w:ascii="Times New Roman" w:eastAsia="Times New Roman" w:hAnsi="Times New Roman" w:cs="Times New Roman"/>
          <w:sz w:val="28"/>
          <w:szCs w:val="28"/>
          <w:lang w:val="en-US" w:eastAsia="ru-RU"/>
        </w:rPr>
        <w:t>. 2002; 94(1-2):123–135.</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 xml:space="preserve">Patti G, Di Sciascio G, D’Ambrosio A, Dicuonzo G, Abbate A, Dobrina A. Prognostic value of interleukin-1 receptor antagonist in patients undergoing </w:t>
      </w:r>
      <w:r w:rsidRPr="007F5722">
        <w:rPr>
          <w:rFonts w:ascii="Times New Roman" w:eastAsia="Times New Roman" w:hAnsi="Times New Roman" w:cs="Times New Roman"/>
          <w:sz w:val="28"/>
          <w:szCs w:val="28"/>
          <w:lang w:val="en-US" w:eastAsia="ru-RU"/>
        </w:rPr>
        <w:lastRenderedPageBreak/>
        <w:t>percutaneous coronary intervention. </w:t>
      </w:r>
      <w:r w:rsidRPr="007F5722">
        <w:rPr>
          <w:rFonts w:ascii="Times New Roman" w:eastAsia="Times New Roman" w:hAnsi="Times New Roman" w:cs="Times New Roman"/>
          <w:i/>
          <w:iCs/>
          <w:sz w:val="28"/>
          <w:szCs w:val="28"/>
          <w:lang w:val="en-US" w:eastAsia="ru-RU"/>
        </w:rPr>
        <w:t>American Journal of Cardiology</w:t>
      </w:r>
      <w:r w:rsidRPr="007F5722">
        <w:rPr>
          <w:rFonts w:ascii="Times New Roman" w:eastAsia="Times New Roman" w:hAnsi="Times New Roman" w:cs="Times New Roman"/>
          <w:sz w:val="28"/>
          <w:szCs w:val="28"/>
          <w:lang w:val="en-US" w:eastAsia="ru-RU"/>
        </w:rPr>
        <w:t>. 2002;89(4):372–376.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Times New Roman" w:hAnsi="Times New Roman" w:cs="Times New Roman"/>
          <w:sz w:val="28"/>
          <w:szCs w:val="28"/>
          <w:lang w:val="en-US" w:eastAsia="ru-RU"/>
        </w:rPr>
        <w:t>Hernández-Rodríguez J, Segarra M, Vilardell C, et al. Elevated production of interleukin-6 is associated with a lower incidence of disease-related ischemic events in patients with giant-cell arteritis: angiogenic activity of interleukin-6 as a potential protective mechanism. </w:t>
      </w:r>
      <w:r w:rsidRPr="007F5722">
        <w:rPr>
          <w:rFonts w:ascii="Times New Roman" w:eastAsia="Times New Roman" w:hAnsi="Times New Roman" w:cs="Times New Roman"/>
          <w:i/>
          <w:iCs/>
          <w:sz w:val="28"/>
          <w:szCs w:val="28"/>
          <w:lang w:val="en-US" w:eastAsia="ru-RU"/>
        </w:rPr>
        <w:t>Circulation</w:t>
      </w:r>
      <w:r w:rsidRPr="007F5722">
        <w:rPr>
          <w:rFonts w:ascii="Times New Roman" w:eastAsia="Times New Roman" w:hAnsi="Times New Roman" w:cs="Times New Roman"/>
          <w:sz w:val="28"/>
          <w:szCs w:val="28"/>
          <w:lang w:val="en-US" w:eastAsia="ru-RU"/>
        </w:rPr>
        <w:t>. 2003;107(19):2428–2434.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sz w:val="28"/>
          <w:szCs w:val="28"/>
          <w:lang w:val="en-US"/>
        </w:rPr>
        <w:t>Ashcheulova T. TNF-alpha, IL-10, IL-6 serum activity in patients with obesity-associated arterial hypertension depend on bronchial obstruction presence</w:t>
      </w:r>
      <w:r w:rsidRPr="007F5722">
        <w:rPr>
          <w:rFonts w:ascii="Times New Roman" w:hAnsi="Times New Roman"/>
          <w:sz w:val="28"/>
          <w:szCs w:val="28"/>
        </w:rPr>
        <w:t>.</w:t>
      </w:r>
      <w:r w:rsidRPr="007F5722">
        <w:rPr>
          <w:rFonts w:ascii="Times New Roman" w:hAnsi="Times New Roman"/>
          <w:sz w:val="28"/>
          <w:szCs w:val="28"/>
          <w:lang w:val="en-US"/>
        </w:rPr>
        <w:t xml:space="preserve"> </w:t>
      </w:r>
      <w:r w:rsidRPr="007F5722">
        <w:rPr>
          <w:rFonts w:ascii="Times New Roman" w:hAnsi="Times New Roman"/>
          <w:i/>
          <w:sz w:val="28"/>
          <w:szCs w:val="28"/>
        </w:rPr>
        <w:t>2</w:t>
      </w:r>
      <w:r w:rsidRPr="007F5722">
        <w:rPr>
          <w:rFonts w:ascii="Times New Roman" w:hAnsi="Times New Roman"/>
          <w:i/>
          <w:sz w:val="28"/>
          <w:szCs w:val="28"/>
          <w:lang w:val="en-US"/>
        </w:rPr>
        <w:t>2nd European Meeting on Hypertension and Cardiovascular Protection. – London (Great Britain)</w:t>
      </w:r>
      <w:r w:rsidRPr="007F5722">
        <w:rPr>
          <w:rFonts w:ascii="Times New Roman" w:hAnsi="Times New Roman"/>
          <w:sz w:val="28"/>
          <w:szCs w:val="28"/>
          <w:lang w:val="en-US"/>
        </w:rPr>
        <w:t>. 2012</w:t>
      </w:r>
      <w:r w:rsidRPr="007F5722">
        <w:rPr>
          <w:rFonts w:ascii="Times New Roman" w:hAnsi="Times New Roman"/>
          <w:sz w:val="28"/>
          <w:szCs w:val="28"/>
        </w:rPr>
        <w:t xml:space="preserve">: </w:t>
      </w:r>
      <w:r w:rsidRPr="007F5722">
        <w:rPr>
          <w:rFonts w:ascii="Times New Roman" w:hAnsi="Times New Roman"/>
          <w:sz w:val="28"/>
          <w:szCs w:val="28"/>
          <w:lang w:val="en-US"/>
        </w:rPr>
        <w:t xml:space="preserve">618. </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sz w:val="28"/>
          <w:szCs w:val="28"/>
        </w:rPr>
        <w:t>Ащеулова Т.В. Інтерлейкінемія, артеріальна гіпертензія, що асоційована з предіабетом та цукровим діабетом 2 типу: Фокус на гендерні відмінності / Т.В. Ащеулова, О.М. Ковальова, М.А. Сайєд, А.Н. Абдель Нур // Український кардіологічний журнал. – 2014. - №6. – С.46-53.</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sz w:val="28"/>
          <w:szCs w:val="28"/>
        </w:rPr>
        <w:t>Segiet A, Smykiewicz P, Kwiatkowski P, Żera T. Tumour necrosis factor and interleukin 10 in blood pressure regulation in spontaneously hypertensive and normotensive rats.</w:t>
      </w:r>
      <w:r w:rsidRPr="007F5722">
        <w:rPr>
          <w:rFonts w:ascii="Times New Roman" w:hAnsi="Times New Roman"/>
          <w:sz w:val="28"/>
          <w:szCs w:val="28"/>
          <w:lang w:val="en-US"/>
        </w:rPr>
        <w:t xml:space="preserve"> </w:t>
      </w:r>
      <w:r w:rsidRPr="007F5722">
        <w:rPr>
          <w:rFonts w:ascii="Times New Roman" w:hAnsi="Times New Roman"/>
          <w:i/>
          <w:iCs/>
          <w:sz w:val="28"/>
          <w:szCs w:val="28"/>
        </w:rPr>
        <w:t>Cytokine</w:t>
      </w:r>
      <w:r w:rsidRPr="007F5722">
        <w:rPr>
          <w:rFonts w:ascii="Times New Roman" w:hAnsi="Times New Roman"/>
          <w:sz w:val="28"/>
          <w:szCs w:val="28"/>
        </w:rPr>
        <w:t>. 2019;113:185-194. doi:10.1016/j.cyto.2018.07.003.</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sz w:val="28"/>
          <w:szCs w:val="28"/>
        </w:rPr>
        <w:t>ESC</w:t>
      </w:r>
      <w:r w:rsidRPr="007F5722">
        <w:rPr>
          <w:rFonts w:ascii="Times New Roman" w:hAnsi="Times New Roman"/>
          <w:sz w:val="28"/>
          <w:szCs w:val="28"/>
          <w:lang w:val="en-US"/>
        </w:rPr>
        <w:t xml:space="preserve"> Authors/Task Force Members.</w:t>
      </w:r>
      <w:r w:rsidRPr="007F5722">
        <w:rPr>
          <w:rFonts w:ascii="Times New Roman" w:hAnsi="Times New Roman"/>
          <w:sz w:val="28"/>
          <w:szCs w:val="28"/>
        </w:rPr>
        <w:t xml:space="preserve"> 2013 ESH/ESC Guidelines for the management of arterial hypertension</w:t>
      </w:r>
      <w:r w:rsidRPr="007F5722">
        <w:rPr>
          <w:rFonts w:ascii="Times New Roman" w:hAnsi="Times New Roman"/>
          <w:sz w:val="28"/>
          <w:szCs w:val="28"/>
          <w:lang w:val="en-US"/>
        </w:rPr>
        <w:t>.</w:t>
      </w:r>
      <w:r w:rsidRPr="007F5722">
        <w:rPr>
          <w:rFonts w:ascii="Times New Roman" w:hAnsi="Times New Roman"/>
          <w:sz w:val="28"/>
          <w:szCs w:val="28"/>
        </w:rPr>
        <w:t xml:space="preserve"> </w:t>
      </w:r>
      <w:r w:rsidRPr="007F5722">
        <w:rPr>
          <w:rFonts w:ascii="Times New Roman" w:hAnsi="Times New Roman"/>
          <w:i/>
          <w:sz w:val="28"/>
          <w:szCs w:val="28"/>
        </w:rPr>
        <w:t>European Heart Journal</w:t>
      </w:r>
      <w:r w:rsidRPr="007F5722">
        <w:rPr>
          <w:rFonts w:ascii="Times New Roman" w:hAnsi="Times New Roman"/>
          <w:sz w:val="28"/>
          <w:szCs w:val="28"/>
          <w:lang w:val="en-US"/>
        </w:rPr>
        <w:t>.</w:t>
      </w:r>
      <w:r w:rsidRPr="007F5722">
        <w:rPr>
          <w:rFonts w:ascii="Times New Roman" w:hAnsi="Times New Roman"/>
          <w:sz w:val="28"/>
          <w:szCs w:val="28"/>
        </w:rPr>
        <w:t xml:space="preserve"> 2013</w:t>
      </w:r>
      <w:r w:rsidRPr="007F5722">
        <w:rPr>
          <w:rFonts w:ascii="Times New Roman" w:hAnsi="Times New Roman"/>
          <w:sz w:val="28"/>
          <w:szCs w:val="28"/>
          <w:lang w:val="en-US"/>
        </w:rPr>
        <w:t>;</w:t>
      </w:r>
      <w:r w:rsidRPr="007F5722">
        <w:rPr>
          <w:rFonts w:ascii="Times New Roman" w:hAnsi="Times New Roman"/>
          <w:sz w:val="28"/>
          <w:szCs w:val="28"/>
        </w:rPr>
        <w:t xml:space="preserve"> 34</w:t>
      </w:r>
      <w:r w:rsidRPr="007F5722">
        <w:rPr>
          <w:rFonts w:ascii="Times New Roman" w:hAnsi="Times New Roman"/>
          <w:sz w:val="28"/>
          <w:szCs w:val="28"/>
          <w:lang w:val="en-US"/>
        </w:rPr>
        <w:t>:</w:t>
      </w:r>
      <w:r w:rsidRPr="007F5722">
        <w:rPr>
          <w:rFonts w:ascii="Times New Roman" w:hAnsi="Times New Roman"/>
          <w:sz w:val="28"/>
          <w:szCs w:val="28"/>
        </w:rPr>
        <w:t xml:space="preserve"> </w:t>
      </w:r>
      <w:r w:rsidRPr="007F5722">
        <w:rPr>
          <w:rFonts w:ascii="Times New Roman" w:hAnsi="Times New Roman"/>
          <w:sz w:val="28"/>
          <w:szCs w:val="28"/>
          <w:lang w:val="en-US"/>
        </w:rPr>
        <w:t>2159</w:t>
      </w:r>
      <w:r w:rsidRPr="007F5722">
        <w:rPr>
          <w:rFonts w:ascii="Times New Roman" w:hAnsi="Times New Roman"/>
          <w:sz w:val="28"/>
          <w:szCs w:val="28"/>
          <w:lang w:val="en-US"/>
        </w:rPr>
        <w:noBreakHyphen/>
        <w:t>219</w:t>
      </w:r>
      <w:r w:rsidRPr="007F5722">
        <w:rPr>
          <w:rFonts w:ascii="Times New Roman" w:hAnsi="Times New Roman"/>
          <w:sz w:val="28"/>
          <w:szCs w:val="28"/>
        </w:rPr>
        <w:t>.</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bCs/>
          <w:sz w:val="28"/>
          <w:szCs w:val="28"/>
        </w:rPr>
        <w:t>Obesity: preventing and managing the global epidemic: report of a WHO consultation / WHO Geneva: WHO, 2000; 894: 253.</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rPr>
        <w:t>Робоча група з артеріальної гіпертензії Укр. асоц. кардіологів. Артеріальна гіпертензія. Оновлена та адаптована клінічна настанова, заснована на доказах (2012 рік): практичні рекомендації. Артериальная гипертензия. 2012</w:t>
      </w:r>
      <w:r w:rsidRPr="007F5722">
        <w:rPr>
          <w:rFonts w:ascii="Times New Roman" w:hAnsi="Times New Roman" w:cs="Times New Roman"/>
          <w:sz w:val="28"/>
          <w:szCs w:val="28"/>
          <w:lang w:val="en-US"/>
        </w:rPr>
        <w:t>;</w:t>
      </w:r>
      <w:r w:rsidRPr="007F5722">
        <w:rPr>
          <w:rFonts w:ascii="Times New Roman" w:hAnsi="Times New Roman" w:cs="Times New Roman"/>
          <w:sz w:val="28"/>
          <w:szCs w:val="28"/>
        </w:rPr>
        <w:t>1</w:t>
      </w:r>
      <w:r w:rsidRPr="007F5722">
        <w:rPr>
          <w:rFonts w:ascii="Times New Roman" w:hAnsi="Times New Roman" w:cs="Times New Roman"/>
          <w:sz w:val="28"/>
          <w:szCs w:val="28"/>
          <w:lang w:val="en-US"/>
        </w:rPr>
        <w:t>:</w:t>
      </w:r>
      <w:r w:rsidRPr="007F5722">
        <w:rPr>
          <w:rFonts w:ascii="Times New Roman" w:hAnsi="Times New Roman" w:cs="Times New Roman"/>
          <w:sz w:val="28"/>
          <w:szCs w:val="28"/>
        </w:rPr>
        <w:t>96-152.</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sz w:val="28"/>
          <w:szCs w:val="28"/>
        </w:rPr>
        <w:t xml:space="preserve">Du Bois, D., Du Bois Е. A formula to estimate the approximate surface area if height and weight be known. </w:t>
      </w:r>
      <w:r w:rsidRPr="007F5722">
        <w:rPr>
          <w:rFonts w:ascii="Times New Roman" w:hAnsi="Times New Roman"/>
          <w:i/>
          <w:sz w:val="28"/>
          <w:szCs w:val="28"/>
        </w:rPr>
        <w:t xml:space="preserve">Arch. Intern. Med. </w:t>
      </w:r>
      <w:r w:rsidRPr="007F5722">
        <w:rPr>
          <w:rFonts w:ascii="Times New Roman" w:hAnsi="Times New Roman"/>
          <w:sz w:val="28"/>
          <w:szCs w:val="28"/>
        </w:rPr>
        <w:t xml:space="preserve"> 1916; 17:863–871.</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sz w:val="28"/>
          <w:szCs w:val="28"/>
          <w:lang w:val="en-US"/>
        </w:rPr>
        <w:lastRenderedPageBreak/>
        <w:t>Waist Circumference and Waist–Hip Ratio: report of a WHO Expert Consultation / WHO. – Geneva: WHO, 2008; 39</w:t>
      </w:r>
      <w:r w:rsidRPr="007F5722">
        <w:rPr>
          <w:rFonts w:ascii="Times New Roman" w:hAnsi="Times New Roman"/>
          <w:sz w:val="28"/>
          <w:szCs w:val="28"/>
        </w:rPr>
        <w:t>.</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rPr>
        <w:t>Mach F, Baigent C, Catapano AL, et al. 2019 ESC/EAS Guidelines for the management of dyslipidaemias: lipid modification to reduce cardiovascular risk. </w:t>
      </w:r>
      <w:r w:rsidRPr="007F5722">
        <w:rPr>
          <w:rFonts w:ascii="Times New Roman" w:hAnsi="Times New Roman" w:cs="Times New Roman"/>
          <w:i/>
          <w:iCs/>
          <w:sz w:val="28"/>
          <w:szCs w:val="28"/>
        </w:rPr>
        <w:t>Eur Heart J</w:t>
      </w:r>
      <w:r w:rsidRPr="007F5722">
        <w:rPr>
          <w:rFonts w:ascii="Times New Roman" w:hAnsi="Times New Roman" w:cs="Times New Roman"/>
          <w:sz w:val="28"/>
          <w:szCs w:val="28"/>
        </w:rPr>
        <w:t>. 2020;41(1):111-188. doi:10.1093/eurheartj/ehz455.</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rPr>
        <w:t>Mitchell C, Rahko PS, Blauwet LA, et al. Guidelines for Performing a Comprehensive Transthoracic Echocardiographic Examination in Adults: Recommendations from the American Society of Echocardiography. </w:t>
      </w:r>
      <w:r w:rsidRPr="007F5722">
        <w:rPr>
          <w:rFonts w:ascii="Times New Roman" w:hAnsi="Times New Roman" w:cs="Times New Roman"/>
          <w:i/>
          <w:iCs/>
          <w:sz w:val="28"/>
          <w:szCs w:val="28"/>
        </w:rPr>
        <w:t>J Am Soc Echocardiogr</w:t>
      </w:r>
      <w:r w:rsidRPr="007F5722">
        <w:rPr>
          <w:rFonts w:ascii="Times New Roman" w:hAnsi="Times New Roman" w:cs="Times New Roman"/>
          <w:sz w:val="28"/>
          <w:szCs w:val="28"/>
        </w:rPr>
        <w:t>. 2019;32(1):1-64. doi:10.1016/j.echo.2018.06.004.</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rPr>
        <w:t>Halperin, Jonathan L., et al. "Further Evolution of the ACC/AHA Clinical Practice Guideline Recommendation Classification System: a Report of the American College of Cardiology/American Heart Association Task Force On Clinical Practice Guidelines." </w:t>
      </w:r>
      <w:r w:rsidRPr="007F5722">
        <w:rPr>
          <w:rFonts w:ascii="Times New Roman" w:hAnsi="Times New Roman" w:cs="Times New Roman"/>
          <w:i/>
          <w:iCs/>
          <w:sz w:val="28"/>
          <w:szCs w:val="28"/>
        </w:rPr>
        <w:t>Circulation, </w:t>
      </w:r>
      <w:r w:rsidRPr="007F5722">
        <w:rPr>
          <w:rFonts w:ascii="Times New Roman" w:hAnsi="Times New Roman" w:cs="Times New Roman"/>
          <w:sz w:val="28"/>
          <w:szCs w:val="28"/>
        </w:rPr>
        <w:t>vol. 133, no. 14, 2016, pp. 1426-8.</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rPr>
        <w:t>Arnett DK, Claas SA. Tracing and Assessing the Evolution of Clinical Guidelines. Journal of the American Heart Association. 2019 Oct;8(19):e014060. DOI: 10.1161/jaha.119.014060.</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rPr>
        <w:t>Pignoli</w:t>
      </w:r>
      <w:r w:rsidRPr="007F5722">
        <w:rPr>
          <w:rFonts w:ascii="Times New Roman" w:hAnsi="Times New Roman" w:cs="Times New Roman"/>
          <w:sz w:val="28"/>
          <w:szCs w:val="28"/>
          <w:lang w:val="en-US"/>
        </w:rPr>
        <w:t>,</w:t>
      </w:r>
      <w:r w:rsidRPr="007F5722">
        <w:rPr>
          <w:rFonts w:ascii="Times New Roman" w:hAnsi="Times New Roman" w:cs="Times New Roman"/>
          <w:sz w:val="28"/>
          <w:szCs w:val="28"/>
        </w:rPr>
        <w:t xml:space="preserve"> Р</w:t>
      </w:r>
      <w:r w:rsidRPr="007F5722">
        <w:rPr>
          <w:rFonts w:ascii="Times New Roman" w:hAnsi="Times New Roman" w:cs="Times New Roman"/>
          <w:sz w:val="28"/>
          <w:szCs w:val="28"/>
          <w:lang w:val="en-US"/>
        </w:rPr>
        <w:t>., Tremoli, E., Poli, A., Oreste, P., Paoletti, R. (1986).</w:t>
      </w:r>
      <w:r w:rsidRPr="007F5722">
        <w:rPr>
          <w:rFonts w:ascii="Times New Roman" w:hAnsi="Times New Roman" w:cs="Times New Roman"/>
          <w:sz w:val="28"/>
          <w:szCs w:val="28"/>
        </w:rPr>
        <w:t xml:space="preserve"> Intimal plus medial thickness of the arterial wall: a direct measurement with ultrasound imaging</w:t>
      </w:r>
      <w:r w:rsidRPr="007F5722">
        <w:rPr>
          <w:rFonts w:ascii="Times New Roman" w:hAnsi="Times New Roman" w:cs="Times New Roman"/>
          <w:sz w:val="28"/>
          <w:szCs w:val="28"/>
          <w:lang w:val="en-US"/>
        </w:rPr>
        <w:t>.</w:t>
      </w:r>
      <w:r w:rsidRPr="007F5722">
        <w:rPr>
          <w:rFonts w:ascii="Times New Roman" w:hAnsi="Times New Roman" w:cs="Times New Roman"/>
          <w:sz w:val="28"/>
          <w:szCs w:val="28"/>
        </w:rPr>
        <w:t xml:space="preserve"> Circulation</w:t>
      </w:r>
      <w:r w:rsidRPr="007F5722">
        <w:rPr>
          <w:rFonts w:ascii="Times New Roman" w:hAnsi="Times New Roman" w:cs="Times New Roman"/>
          <w:sz w:val="28"/>
          <w:szCs w:val="28"/>
          <w:lang w:val="en-US"/>
        </w:rPr>
        <w:t xml:space="preserve">, </w:t>
      </w:r>
      <w:r w:rsidRPr="007F5722">
        <w:rPr>
          <w:rFonts w:ascii="Times New Roman" w:hAnsi="Times New Roman" w:cs="Times New Roman"/>
          <w:sz w:val="28"/>
          <w:szCs w:val="28"/>
        </w:rPr>
        <w:t>74</w:t>
      </w:r>
      <w:r w:rsidRPr="007F5722">
        <w:rPr>
          <w:rFonts w:ascii="Times New Roman" w:hAnsi="Times New Roman" w:cs="Times New Roman"/>
          <w:sz w:val="28"/>
          <w:szCs w:val="28"/>
          <w:lang w:val="en-US"/>
        </w:rPr>
        <w:t xml:space="preserve">, </w:t>
      </w:r>
      <w:r w:rsidRPr="007F5722">
        <w:rPr>
          <w:rFonts w:ascii="Times New Roman" w:hAnsi="Times New Roman" w:cs="Times New Roman"/>
          <w:sz w:val="28"/>
          <w:szCs w:val="28"/>
        </w:rPr>
        <w:t>1399-1406.</w:t>
      </w:r>
    </w:p>
    <w:p w:rsidR="007F5722" w:rsidRPr="007F5722" w:rsidRDefault="000B5F47" w:rsidP="007F5722">
      <w:pPr>
        <w:pStyle w:val="a8"/>
        <w:numPr>
          <w:ilvl w:val="0"/>
          <w:numId w:val="25"/>
        </w:numPr>
        <w:spacing w:after="0" w:line="360" w:lineRule="auto"/>
        <w:ind w:left="0" w:firstLine="357"/>
        <w:jc w:val="both"/>
        <w:rPr>
          <w:rFonts w:ascii="Times New Roman" w:hAnsi="Times New Roman" w:cs="Times New Roman"/>
          <w:sz w:val="28"/>
          <w:szCs w:val="28"/>
        </w:rPr>
      </w:pPr>
      <w:hyperlink r:id="rId80" w:history="1">
        <w:r w:rsidR="007F5722" w:rsidRPr="007F5722">
          <w:rPr>
            <w:rStyle w:val="aa"/>
            <w:rFonts w:ascii="Times New Roman" w:hAnsi="Times New Roman" w:cs="Times New Roman"/>
            <w:color w:val="auto"/>
            <w:sz w:val="28"/>
            <w:szCs w:val="28"/>
            <w:u w:val="none"/>
            <w:shd w:val="clear" w:color="auto" w:fill="FFFFFF"/>
          </w:rPr>
          <w:t>Laurent, S</w:t>
        </w:r>
      </w:hyperlink>
      <w:r w:rsidR="007F5722" w:rsidRPr="007F5722">
        <w:rPr>
          <w:rFonts w:ascii="Times New Roman" w:hAnsi="Times New Roman"/>
          <w:sz w:val="28"/>
          <w:szCs w:val="28"/>
          <w:lang w:val="en-US"/>
        </w:rPr>
        <w:t>.</w:t>
      </w:r>
      <w:r w:rsidR="007F5722" w:rsidRPr="007F5722">
        <w:rPr>
          <w:rFonts w:ascii="Times New Roman" w:hAnsi="Times New Roman" w:cs="Times New Roman"/>
          <w:sz w:val="28"/>
          <w:szCs w:val="28"/>
          <w:shd w:val="clear" w:color="auto" w:fill="FFFFFF"/>
          <w:lang w:val="en-US"/>
        </w:rPr>
        <w:t>,</w:t>
      </w:r>
      <w:r w:rsidR="007F5722" w:rsidRPr="007F5722">
        <w:rPr>
          <w:rStyle w:val="apple-converted-space"/>
          <w:rFonts w:ascii="Times New Roman" w:hAnsi="Times New Roman"/>
          <w:sz w:val="28"/>
          <w:szCs w:val="28"/>
          <w:shd w:val="clear" w:color="auto" w:fill="FFFFFF"/>
          <w:lang w:val="en-US"/>
        </w:rPr>
        <w:t xml:space="preserve"> </w:t>
      </w:r>
      <w:hyperlink r:id="rId81" w:history="1">
        <w:r w:rsidR="007F5722" w:rsidRPr="007F5722">
          <w:rPr>
            <w:rStyle w:val="aa"/>
            <w:rFonts w:ascii="Times New Roman" w:hAnsi="Times New Roman" w:cs="Times New Roman"/>
            <w:color w:val="auto"/>
            <w:sz w:val="28"/>
            <w:szCs w:val="28"/>
            <w:u w:val="none"/>
            <w:shd w:val="clear" w:color="auto" w:fill="FFFFFF"/>
          </w:rPr>
          <w:t>Cockcroft, J</w:t>
        </w:r>
      </w:hyperlink>
      <w:r w:rsidR="007F5722" w:rsidRPr="007F5722">
        <w:rPr>
          <w:rFonts w:ascii="Times New Roman" w:hAnsi="Times New Roman"/>
          <w:sz w:val="28"/>
          <w:szCs w:val="28"/>
          <w:lang w:val="en-US"/>
        </w:rPr>
        <w:t>.</w:t>
      </w:r>
      <w:r w:rsidR="007F5722" w:rsidRPr="007F5722">
        <w:rPr>
          <w:rFonts w:ascii="Times New Roman" w:hAnsi="Times New Roman" w:cs="Times New Roman"/>
          <w:sz w:val="28"/>
          <w:szCs w:val="28"/>
          <w:shd w:val="clear" w:color="auto" w:fill="FFFFFF"/>
          <w:lang w:val="en-US"/>
        </w:rPr>
        <w:t>,</w:t>
      </w:r>
      <w:r w:rsidR="007F5722" w:rsidRPr="007F5722">
        <w:rPr>
          <w:rStyle w:val="apple-converted-space"/>
          <w:rFonts w:ascii="Times New Roman" w:hAnsi="Times New Roman"/>
          <w:sz w:val="28"/>
          <w:szCs w:val="28"/>
          <w:shd w:val="clear" w:color="auto" w:fill="FFFFFF"/>
          <w:lang w:val="en-US"/>
        </w:rPr>
        <w:t xml:space="preserve"> </w:t>
      </w:r>
      <w:hyperlink r:id="rId82" w:history="1">
        <w:r w:rsidR="007F5722" w:rsidRPr="007F5722">
          <w:rPr>
            <w:rStyle w:val="aa"/>
            <w:rFonts w:ascii="Times New Roman" w:hAnsi="Times New Roman" w:cs="Times New Roman"/>
            <w:color w:val="auto"/>
            <w:sz w:val="28"/>
            <w:szCs w:val="28"/>
            <w:u w:val="none"/>
            <w:shd w:val="clear" w:color="auto" w:fill="FFFFFF"/>
          </w:rPr>
          <w:t>Van Bortel, L</w:t>
        </w:r>
      </w:hyperlink>
      <w:r w:rsidR="007F5722" w:rsidRPr="007F5722">
        <w:rPr>
          <w:rFonts w:ascii="Times New Roman" w:hAnsi="Times New Roman"/>
          <w:sz w:val="28"/>
          <w:szCs w:val="28"/>
          <w:lang w:val="en-US"/>
        </w:rPr>
        <w:t>.</w:t>
      </w:r>
      <w:r w:rsidR="007F5722" w:rsidRPr="007F5722">
        <w:rPr>
          <w:rFonts w:ascii="Times New Roman" w:hAnsi="Times New Roman" w:cs="Times New Roman"/>
          <w:sz w:val="28"/>
          <w:szCs w:val="28"/>
          <w:shd w:val="clear" w:color="auto" w:fill="FFFFFF"/>
          <w:lang w:val="en-US"/>
        </w:rPr>
        <w:t>,</w:t>
      </w:r>
      <w:r w:rsidR="007F5722" w:rsidRPr="007F5722">
        <w:rPr>
          <w:rStyle w:val="apple-converted-space"/>
          <w:rFonts w:ascii="Times New Roman" w:hAnsi="Times New Roman"/>
          <w:sz w:val="28"/>
          <w:szCs w:val="28"/>
          <w:shd w:val="clear" w:color="auto" w:fill="FFFFFF"/>
          <w:lang w:val="en-US"/>
        </w:rPr>
        <w:t xml:space="preserve"> </w:t>
      </w:r>
      <w:hyperlink r:id="rId83" w:history="1">
        <w:r w:rsidR="007F5722" w:rsidRPr="007F5722">
          <w:rPr>
            <w:rStyle w:val="aa"/>
            <w:rFonts w:ascii="Times New Roman" w:hAnsi="Times New Roman" w:cs="Times New Roman"/>
            <w:color w:val="auto"/>
            <w:sz w:val="28"/>
            <w:szCs w:val="28"/>
            <w:u w:val="none"/>
            <w:shd w:val="clear" w:color="auto" w:fill="FFFFFF"/>
          </w:rPr>
          <w:t>Boutouyrie, P</w:t>
        </w:r>
      </w:hyperlink>
      <w:r w:rsidR="007F5722" w:rsidRPr="007F5722">
        <w:rPr>
          <w:rFonts w:ascii="Times New Roman" w:hAnsi="Times New Roman"/>
          <w:sz w:val="28"/>
          <w:szCs w:val="28"/>
          <w:lang w:val="en-US"/>
        </w:rPr>
        <w:t>.</w:t>
      </w:r>
      <w:r w:rsidR="007F5722" w:rsidRPr="007F5722">
        <w:rPr>
          <w:rFonts w:ascii="Times New Roman" w:hAnsi="Times New Roman" w:cs="Times New Roman"/>
          <w:sz w:val="28"/>
          <w:szCs w:val="28"/>
          <w:shd w:val="clear" w:color="auto" w:fill="FFFFFF"/>
          <w:lang w:val="en-US"/>
        </w:rPr>
        <w:t>,</w:t>
      </w:r>
      <w:r w:rsidR="007F5722" w:rsidRPr="007F5722">
        <w:rPr>
          <w:rStyle w:val="apple-converted-space"/>
          <w:rFonts w:ascii="Times New Roman" w:hAnsi="Times New Roman"/>
          <w:sz w:val="28"/>
          <w:szCs w:val="28"/>
          <w:shd w:val="clear" w:color="auto" w:fill="FFFFFF"/>
          <w:lang w:val="en-US"/>
        </w:rPr>
        <w:t xml:space="preserve"> </w:t>
      </w:r>
      <w:hyperlink r:id="rId84" w:history="1">
        <w:r w:rsidR="007F5722" w:rsidRPr="007F5722">
          <w:rPr>
            <w:rStyle w:val="aa"/>
            <w:rFonts w:ascii="Times New Roman" w:hAnsi="Times New Roman" w:cs="Times New Roman"/>
            <w:color w:val="auto"/>
            <w:sz w:val="28"/>
            <w:szCs w:val="28"/>
            <w:u w:val="none"/>
            <w:shd w:val="clear" w:color="auto" w:fill="FFFFFF"/>
          </w:rPr>
          <w:t>Giannattasio, C</w:t>
        </w:r>
      </w:hyperlink>
      <w:r w:rsidR="007F5722" w:rsidRPr="007F5722">
        <w:rPr>
          <w:rFonts w:ascii="Times New Roman" w:hAnsi="Times New Roman"/>
          <w:sz w:val="28"/>
          <w:szCs w:val="28"/>
          <w:lang w:val="en-US"/>
        </w:rPr>
        <w:t>.</w:t>
      </w:r>
      <w:r w:rsidR="007F5722" w:rsidRPr="007F5722">
        <w:rPr>
          <w:rFonts w:ascii="Times New Roman" w:hAnsi="Times New Roman" w:cs="Times New Roman"/>
          <w:sz w:val="28"/>
          <w:szCs w:val="28"/>
          <w:shd w:val="clear" w:color="auto" w:fill="FFFFFF"/>
          <w:lang w:val="en-US"/>
        </w:rPr>
        <w:t>,</w:t>
      </w:r>
      <w:r w:rsidR="007F5722" w:rsidRPr="007F5722">
        <w:rPr>
          <w:rStyle w:val="apple-converted-space"/>
          <w:rFonts w:ascii="Times New Roman" w:hAnsi="Times New Roman"/>
          <w:sz w:val="28"/>
          <w:szCs w:val="28"/>
          <w:shd w:val="clear" w:color="auto" w:fill="FFFFFF"/>
          <w:lang w:val="en-US"/>
        </w:rPr>
        <w:t xml:space="preserve"> </w:t>
      </w:r>
      <w:hyperlink r:id="rId85" w:history="1">
        <w:r w:rsidR="007F5722" w:rsidRPr="007F5722">
          <w:rPr>
            <w:rStyle w:val="aa"/>
            <w:rFonts w:ascii="Times New Roman" w:hAnsi="Times New Roman" w:cs="Times New Roman"/>
            <w:color w:val="auto"/>
            <w:sz w:val="28"/>
            <w:szCs w:val="28"/>
            <w:u w:val="none"/>
            <w:shd w:val="clear" w:color="auto" w:fill="FFFFFF"/>
          </w:rPr>
          <w:t>Hayoz, D</w:t>
        </w:r>
      </w:hyperlink>
      <w:r w:rsidR="007F5722" w:rsidRPr="007F5722">
        <w:rPr>
          <w:rFonts w:ascii="Times New Roman" w:hAnsi="Times New Roman"/>
          <w:sz w:val="28"/>
          <w:szCs w:val="28"/>
          <w:lang w:val="en-US"/>
        </w:rPr>
        <w:t>.</w:t>
      </w:r>
      <w:r w:rsidR="007F5722" w:rsidRPr="007F5722">
        <w:rPr>
          <w:rFonts w:ascii="Times New Roman" w:hAnsi="Times New Roman" w:cs="Times New Roman"/>
          <w:sz w:val="28"/>
          <w:szCs w:val="28"/>
          <w:shd w:val="clear" w:color="auto" w:fill="FFFFFF"/>
          <w:lang w:val="en-US"/>
        </w:rPr>
        <w:t>,</w:t>
      </w:r>
      <w:r w:rsidR="007F5722" w:rsidRPr="007F5722">
        <w:rPr>
          <w:rStyle w:val="apple-converted-space"/>
          <w:rFonts w:ascii="Times New Roman" w:hAnsi="Times New Roman"/>
          <w:sz w:val="28"/>
          <w:szCs w:val="28"/>
          <w:shd w:val="clear" w:color="auto" w:fill="FFFFFF"/>
          <w:lang w:val="en-US"/>
        </w:rPr>
        <w:t xml:space="preserve"> </w:t>
      </w:r>
      <w:hyperlink r:id="rId86" w:history="1">
        <w:r w:rsidR="007F5722" w:rsidRPr="007F5722">
          <w:rPr>
            <w:rStyle w:val="aa"/>
            <w:rFonts w:ascii="Times New Roman" w:hAnsi="Times New Roman" w:cs="Times New Roman"/>
            <w:color w:val="auto"/>
            <w:sz w:val="28"/>
            <w:szCs w:val="28"/>
            <w:u w:val="none"/>
            <w:shd w:val="clear" w:color="auto" w:fill="FFFFFF"/>
          </w:rPr>
          <w:t>Struijker-Boudier, H</w:t>
        </w:r>
      </w:hyperlink>
      <w:r w:rsidR="007F5722" w:rsidRPr="007F5722">
        <w:rPr>
          <w:rFonts w:ascii="Times New Roman" w:hAnsi="Times New Roman"/>
          <w:sz w:val="28"/>
          <w:szCs w:val="28"/>
          <w:lang w:val="en-US"/>
        </w:rPr>
        <w:t xml:space="preserve">. (2006). </w:t>
      </w:r>
      <w:r w:rsidR="007F5722" w:rsidRPr="007F5722">
        <w:rPr>
          <w:rFonts w:ascii="Times New Roman" w:hAnsi="Times New Roman"/>
          <w:sz w:val="28"/>
          <w:szCs w:val="28"/>
        </w:rPr>
        <w:t>Expert consensus document on arterial stiffness: methodological issues and clinical applications</w:t>
      </w:r>
      <w:r w:rsidR="007F5722" w:rsidRPr="007F5722">
        <w:rPr>
          <w:rFonts w:ascii="Times New Roman" w:hAnsi="Times New Roman"/>
          <w:sz w:val="28"/>
          <w:szCs w:val="28"/>
          <w:lang w:val="en-US"/>
        </w:rPr>
        <w:t>.</w:t>
      </w:r>
      <w:r w:rsidR="007F5722" w:rsidRPr="007F5722">
        <w:rPr>
          <w:rFonts w:ascii="Times New Roman" w:hAnsi="Times New Roman"/>
          <w:sz w:val="28"/>
          <w:szCs w:val="28"/>
        </w:rPr>
        <w:t xml:space="preserve"> Eur</w:t>
      </w:r>
      <w:r w:rsidR="007F5722" w:rsidRPr="007F5722">
        <w:rPr>
          <w:rFonts w:ascii="Times New Roman" w:hAnsi="Times New Roman"/>
          <w:sz w:val="28"/>
          <w:szCs w:val="28"/>
          <w:lang w:val="en-US"/>
        </w:rPr>
        <w:t>opean</w:t>
      </w:r>
      <w:r w:rsidR="007F5722" w:rsidRPr="007F5722">
        <w:rPr>
          <w:rFonts w:ascii="Times New Roman" w:hAnsi="Times New Roman"/>
          <w:sz w:val="28"/>
          <w:szCs w:val="28"/>
        </w:rPr>
        <w:t xml:space="preserve"> Heart J</w:t>
      </w:r>
      <w:r w:rsidR="007F5722" w:rsidRPr="007F5722">
        <w:rPr>
          <w:rFonts w:ascii="Times New Roman" w:hAnsi="Times New Roman"/>
          <w:sz w:val="28"/>
          <w:szCs w:val="28"/>
          <w:lang w:val="en-US"/>
        </w:rPr>
        <w:t>ournal,</w:t>
      </w:r>
      <w:r w:rsidR="007F5722" w:rsidRPr="007F5722">
        <w:rPr>
          <w:rFonts w:ascii="Times New Roman" w:hAnsi="Times New Roman"/>
          <w:sz w:val="28"/>
          <w:szCs w:val="28"/>
        </w:rPr>
        <w:t xml:space="preserve"> 27</w:t>
      </w:r>
      <w:r w:rsidR="007F5722" w:rsidRPr="007F5722">
        <w:rPr>
          <w:rFonts w:ascii="Times New Roman" w:hAnsi="Times New Roman"/>
          <w:sz w:val="28"/>
          <w:szCs w:val="28"/>
          <w:lang w:val="en-US"/>
        </w:rPr>
        <w:t xml:space="preserve">, </w:t>
      </w:r>
      <w:r w:rsidR="007F5722" w:rsidRPr="007F5722">
        <w:rPr>
          <w:rFonts w:ascii="Times New Roman" w:hAnsi="Times New Roman"/>
          <w:sz w:val="28"/>
          <w:szCs w:val="28"/>
        </w:rPr>
        <w:t>2588-2605.</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sz w:val="28"/>
          <w:szCs w:val="28"/>
          <w:lang w:val="en-US"/>
        </w:rPr>
        <w:t>Docenko</w:t>
      </w:r>
      <w:r w:rsidRPr="007F5722">
        <w:rPr>
          <w:rFonts w:ascii="Times New Roman" w:hAnsi="Times New Roman"/>
          <w:sz w:val="28"/>
          <w:szCs w:val="28"/>
        </w:rPr>
        <w:t xml:space="preserve">, </w:t>
      </w:r>
      <w:r w:rsidRPr="007F5722">
        <w:rPr>
          <w:rFonts w:ascii="Times New Roman" w:hAnsi="Times New Roman"/>
          <w:sz w:val="28"/>
          <w:szCs w:val="28"/>
          <w:lang w:val="en-US"/>
        </w:rPr>
        <w:t>N</w:t>
      </w:r>
      <w:r w:rsidRPr="007F5722">
        <w:rPr>
          <w:rFonts w:ascii="Times New Roman" w:hAnsi="Times New Roman"/>
          <w:sz w:val="28"/>
          <w:szCs w:val="28"/>
        </w:rPr>
        <w:t>.</w:t>
      </w:r>
      <w:r w:rsidRPr="007F5722">
        <w:rPr>
          <w:rFonts w:ascii="Times New Roman" w:hAnsi="Times New Roman"/>
          <w:sz w:val="28"/>
          <w:szCs w:val="28"/>
          <w:lang w:val="en-US"/>
        </w:rPr>
        <w:t>Ja</w:t>
      </w:r>
      <w:r w:rsidRPr="007F5722">
        <w:rPr>
          <w:rFonts w:ascii="Times New Roman" w:hAnsi="Times New Roman"/>
          <w:sz w:val="28"/>
          <w:szCs w:val="28"/>
        </w:rPr>
        <w:t xml:space="preserve">., </w:t>
      </w:r>
      <w:r w:rsidRPr="007F5722">
        <w:rPr>
          <w:rFonts w:ascii="Times New Roman" w:hAnsi="Times New Roman"/>
          <w:sz w:val="28"/>
          <w:szCs w:val="28"/>
          <w:lang w:val="en-US"/>
        </w:rPr>
        <w:t>Docenko</w:t>
      </w:r>
      <w:r w:rsidRPr="007F5722">
        <w:rPr>
          <w:rFonts w:ascii="Times New Roman" w:hAnsi="Times New Roman"/>
          <w:sz w:val="28"/>
          <w:szCs w:val="28"/>
        </w:rPr>
        <w:t xml:space="preserve">, </w:t>
      </w:r>
      <w:r w:rsidRPr="007F5722">
        <w:rPr>
          <w:rFonts w:ascii="Times New Roman" w:hAnsi="Times New Roman"/>
          <w:sz w:val="28"/>
          <w:szCs w:val="28"/>
          <w:lang w:val="en-US"/>
        </w:rPr>
        <w:t>S</w:t>
      </w:r>
      <w:r w:rsidRPr="007F5722">
        <w:rPr>
          <w:rFonts w:ascii="Times New Roman" w:hAnsi="Times New Roman"/>
          <w:sz w:val="28"/>
          <w:szCs w:val="28"/>
        </w:rPr>
        <w:t>.</w:t>
      </w:r>
      <w:r w:rsidRPr="007F5722">
        <w:rPr>
          <w:rFonts w:ascii="Times New Roman" w:hAnsi="Times New Roman"/>
          <w:sz w:val="28"/>
          <w:szCs w:val="28"/>
          <w:lang w:val="en-US"/>
        </w:rPr>
        <w:t>Ja</w:t>
      </w:r>
      <w:r w:rsidRPr="007F5722">
        <w:rPr>
          <w:rFonts w:ascii="Times New Roman" w:hAnsi="Times New Roman"/>
          <w:sz w:val="28"/>
          <w:szCs w:val="28"/>
        </w:rPr>
        <w:t xml:space="preserve">., </w:t>
      </w:r>
      <w:r w:rsidRPr="007F5722">
        <w:rPr>
          <w:rFonts w:ascii="Times New Roman" w:hAnsi="Times New Roman"/>
          <w:sz w:val="28"/>
          <w:szCs w:val="28"/>
          <w:lang w:val="en-US"/>
        </w:rPr>
        <w:t>Porada</w:t>
      </w:r>
      <w:r w:rsidRPr="007F5722">
        <w:rPr>
          <w:rFonts w:ascii="Times New Roman" w:hAnsi="Times New Roman"/>
          <w:sz w:val="28"/>
          <w:szCs w:val="28"/>
        </w:rPr>
        <w:t xml:space="preserve">, </w:t>
      </w:r>
      <w:r w:rsidRPr="007F5722">
        <w:rPr>
          <w:rFonts w:ascii="Times New Roman" w:hAnsi="Times New Roman"/>
          <w:sz w:val="28"/>
          <w:szCs w:val="28"/>
          <w:lang w:val="en-US"/>
        </w:rPr>
        <w:t>L</w:t>
      </w:r>
      <w:r w:rsidRPr="007F5722">
        <w:rPr>
          <w:rFonts w:ascii="Times New Roman" w:hAnsi="Times New Roman"/>
          <w:sz w:val="28"/>
          <w:szCs w:val="28"/>
        </w:rPr>
        <w:t>.</w:t>
      </w:r>
      <w:r w:rsidRPr="007F5722">
        <w:rPr>
          <w:rFonts w:ascii="Times New Roman" w:hAnsi="Times New Roman"/>
          <w:sz w:val="28"/>
          <w:szCs w:val="28"/>
          <w:lang w:val="en-US"/>
        </w:rPr>
        <w:t>V</w:t>
      </w:r>
      <w:r w:rsidRPr="007F5722">
        <w:rPr>
          <w:rFonts w:ascii="Times New Roman" w:hAnsi="Times New Roman"/>
          <w:sz w:val="28"/>
          <w:szCs w:val="28"/>
        </w:rPr>
        <w:t xml:space="preserve">. (2011). </w:t>
      </w:r>
      <w:r w:rsidRPr="007F5722">
        <w:rPr>
          <w:rFonts w:ascii="Times New Roman" w:hAnsi="Times New Roman"/>
          <w:sz w:val="28"/>
          <w:szCs w:val="28"/>
          <w:lang w:val="en-US"/>
        </w:rPr>
        <w:t>Tehnicheskie</w:t>
      </w:r>
      <w:r w:rsidRPr="007F5722">
        <w:rPr>
          <w:rFonts w:ascii="Times New Roman" w:hAnsi="Times New Roman"/>
          <w:sz w:val="28"/>
          <w:szCs w:val="28"/>
        </w:rPr>
        <w:t xml:space="preserve"> </w:t>
      </w:r>
      <w:r w:rsidRPr="007F5722">
        <w:rPr>
          <w:rFonts w:ascii="Times New Roman" w:hAnsi="Times New Roman"/>
          <w:sz w:val="28"/>
          <w:szCs w:val="28"/>
          <w:lang w:val="en-US"/>
        </w:rPr>
        <w:t>vozmozhnosti</w:t>
      </w:r>
      <w:r w:rsidRPr="007F5722">
        <w:rPr>
          <w:rFonts w:ascii="Times New Roman" w:hAnsi="Times New Roman"/>
          <w:sz w:val="28"/>
          <w:szCs w:val="28"/>
        </w:rPr>
        <w:t xml:space="preserve"> </w:t>
      </w:r>
      <w:r w:rsidRPr="007F5722">
        <w:rPr>
          <w:rFonts w:ascii="Times New Roman" w:hAnsi="Times New Roman"/>
          <w:sz w:val="28"/>
          <w:szCs w:val="28"/>
          <w:lang w:val="en-US"/>
        </w:rPr>
        <w:t>issledovanija</w:t>
      </w:r>
      <w:r w:rsidRPr="007F5722">
        <w:rPr>
          <w:rFonts w:ascii="Times New Roman" w:hAnsi="Times New Roman"/>
          <w:sz w:val="28"/>
          <w:szCs w:val="28"/>
        </w:rPr>
        <w:t xml:space="preserve"> </w:t>
      </w:r>
      <w:r w:rsidRPr="007F5722">
        <w:rPr>
          <w:rFonts w:ascii="Times New Roman" w:hAnsi="Times New Roman"/>
          <w:sz w:val="28"/>
          <w:szCs w:val="28"/>
          <w:lang w:val="en-US"/>
        </w:rPr>
        <w:t>uprugojelasticheskih</w:t>
      </w:r>
      <w:r w:rsidRPr="007F5722">
        <w:rPr>
          <w:rFonts w:ascii="Times New Roman" w:hAnsi="Times New Roman"/>
          <w:sz w:val="28"/>
          <w:szCs w:val="28"/>
        </w:rPr>
        <w:t xml:space="preserve"> </w:t>
      </w:r>
      <w:r w:rsidRPr="007F5722">
        <w:rPr>
          <w:rFonts w:ascii="Times New Roman" w:hAnsi="Times New Roman"/>
          <w:sz w:val="28"/>
          <w:szCs w:val="28"/>
          <w:lang w:val="en-US"/>
        </w:rPr>
        <w:t>svojstv</w:t>
      </w:r>
      <w:r w:rsidRPr="007F5722">
        <w:rPr>
          <w:rFonts w:ascii="Times New Roman" w:hAnsi="Times New Roman"/>
          <w:sz w:val="28"/>
          <w:szCs w:val="28"/>
        </w:rPr>
        <w:t xml:space="preserve"> </w:t>
      </w:r>
      <w:r w:rsidRPr="007F5722">
        <w:rPr>
          <w:rFonts w:ascii="Times New Roman" w:hAnsi="Times New Roman"/>
          <w:sz w:val="28"/>
          <w:szCs w:val="28"/>
          <w:lang w:val="en-US"/>
        </w:rPr>
        <w:t>sosudov</w:t>
      </w:r>
      <w:r w:rsidRPr="007F5722">
        <w:rPr>
          <w:rFonts w:ascii="Times New Roman" w:hAnsi="Times New Roman"/>
          <w:sz w:val="28"/>
          <w:szCs w:val="28"/>
        </w:rPr>
        <w:t xml:space="preserve">. </w:t>
      </w:r>
      <w:r w:rsidRPr="007F5722">
        <w:rPr>
          <w:rFonts w:ascii="Times New Roman" w:hAnsi="Times New Roman"/>
          <w:sz w:val="28"/>
          <w:szCs w:val="28"/>
          <w:lang w:val="en-US"/>
        </w:rPr>
        <w:t>[Technical possibilities of studying the elastic properties of vessels]. Arterial'naja gipertenzija, 2(16), 69-73.</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sz w:val="28"/>
          <w:szCs w:val="28"/>
        </w:rPr>
        <w:t>Безродная, Л.В. Артериальная гипертензия и дислипидемия / Л.В. Безродная // Здоров’я України. – 2007. – №8. – С.28-29 (</w:t>
      </w:r>
      <w:r w:rsidRPr="007F5722">
        <w:rPr>
          <w:rFonts w:ascii="Times New Roman" w:hAnsi="Times New Roman"/>
          <w:sz w:val="28"/>
          <w:szCs w:val="28"/>
          <w:shd w:val="clear" w:color="auto" w:fill="FFFFFF"/>
          <w:lang w:val="en-US"/>
        </w:rPr>
        <w:t>Bezrodnaya</w:t>
      </w:r>
      <w:r w:rsidRPr="007F5722">
        <w:rPr>
          <w:rFonts w:ascii="Times New Roman" w:hAnsi="Times New Roman"/>
          <w:sz w:val="28"/>
          <w:szCs w:val="28"/>
          <w:shd w:val="clear" w:color="auto" w:fill="FFFFFF"/>
        </w:rPr>
        <w:t xml:space="preserve">, </w:t>
      </w:r>
      <w:r w:rsidRPr="007F5722">
        <w:rPr>
          <w:rFonts w:ascii="Times New Roman" w:hAnsi="Times New Roman"/>
          <w:sz w:val="28"/>
          <w:szCs w:val="28"/>
          <w:shd w:val="clear" w:color="auto" w:fill="FFFFFF"/>
          <w:lang w:val="en-US"/>
        </w:rPr>
        <w:t>L</w:t>
      </w:r>
      <w:r w:rsidRPr="007F5722">
        <w:rPr>
          <w:rFonts w:ascii="Times New Roman" w:hAnsi="Times New Roman"/>
          <w:sz w:val="28"/>
          <w:szCs w:val="28"/>
          <w:shd w:val="clear" w:color="auto" w:fill="FFFFFF"/>
        </w:rPr>
        <w:t>.</w:t>
      </w:r>
      <w:r w:rsidRPr="007F5722">
        <w:rPr>
          <w:rFonts w:ascii="Times New Roman" w:hAnsi="Times New Roman"/>
          <w:sz w:val="28"/>
          <w:szCs w:val="28"/>
          <w:shd w:val="clear" w:color="auto" w:fill="FFFFFF"/>
          <w:lang w:val="en-US"/>
        </w:rPr>
        <w:t>V</w:t>
      </w:r>
      <w:r w:rsidRPr="007F5722">
        <w:rPr>
          <w:rFonts w:ascii="Times New Roman" w:hAnsi="Times New Roman"/>
          <w:sz w:val="28"/>
          <w:szCs w:val="28"/>
          <w:shd w:val="clear" w:color="auto" w:fill="FFFFFF"/>
        </w:rPr>
        <w:t xml:space="preserve">. </w:t>
      </w:r>
      <w:r w:rsidRPr="007F5722">
        <w:rPr>
          <w:rFonts w:ascii="Times New Roman" w:hAnsi="Times New Roman"/>
          <w:sz w:val="28"/>
          <w:szCs w:val="28"/>
          <w:shd w:val="clear" w:color="auto" w:fill="FFFFFF"/>
          <w:lang w:val="en-US"/>
        </w:rPr>
        <w:lastRenderedPageBreak/>
        <w:t>Arterial</w:t>
      </w:r>
      <w:r w:rsidRPr="007F5722">
        <w:rPr>
          <w:rFonts w:ascii="Times New Roman" w:hAnsi="Times New Roman"/>
          <w:sz w:val="28"/>
          <w:szCs w:val="28"/>
          <w:shd w:val="clear" w:color="auto" w:fill="FFFFFF"/>
        </w:rPr>
        <w:t xml:space="preserve"> </w:t>
      </w:r>
      <w:r w:rsidRPr="007F5722">
        <w:rPr>
          <w:rFonts w:ascii="Times New Roman" w:hAnsi="Times New Roman"/>
          <w:sz w:val="28"/>
          <w:szCs w:val="28"/>
          <w:shd w:val="clear" w:color="auto" w:fill="FFFFFF"/>
          <w:lang w:val="en-US"/>
        </w:rPr>
        <w:t>Hypertension</w:t>
      </w:r>
      <w:r w:rsidRPr="007F5722">
        <w:rPr>
          <w:rFonts w:ascii="Times New Roman" w:hAnsi="Times New Roman"/>
          <w:sz w:val="28"/>
          <w:szCs w:val="28"/>
          <w:shd w:val="clear" w:color="auto" w:fill="FFFFFF"/>
        </w:rPr>
        <w:t xml:space="preserve"> </w:t>
      </w:r>
      <w:r w:rsidRPr="007F5722">
        <w:rPr>
          <w:rFonts w:ascii="Times New Roman" w:hAnsi="Times New Roman"/>
          <w:sz w:val="28"/>
          <w:szCs w:val="28"/>
          <w:shd w:val="clear" w:color="auto" w:fill="FFFFFF"/>
          <w:lang w:val="en-US"/>
        </w:rPr>
        <w:t>and</w:t>
      </w:r>
      <w:r w:rsidRPr="007F5722">
        <w:rPr>
          <w:rFonts w:ascii="Times New Roman" w:hAnsi="Times New Roman"/>
          <w:sz w:val="28"/>
          <w:szCs w:val="28"/>
          <w:shd w:val="clear" w:color="auto" w:fill="FFFFFF"/>
        </w:rPr>
        <w:t xml:space="preserve"> </w:t>
      </w:r>
      <w:r w:rsidRPr="007F5722">
        <w:rPr>
          <w:rFonts w:ascii="Times New Roman" w:hAnsi="Times New Roman"/>
          <w:sz w:val="28"/>
          <w:szCs w:val="28"/>
          <w:shd w:val="clear" w:color="auto" w:fill="FFFFFF"/>
          <w:lang w:val="en-US"/>
        </w:rPr>
        <w:t>Dislipidemia</w:t>
      </w:r>
      <w:r w:rsidRPr="007F5722">
        <w:rPr>
          <w:rFonts w:ascii="Times New Roman" w:hAnsi="Times New Roman"/>
          <w:sz w:val="28"/>
          <w:szCs w:val="28"/>
          <w:shd w:val="clear" w:color="auto" w:fill="FFFFFF"/>
        </w:rPr>
        <w:t xml:space="preserve"> [</w:t>
      </w:r>
      <w:r w:rsidRPr="007F5722">
        <w:rPr>
          <w:rFonts w:ascii="Times New Roman" w:hAnsi="Times New Roman"/>
          <w:sz w:val="28"/>
          <w:szCs w:val="28"/>
          <w:shd w:val="clear" w:color="auto" w:fill="FFFFFF"/>
          <w:lang w:val="en-US"/>
        </w:rPr>
        <w:t>Text</w:t>
      </w:r>
      <w:r w:rsidRPr="007F5722">
        <w:rPr>
          <w:rFonts w:ascii="Times New Roman" w:hAnsi="Times New Roman"/>
          <w:sz w:val="28"/>
          <w:szCs w:val="28"/>
          <w:shd w:val="clear" w:color="auto" w:fill="FFFFFF"/>
        </w:rPr>
        <w:t xml:space="preserve">] / </w:t>
      </w:r>
      <w:r w:rsidRPr="007F5722">
        <w:rPr>
          <w:rFonts w:ascii="Times New Roman" w:hAnsi="Times New Roman"/>
          <w:sz w:val="28"/>
          <w:szCs w:val="28"/>
          <w:shd w:val="clear" w:color="auto" w:fill="FFFFFF"/>
          <w:lang w:val="en-US"/>
        </w:rPr>
        <w:t>L</w:t>
      </w:r>
      <w:r w:rsidRPr="007F5722">
        <w:rPr>
          <w:rFonts w:ascii="Times New Roman" w:hAnsi="Times New Roman"/>
          <w:sz w:val="28"/>
          <w:szCs w:val="28"/>
          <w:shd w:val="clear" w:color="auto" w:fill="FFFFFF"/>
        </w:rPr>
        <w:t>.</w:t>
      </w:r>
      <w:r w:rsidRPr="007F5722">
        <w:rPr>
          <w:rFonts w:ascii="Times New Roman" w:hAnsi="Times New Roman"/>
          <w:sz w:val="28"/>
          <w:szCs w:val="28"/>
          <w:shd w:val="clear" w:color="auto" w:fill="FFFFFF"/>
          <w:lang w:val="en-US"/>
        </w:rPr>
        <w:t>V</w:t>
      </w:r>
      <w:r w:rsidRPr="007F5722">
        <w:rPr>
          <w:rFonts w:ascii="Times New Roman" w:hAnsi="Times New Roman"/>
          <w:sz w:val="28"/>
          <w:szCs w:val="28"/>
          <w:shd w:val="clear" w:color="auto" w:fill="FFFFFF"/>
        </w:rPr>
        <w:t xml:space="preserve">. </w:t>
      </w:r>
      <w:r w:rsidRPr="007F5722">
        <w:rPr>
          <w:rFonts w:ascii="Times New Roman" w:hAnsi="Times New Roman"/>
          <w:sz w:val="28"/>
          <w:szCs w:val="28"/>
          <w:shd w:val="clear" w:color="auto" w:fill="FFFFFF"/>
          <w:lang w:val="en-US"/>
        </w:rPr>
        <w:t>Bezrodnaya</w:t>
      </w:r>
      <w:r w:rsidRPr="007F5722">
        <w:rPr>
          <w:rFonts w:ascii="Times New Roman" w:hAnsi="Times New Roman"/>
          <w:sz w:val="28"/>
          <w:szCs w:val="28"/>
          <w:shd w:val="clear" w:color="auto" w:fill="FFFFFF"/>
        </w:rPr>
        <w:t xml:space="preserve"> // </w:t>
      </w:r>
      <w:r w:rsidRPr="007F5722">
        <w:rPr>
          <w:rFonts w:ascii="Times New Roman" w:hAnsi="Times New Roman"/>
          <w:sz w:val="28"/>
          <w:szCs w:val="28"/>
          <w:shd w:val="clear" w:color="auto" w:fill="FFFFFF"/>
          <w:lang w:val="en-US"/>
        </w:rPr>
        <w:t>Health</w:t>
      </w:r>
      <w:r w:rsidRPr="007F5722">
        <w:rPr>
          <w:rFonts w:ascii="Times New Roman" w:hAnsi="Times New Roman"/>
          <w:sz w:val="28"/>
          <w:szCs w:val="28"/>
          <w:shd w:val="clear" w:color="auto" w:fill="FFFFFF"/>
        </w:rPr>
        <w:t xml:space="preserve"> </w:t>
      </w:r>
      <w:r w:rsidRPr="007F5722">
        <w:rPr>
          <w:rFonts w:ascii="Times New Roman" w:hAnsi="Times New Roman"/>
          <w:sz w:val="28"/>
          <w:szCs w:val="28"/>
          <w:shd w:val="clear" w:color="auto" w:fill="FFFFFF"/>
          <w:lang w:val="en-US"/>
        </w:rPr>
        <w:t>of</w:t>
      </w:r>
      <w:r w:rsidRPr="007F5722">
        <w:rPr>
          <w:rFonts w:ascii="Times New Roman" w:hAnsi="Times New Roman"/>
          <w:sz w:val="28"/>
          <w:szCs w:val="28"/>
          <w:shd w:val="clear" w:color="auto" w:fill="FFFFFF"/>
        </w:rPr>
        <w:t xml:space="preserve"> </w:t>
      </w:r>
      <w:r w:rsidRPr="007F5722">
        <w:rPr>
          <w:rFonts w:ascii="Times New Roman" w:hAnsi="Times New Roman"/>
          <w:sz w:val="28"/>
          <w:szCs w:val="28"/>
          <w:shd w:val="clear" w:color="auto" w:fill="FFFFFF"/>
          <w:lang w:val="en-US"/>
        </w:rPr>
        <w:t>Ukraine</w:t>
      </w:r>
      <w:r w:rsidRPr="007F5722">
        <w:rPr>
          <w:rFonts w:ascii="Times New Roman" w:hAnsi="Times New Roman"/>
          <w:sz w:val="28"/>
          <w:szCs w:val="28"/>
          <w:shd w:val="clear" w:color="auto" w:fill="FFFFFF"/>
        </w:rPr>
        <w:t xml:space="preserve"> . – 2007. – №8. – </w:t>
      </w:r>
      <w:r w:rsidRPr="007F5722">
        <w:rPr>
          <w:rFonts w:ascii="Times New Roman" w:hAnsi="Times New Roman"/>
          <w:sz w:val="28"/>
          <w:szCs w:val="28"/>
          <w:shd w:val="clear" w:color="auto" w:fill="FFFFFF"/>
          <w:lang w:val="en-US"/>
        </w:rPr>
        <w:t>P</w:t>
      </w:r>
      <w:r w:rsidRPr="007F5722">
        <w:rPr>
          <w:rFonts w:ascii="Times New Roman" w:hAnsi="Times New Roman"/>
          <w:sz w:val="28"/>
          <w:szCs w:val="28"/>
          <w:shd w:val="clear" w:color="auto" w:fill="FFFFFF"/>
        </w:rPr>
        <w:t>. 28-29).</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eastAsia="Calibri" w:hAnsi="Times New Roman" w:cs="Times New Roman"/>
          <w:sz w:val="28"/>
          <w:szCs w:val="28"/>
        </w:rPr>
        <w:t xml:space="preserve">Herder, </w:t>
      </w:r>
      <w:r w:rsidRPr="007F5722">
        <w:rPr>
          <w:rFonts w:ascii="Times New Roman" w:eastAsia="Calibri" w:hAnsi="Times New Roman" w:cs="Times New Roman"/>
          <w:sz w:val="28"/>
          <w:szCs w:val="28"/>
          <w:lang w:val="en-US"/>
        </w:rPr>
        <w:t>C</w:t>
      </w:r>
      <w:r w:rsidRPr="007F5722">
        <w:rPr>
          <w:rFonts w:ascii="Times New Roman" w:eastAsia="Calibri" w:hAnsi="Times New Roman" w:cs="Times New Roman"/>
          <w:sz w:val="28"/>
          <w:szCs w:val="28"/>
        </w:rPr>
        <w:t xml:space="preserve">. Serum levels of interleukin-22, cardiometabolic risk factors and incident type 2 diabetes: KORA F4/FF4 study / </w:t>
      </w:r>
      <w:r w:rsidRPr="007F5722">
        <w:rPr>
          <w:rFonts w:ascii="Times New Roman" w:eastAsia="Calibri" w:hAnsi="Times New Roman" w:cs="Times New Roman"/>
          <w:sz w:val="28"/>
          <w:szCs w:val="28"/>
          <w:lang w:val="en-US"/>
        </w:rPr>
        <w:t>C</w:t>
      </w:r>
      <w:r w:rsidRPr="007F5722">
        <w:rPr>
          <w:rFonts w:ascii="Times New Roman" w:eastAsia="Calibri" w:hAnsi="Times New Roman" w:cs="Times New Roman"/>
          <w:sz w:val="28"/>
          <w:szCs w:val="28"/>
        </w:rPr>
        <w:t>. Herder,</w:t>
      </w:r>
      <w:r w:rsidRPr="007F5722">
        <w:rPr>
          <w:rFonts w:ascii="Times New Roman" w:eastAsia="Calibri" w:hAnsi="Times New Roman" w:cs="Times New Roman"/>
          <w:sz w:val="28"/>
          <w:szCs w:val="28"/>
          <w:lang w:val="en-US"/>
        </w:rPr>
        <w:t xml:space="preserve"> M. </w:t>
      </w:r>
      <w:r w:rsidRPr="007F5722">
        <w:rPr>
          <w:rFonts w:ascii="Times New Roman" w:eastAsia="Calibri" w:hAnsi="Times New Roman" w:cs="Times New Roman"/>
          <w:sz w:val="28"/>
          <w:szCs w:val="28"/>
        </w:rPr>
        <w:t>Kannenberg</w:t>
      </w:r>
      <w:r w:rsidRPr="007F5722">
        <w:rPr>
          <w:rFonts w:ascii="Times New Roman" w:eastAsia="Calibri" w:hAnsi="Times New Roman" w:cs="Times New Roman"/>
          <w:sz w:val="28"/>
          <w:szCs w:val="28"/>
          <w:lang w:val="en-US"/>
        </w:rPr>
        <w:t>, Carstensen-Kirberg M. [et al.]</w:t>
      </w:r>
      <w:r w:rsidRPr="007F5722">
        <w:rPr>
          <w:rFonts w:ascii="Times New Roman" w:eastAsia="Calibri" w:hAnsi="Times New Roman" w:cs="Times New Roman"/>
          <w:sz w:val="28"/>
          <w:szCs w:val="28"/>
        </w:rPr>
        <w:t xml:space="preserve"> // Cardiovascular Diabetology</w:t>
      </w:r>
      <w:r w:rsidRPr="007F5722">
        <w:rPr>
          <w:rFonts w:ascii="Times New Roman" w:eastAsia="Calibri" w:hAnsi="Times New Roman" w:cs="Times New Roman"/>
          <w:sz w:val="28"/>
          <w:szCs w:val="28"/>
          <w:lang w:val="en-US"/>
        </w:rPr>
        <w:t>. – 2017. – Vol.16</w:t>
      </w:r>
      <w:r w:rsidRPr="007F5722">
        <w:rPr>
          <w:rFonts w:ascii="Times New Roman" w:eastAsia="Calibri" w:hAnsi="Times New Roman" w:cs="Times New Roman"/>
          <w:sz w:val="28"/>
          <w:szCs w:val="28"/>
        </w:rPr>
        <w:t>.</w:t>
      </w:r>
      <w:r w:rsidRPr="007F5722">
        <w:rPr>
          <w:rFonts w:ascii="Times New Roman" w:eastAsia="Calibri" w:hAnsi="Times New Roman" w:cs="Times New Roman"/>
          <w:sz w:val="28"/>
          <w:szCs w:val="28"/>
          <w:lang w:val="en-US"/>
        </w:rPr>
        <w:t xml:space="preserve"> – P. 17</w:t>
      </w:r>
      <w:r w:rsidRPr="007F5722">
        <w:rPr>
          <w:rFonts w:ascii="Times New Roman" w:eastAsia="Calibri" w:hAnsi="Times New Roman" w:cs="Times New Roman"/>
          <w:sz w:val="28"/>
          <w:szCs w:val="28"/>
        </w:rPr>
        <w:t>.</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Poulos S. P. The development and endocrine functions of adipose tissue / S.P. Poulos, D.B. Hausman, G.J. Hausman // Molecular and Cellular Endocrinology. – 2010. – Vol. 323(1). – P. 20-34.</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sz w:val="28"/>
          <w:szCs w:val="28"/>
        </w:rPr>
        <w:t>Kearney, P. Worldwide prevalence of hypertension: a systematic review / P. Kearney, M. Whelton, K. Reynolds [et al.] // J. of Hypertens. — 2004. — Vol. 22. — P.11—19.].</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sz w:val="28"/>
          <w:szCs w:val="28"/>
          <w:lang w:val="en-US"/>
        </w:rPr>
        <w:t>Xu T. Relationship of C-reactive protein with hypertension and interactions between increased C-reactive protein and other risk factors on hypertension in Mongolion people, China / T. Xu, W. Tong, Y. Liu [et al.] // Circulation Journal. – 2008. – Vol. 72(8). – P. 1324-1328.</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rPr>
        <w:t>Ащеулова Т. В. Клиническое значение вариантов эксцентрического ремоделирования левого желудочка сердца у больных артериальной гипертензией / Т. В. Ащеулова, А. В. Гончарь, С. В. Иванченко [и др.] // Щорічні терапевтичні читання :  від досліджень до реалій клінічної практики ХХІ століття :  матеріали наук.-практ. конф. з міжнар. участю, присвяченої пам’яті акад. Л. Т. Малої, 23–24 квітня 2015 р. / НАМН України, МОЗ України, ДУ «Національний інститут терапії ім. Л. Т. Малої НАМН». — Харків, 2015. — С. 20.</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rPr>
        <w:t>Alpert M. A. Effects of Obesity on Cardiovascular Hemodynamics, Cardiac Morphology, and Ventricular Function / M. A. Alpert, J. Omran, B. P. Bostick // Curr. Obes. Rep. — 2016. — Vol. 15. — P. 156–171.</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rPr>
        <w:t xml:space="preserve">Associations between body mass index, ambulatory blood pressure findings, and changes in cardiacstructure :  relevance of pulse and nighttime </w:t>
      </w:r>
      <w:r w:rsidRPr="007F5722">
        <w:rPr>
          <w:rFonts w:ascii="Times New Roman" w:hAnsi="Times New Roman" w:cs="Times New Roman"/>
          <w:sz w:val="28"/>
          <w:szCs w:val="28"/>
        </w:rPr>
        <w:lastRenderedPageBreak/>
        <w:t>pressures / M. Fedecostante, F. Spannella, F. Giulietti [et al.] // J. Clin. Hypertens. (Greenwich). — 2015. — Vol. 17 (2). — P. 147–153.</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sz w:val="28"/>
          <w:szCs w:val="28"/>
        </w:rPr>
        <w:t>Проблеми здоров’я і медичної допомоги та модель покращення в сучасних умовах: посібник / Нац. акад. мед. наук України, ННЦ «Ін-т кардіології ім. акад. М.Д. Стражеска»; під ред. В. М. Коваленка, В. М. Корнацького. – К. : Гордон, 2016. – 261 с.</w:t>
      </w:r>
    </w:p>
    <w:p w:rsidR="007F5722" w:rsidRPr="007F5722" w:rsidRDefault="001909D8" w:rsidP="007F5722">
      <w:pPr>
        <w:pStyle w:val="a8"/>
        <w:numPr>
          <w:ilvl w:val="0"/>
          <w:numId w:val="25"/>
        </w:numPr>
        <w:spacing w:after="0" w:line="360" w:lineRule="auto"/>
        <w:ind w:left="0" w:firstLine="357"/>
        <w:jc w:val="both"/>
        <w:rPr>
          <w:rFonts w:ascii="Times New Roman" w:hAnsi="Times New Roman" w:cs="Times New Roman"/>
          <w:sz w:val="28"/>
          <w:szCs w:val="28"/>
        </w:rPr>
      </w:pPr>
      <w:r w:rsidRPr="001909D8">
        <w:rPr>
          <w:rFonts w:ascii="Times New Roman" w:hAnsi="Times New Roman"/>
          <w:sz w:val="28"/>
          <w:szCs w:val="28"/>
        </w:rPr>
        <w:t>Rocha E. Cardiovascular risk scores: Usefulness and limitations. </w:t>
      </w:r>
      <w:r w:rsidRPr="001909D8">
        <w:rPr>
          <w:rFonts w:ascii="Times New Roman" w:hAnsi="Times New Roman"/>
          <w:i/>
          <w:iCs/>
          <w:sz w:val="28"/>
          <w:szCs w:val="28"/>
        </w:rPr>
        <w:t>Rev Port Cardiol</w:t>
      </w:r>
      <w:r w:rsidRPr="001909D8">
        <w:rPr>
          <w:rFonts w:ascii="Times New Roman" w:hAnsi="Times New Roman"/>
          <w:sz w:val="28"/>
          <w:szCs w:val="28"/>
        </w:rPr>
        <w:t>. 2016;35(1):15-18. doi:10.1016/j.repc.2015.11.002</w:t>
      </w:r>
      <w:r w:rsidR="007F5722" w:rsidRPr="007F5722">
        <w:rPr>
          <w:rFonts w:ascii="Times New Roman" w:hAnsi="Times New Roman"/>
          <w:sz w:val="28"/>
          <w:szCs w:val="28"/>
        </w:rPr>
        <w:t>.</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sz w:val="28"/>
          <w:szCs w:val="28"/>
          <w:lang w:eastAsia="uk-UA"/>
        </w:rPr>
        <w:t xml:space="preserve">Белозоров А.П. Т-хэлперы-17 – новая субпопуляция эффекторных хэлперных </w:t>
      </w:r>
      <w:r w:rsidRPr="007F5722">
        <w:rPr>
          <w:rFonts w:ascii="Times New Roman" w:hAnsi="Times New Roman"/>
          <w:sz w:val="28"/>
          <w:szCs w:val="28"/>
          <w:lang w:val="en-US" w:eastAsia="uk-UA"/>
        </w:rPr>
        <w:t>CD</w:t>
      </w:r>
      <w:r w:rsidRPr="007F5722">
        <w:rPr>
          <w:rFonts w:ascii="Times New Roman" w:hAnsi="Times New Roman"/>
          <w:sz w:val="28"/>
          <w:szCs w:val="28"/>
          <w:lang w:eastAsia="uk-UA"/>
        </w:rPr>
        <w:t>4</w:t>
      </w:r>
      <w:r w:rsidRPr="007F5722">
        <w:rPr>
          <w:rFonts w:ascii="Times New Roman" w:hAnsi="Times New Roman"/>
          <w:sz w:val="28"/>
          <w:szCs w:val="28"/>
          <w:vertAlign w:val="superscript"/>
          <w:lang w:eastAsia="uk-UA"/>
        </w:rPr>
        <w:t>+</w:t>
      </w:r>
      <w:r w:rsidRPr="007F5722">
        <w:rPr>
          <w:rFonts w:ascii="Times New Roman" w:hAnsi="Times New Roman"/>
          <w:sz w:val="28"/>
          <w:szCs w:val="28"/>
          <w:lang w:eastAsia="uk-UA"/>
        </w:rPr>
        <w:t xml:space="preserve"> лимфоцитов. </w:t>
      </w:r>
      <w:r w:rsidRPr="007F5722">
        <w:rPr>
          <w:rFonts w:ascii="Times New Roman" w:hAnsi="Times New Roman"/>
          <w:i/>
          <w:sz w:val="28"/>
          <w:szCs w:val="28"/>
          <w:lang w:eastAsia="uk-UA"/>
        </w:rPr>
        <w:t>Лаб.діагностика</w:t>
      </w:r>
      <w:r w:rsidRPr="007F5722">
        <w:rPr>
          <w:rFonts w:ascii="Times New Roman" w:hAnsi="Times New Roman"/>
          <w:sz w:val="28"/>
          <w:szCs w:val="28"/>
          <w:lang w:eastAsia="uk-UA"/>
        </w:rPr>
        <w:t>. 2011; 1(55): 57-63.</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 xml:space="preserve">Sugita S, Kawazoe Y, Imai A, Usui Y, Takahashi M, Mochizuki M. Suppression of IL-22- producing T helper 22 cells by RPE cells via PD-L1/PD-1 interactions. </w:t>
      </w:r>
      <w:r w:rsidRPr="007F5722">
        <w:rPr>
          <w:rFonts w:ascii="Times New Roman" w:hAnsi="Times New Roman" w:cs="Times New Roman"/>
          <w:i/>
          <w:sz w:val="28"/>
          <w:szCs w:val="28"/>
          <w:lang w:val="en-US"/>
        </w:rPr>
        <w:t>Invest Ophthalmol Vis Sci</w:t>
      </w:r>
      <w:r w:rsidRPr="007F5722">
        <w:rPr>
          <w:rFonts w:ascii="Times New Roman" w:hAnsi="Times New Roman" w:cs="Times New Roman"/>
          <w:sz w:val="28"/>
          <w:szCs w:val="28"/>
          <w:lang w:val="en-US"/>
        </w:rPr>
        <w:t>. 2013; 54:6926–6933.</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de-DE"/>
        </w:rPr>
        <w:t xml:space="preserve">Zaidi T, Zaidi T, Cywes-Bentley C, Lu R, Priebe GP, Pier GB. </w:t>
      </w:r>
      <w:r w:rsidRPr="007F5722">
        <w:rPr>
          <w:rFonts w:ascii="Times New Roman" w:hAnsi="Times New Roman" w:cs="Times New Roman"/>
          <w:sz w:val="28"/>
          <w:szCs w:val="28"/>
          <w:lang w:val="en-US"/>
        </w:rPr>
        <w:t xml:space="preserve">Microbiota-Driven Immune Cellular Maturation Is Essential for Antibody-Mediated Adaptive Immunity to Staphylococcus aureus Infection in the Eye. </w:t>
      </w:r>
      <w:r w:rsidRPr="007F5722">
        <w:rPr>
          <w:rFonts w:ascii="Times New Roman" w:hAnsi="Times New Roman" w:cs="Times New Roman"/>
          <w:i/>
          <w:sz w:val="28"/>
          <w:szCs w:val="28"/>
        </w:rPr>
        <w:t>Infect Immun</w:t>
      </w:r>
      <w:r w:rsidRPr="007F5722">
        <w:rPr>
          <w:rFonts w:ascii="Times New Roman" w:hAnsi="Times New Roman" w:cs="Times New Roman"/>
          <w:sz w:val="28"/>
          <w:szCs w:val="28"/>
        </w:rPr>
        <w:t>. 2014; 82:3483–3491.</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 xml:space="preserve">Sugita S, Kawazoe Y, Imai A, Kawaguchi T, Horie S, Keino H, Takahashi M, Mochizuki M. Role of IL-22− and TNF-alpha-producing Th22 cells in uveitis patients with Behcet's disease. </w:t>
      </w:r>
      <w:r w:rsidRPr="007F5722">
        <w:rPr>
          <w:rFonts w:ascii="Times New Roman" w:hAnsi="Times New Roman" w:cs="Times New Roman"/>
          <w:i/>
          <w:sz w:val="28"/>
          <w:szCs w:val="28"/>
          <w:lang w:val="en-US"/>
        </w:rPr>
        <w:t>J Immunol</w:t>
      </w:r>
      <w:r w:rsidRPr="007F5722">
        <w:rPr>
          <w:rFonts w:ascii="Times New Roman" w:hAnsi="Times New Roman" w:cs="Times New Roman"/>
          <w:sz w:val="28"/>
          <w:szCs w:val="28"/>
          <w:lang w:val="en-US"/>
        </w:rPr>
        <w:t>. 2013; 190:5799–5808.</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 xml:space="preserve">Witte E, Witte K, Warszawska K, Sabat R, Wolk K. Interleukin-22: A cytokine produced by T, NK and NKT cell subsets, with importance in the innate immune defense and tissue protection. </w:t>
      </w:r>
      <w:r w:rsidRPr="007F5722">
        <w:rPr>
          <w:rFonts w:ascii="Times New Roman" w:hAnsi="Times New Roman" w:cs="Times New Roman"/>
          <w:i/>
          <w:sz w:val="28"/>
          <w:szCs w:val="28"/>
          <w:lang w:val="en-US"/>
        </w:rPr>
        <w:t>Cytokine &amp; Growth Factor Reviews</w:t>
      </w:r>
      <w:r w:rsidRPr="007F5722">
        <w:rPr>
          <w:rFonts w:ascii="Times New Roman" w:hAnsi="Times New Roman" w:cs="Times New Roman"/>
          <w:sz w:val="28"/>
          <w:szCs w:val="28"/>
          <w:lang w:val="en-US"/>
        </w:rPr>
        <w:t>. 2010; 21:365–379.</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 xml:space="preserve">Sonnenberg GF, Fouser LA, Artis D. Border patrol: regulation of immunity, inflammation and tissue homeostasis at barrier surfaces by IL-22. </w:t>
      </w:r>
      <w:r w:rsidRPr="007F5722">
        <w:rPr>
          <w:rFonts w:ascii="Times New Roman" w:hAnsi="Times New Roman" w:cs="Times New Roman"/>
          <w:i/>
          <w:sz w:val="28"/>
          <w:szCs w:val="28"/>
          <w:lang w:val="en-US"/>
        </w:rPr>
        <w:t>Nat Immunol</w:t>
      </w:r>
      <w:r w:rsidRPr="007F5722">
        <w:rPr>
          <w:rFonts w:ascii="Times New Roman" w:hAnsi="Times New Roman" w:cs="Times New Roman"/>
          <w:sz w:val="28"/>
          <w:szCs w:val="28"/>
          <w:lang w:val="en-US"/>
        </w:rPr>
        <w:t>. 2011; 12:383–390.</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 xml:space="preserve">Fabbrini E, Cella M, McCartney SA, Fuchs A, Abumrad NA, Pietka TA, Chen Z, Finck BN, Han DH, Magkos F, Conte C, Bradley D, Fraterrigo G, Eagon JC, Patterson BW, Colonna M, Klein S. Association between specific adipose </w:t>
      </w:r>
      <w:r w:rsidRPr="007F5722">
        <w:rPr>
          <w:rFonts w:ascii="Times New Roman" w:hAnsi="Times New Roman" w:cs="Times New Roman"/>
          <w:sz w:val="28"/>
          <w:szCs w:val="28"/>
          <w:lang w:val="en-US"/>
        </w:rPr>
        <w:lastRenderedPageBreak/>
        <w:t xml:space="preserve">tissue CD4+ T-cell populations and insulin resistance in obese individuals. </w:t>
      </w:r>
      <w:r w:rsidRPr="007F5722">
        <w:rPr>
          <w:rFonts w:ascii="Times New Roman" w:hAnsi="Times New Roman" w:cs="Times New Roman"/>
          <w:i/>
          <w:sz w:val="28"/>
          <w:szCs w:val="28"/>
          <w:lang w:val="en-US"/>
        </w:rPr>
        <w:t>Gastroenterology</w:t>
      </w:r>
      <w:r w:rsidRPr="007F5722">
        <w:rPr>
          <w:rFonts w:ascii="Times New Roman" w:hAnsi="Times New Roman" w:cs="Times New Roman"/>
          <w:sz w:val="28"/>
          <w:szCs w:val="28"/>
          <w:lang w:val="en-US"/>
        </w:rPr>
        <w:t>. 2013; 145:366–374. e1–e3.</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 xml:space="preserve">Cordero-Coma M, Calleja S, Llorente M, Rodriguez E, Franco M, Ruiz de Morales JG. Serum cytokine profile in adalimumab-treated refractory uveitis patients: decreased IL-22 correlates with clinical responses. </w:t>
      </w:r>
      <w:r w:rsidRPr="007F5722">
        <w:rPr>
          <w:rFonts w:ascii="Times New Roman" w:hAnsi="Times New Roman" w:cs="Times New Roman"/>
          <w:i/>
          <w:sz w:val="28"/>
          <w:szCs w:val="28"/>
          <w:lang w:val="en-US"/>
        </w:rPr>
        <w:t>Ocul Immunol Inflamm.</w:t>
      </w:r>
      <w:r w:rsidRPr="007F5722">
        <w:rPr>
          <w:rFonts w:ascii="Times New Roman" w:hAnsi="Times New Roman" w:cs="Times New Roman"/>
          <w:sz w:val="28"/>
          <w:szCs w:val="28"/>
          <w:lang w:val="en-US"/>
        </w:rPr>
        <w:t xml:space="preserve"> 2013; 21:212–219.</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 xml:space="preserve">Kong Q, Xue Y, Wu W, Yang F, Liu Y, Gao M, Lai W, Pan X. IL-22 exacerbates the severity of CVB3-induced acute viral myocarditis in IL-17A-deficient mice. </w:t>
      </w:r>
      <w:r w:rsidRPr="007F5722">
        <w:rPr>
          <w:rFonts w:ascii="Times New Roman" w:hAnsi="Times New Roman" w:cs="Times New Roman"/>
          <w:i/>
          <w:sz w:val="28"/>
          <w:szCs w:val="28"/>
          <w:lang w:val="en-US"/>
        </w:rPr>
        <w:t>Mol Med Rep</w:t>
      </w:r>
      <w:r w:rsidRPr="007F5722">
        <w:rPr>
          <w:rFonts w:ascii="Times New Roman" w:hAnsi="Times New Roman" w:cs="Times New Roman"/>
          <w:sz w:val="28"/>
          <w:szCs w:val="28"/>
          <w:lang w:val="en-US"/>
        </w:rPr>
        <w:t>. 2013; 7:1329– 1335.</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 xml:space="preserve">Rainard P, Cunha P, Bougarn S, Fromageau A, Rossignol C, Gilbert FB, Berthon P. T helper 17- associated cytokines are produced during antigen-specific inflammation in the mammary gland. </w:t>
      </w:r>
      <w:r w:rsidRPr="007F5722">
        <w:rPr>
          <w:rFonts w:ascii="Times New Roman" w:hAnsi="Times New Roman" w:cs="Times New Roman"/>
          <w:i/>
          <w:sz w:val="28"/>
          <w:szCs w:val="28"/>
          <w:lang w:val="en-US"/>
        </w:rPr>
        <w:t>PLoS One</w:t>
      </w:r>
      <w:r w:rsidRPr="007F5722">
        <w:rPr>
          <w:rFonts w:ascii="Times New Roman" w:hAnsi="Times New Roman" w:cs="Times New Roman"/>
          <w:sz w:val="28"/>
          <w:szCs w:val="28"/>
          <w:lang w:val="en-US"/>
        </w:rPr>
        <w:t>. 2013; 8:e63471.</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Dudakov</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JA</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Hanash</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AM</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Jenq</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RR</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Young</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LF</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Ghosh</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A</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Singer</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NV</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West</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ML</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Smith</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OM</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Holland</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AM</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Tsai</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JJ</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Boyd</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RL</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van</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den</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Brink</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MRM</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 xml:space="preserve">Interleukin-22 Drives Endogenous Thymic Regeneration in Mice. </w:t>
      </w:r>
      <w:r w:rsidRPr="007F5722">
        <w:rPr>
          <w:rFonts w:ascii="Times New Roman" w:hAnsi="Times New Roman" w:cs="Times New Roman"/>
          <w:i/>
          <w:sz w:val="28"/>
          <w:szCs w:val="28"/>
          <w:lang w:val="en-US"/>
        </w:rPr>
        <w:t>Science</w:t>
      </w:r>
      <w:r w:rsidRPr="007F5722">
        <w:rPr>
          <w:rFonts w:ascii="Times New Roman" w:hAnsi="Times New Roman" w:cs="Times New Roman"/>
          <w:sz w:val="28"/>
          <w:szCs w:val="28"/>
          <w:lang w:val="en-US"/>
        </w:rPr>
        <w:t>. 2012; 336:91–95.</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 xml:space="preserve">Sabat R, Wolk K. Deciphering the role of interleikin-22 in metabolic alterations. </w:t>
      </w:r>
      <w:r w:rsidRPr="007F5722">
        <w:rPr>
          <w:rFonts w:ascii="Times New Roman" w:hAnsi="Times New Roman" w:cs="Times New Roman"/>
          <w:i/>
          <w:sz w:val="28"/>
          <w:szCs w:val="28"/>
          <w:lang w:val="en-US"/>
        </w:rPr>
        <w:t>Cell Biosci</w:t>
      </w:r>
      <w:r w:rsidRPr="007F5722">
        <w:rPr>
          <w:rFonts w:ascii="Times New Roman" w:hAnsi="Times New Roman" w:cs="Times New Roman"/>
          <w:sz w:val="28"/>
          <w:szCs w:val="28"/>
          <w:lang w:val="en-US"/>
        </w:rPr>
        <w:t>. 2015; 5: 68 DOI 10.1186/s13578-015-0060-8.</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 xml:space="preserve">Zenewicz LA, Flavell RA. Recent advances in Il-22 biology. </w:t>
      </w:r>
      <w:r w:rsidRPr="007F5722">
        <w:rPr>
          <w:rFonts w:ascii="Times New Roman" w:hAnsi="Times New Roman" w:cs="Times New Roman"/>
          <w:i/>
          <w:sz w:val="28"/>
          <w:szCs w:val="28"/>
          <w:lang w:val="en-US"/>
        </w:rPr>
        <w:t>Int Immunol</w:t>
      </w:r>
      <w:r w:rsidRPr="007F5722">
        <w:rPr>
          <w:rFonts w:ascii="Times New Roman" w:hAnsi="Times New Roman" w:cs="Times New Roman"/>
          <w:sz w:val="28"/>
          <w:szCs w:val="28"/>
          <w:lang w:val="en-US"/>
        </w:rPr>
        <w:t>. 2011; 23: 159-163.</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Ye</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J</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Liu</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L</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Ji</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Q</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Huang</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Y</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Shi</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Y</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Shi</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L</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Liu</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J</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Wang</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M</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Xu</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Y</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Jiang</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H</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Wang</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Z</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Lin</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Y</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Wan</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J</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Anti</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Interleukin</w:t>
      </w:r>
      <w:r w:rsidRPr="007F5722">
        <w:rPr>
          <w:rFonts w:ascii="Times New Roman" w:hAnsi="Times New Roman" w:cs="Times New Roman"/>
          <w:sz w:val="28"/>
          <w:szCs w:val="28"/>
        </w:rPr>
        <w:t>-22-</w:t>
      </w:r>
      <w:r w:rsidRPr="007F5722">
        <w:rPr>
          <w:rFonts w:ascii="Times New Roman" w:hAnsi="Times New Roman" w:cs="Times New Roman"/>
          <w:sz w:val="28"/>
          <w:szCs w:val="28"/>
          <w:lang w:val="en-US"/>
        </w:rPr>
        <w:t>neutralizing</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antibody</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attenuates</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Angiotensin</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II</w:t>
      </w:r>
      <w:r w:rsidRPr="007F5722">
        <w:rPr>
          <w:rFonts w:ascii="Times New Roman" w:hAnsi="Times New Roman" w:cs="Times New Roman"/>
          <w:sz w:val="28"/>
          <w:szCs w:val="28"/>
        </w:rPr>
        <w:t>-</w:t>
      </w:r>
      <w:r w:rsidRPr="007F5722">
        <w:rPr>
          <w:rFonts w:ascii="Times New Roman" w:hAnsi="Times New Roman" w:cs="Times New Roman"/>
          <w:sz w:val="28"/>
          <w:szCs w:val="28"/>
          <w:lang w:val="en-US"/>
        </w:rPr>
        <w:t>induced</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cardiac</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hypertrophy</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in</w:t>
      </w:r>
      <w:r w:rsidRPr="007F5722">
        <w:rPr>
          <w:rFonts w:ascii="Times New Roman" w:hAnsi="Times New Roman" w:cs="Times New Roman"/>
          <w:sz w:val="28"/>
          <w:szCs w:val="28"/>
        </w:rPr>
        <w:t xml:space="preserve"> </w:t>
      </w:r>
      <w:r w:rsidRPr="007F5722">
        <w:rPr>
          <w:rFonts w:ascii="Times New Roman" w:hAnsi="Times New Roman" w:cs="Times New Roman"/>
          <w:sz w:val="28"/>
          <w:szCs w:val="28"/>
          <w:lang w:val="en-US"/>
        </w:rPr>
        <w:t>mice</w:t>
      </w:r>
      <w:r w:rsidRPr="007F5722">
        <w:rPr>
          <w:rFonts w:ascii="Times New Roman" w:hAnsi="Times New Roman" w:cs="Times New Roman"/>
          <w:sz w:val="28"/>
          <w:szCs w:val="28"/>
        </w:rPr>
        <w:t xml:space="preserve">. </w:t>
      </w:r>
      <w:r w:rsidRPr="007F5722">
        <w:rPr>
          <w:rFonts w:ascii="Times New Roman" w:hAnsi="Times New Roman" w:cs="Times New Roman"/>
          <w:i/>
          <w:sz w:val="28"/>
          <w:szCs w:val="28"/>
          <w:lang w:val="en-US"/>
        </w:rPr>
        <w:t>Hindawi Mediators of Inflammation.</w:t>
      </w:r>
      <w:r w:rsidRPr="007F5722">
        <w:rPr>
          <w:rFonts w:ascii="Times New Roman" w:hAnsi="Times New Roman" w:cs="Times New Roman"/>
          <w:sz w:val="28"/>
          <w:szCs w:val="28"/>
          <w:lang w:val="en-US"/>
        </w:rPr>
        <w:t xml:space="preserve"> 2017; Article ID: 5635929. </w:t>
      </w:r>
      <w:hyperlink r:id="rId87" w:history="1">
        <w:r w:rsidRPr="007F5722">
          <w:rPr>
            <w:rFonts w:ascii="Times New Roman" w:hAnsi="Times New Roman" w:cs="Times New Roman"/>
            <w:sz w:val="28"/>
            <w:szCs w:val="28"/>
            <w:lang w:val="en-US"/>
          </w:rPr>
          <w:t>http://doi.org/10.1155/2017/5635929</w:t>
        </w:r>
      </w:hyperlink>
      <w:r w:rsidRPr="007F5722">
        <w:rPr>
          <w:rFonts w:ascii="Times New Roman" w:hAnsi="Times New Roman" w:cs="Times New Roman"/>
          <w:sz w:val="28"/>
          <w:szCs w:val="28"/>
          <w:lang w:val="en-US"/>
        </w:rPr>
        <w:t>.</w:t>
      </w:r>
    </w:p>
    <w:p w:rsidR="007F5722" w:rsidRPr="007F5722" w:rsidRDefault="007F5722" w:rsidP="007F5722">
      <w:pPr>
        <w:pStyle w:val="a8"/>
        <w:numPr>
          <w:ilvl w:val="0"/>
          <w:numId w:val="25"/>
        </w:numPr>
        <w:spacing w:after="0" w:line="360" w:lineRule="auto"/>
        <w:ind w:left="0" w:firstLine="357"/>
        <w:jc w:val="both"/>
        <w:rPr>
          <w:rFonts w:ascii="Times New Roman" w:hAnsi="Times New Roman" w:cs="Times New Roman"/>
          <w:sz w:val="28"/>
          <w:szCs w:val="28"/>
        </w:rPr>
      </w:pPr>
      <w:r w:rsidRPr="007F5722">
        <w:rPr>
          <w:rFonts w:ascii="Times New Roman" w:hAnsi="Times New Roman" w:cs="Times New Roman"/>
          <w:sz w:val="28"/>
          <w:szCs w:val="28"/>
          <w:lang w:val="en-US"/>
        </w:rPr>
        <w:t xml:space="preserve">Gangemi S, Parisi P, Ricciardi L, et.al. Is interleukin-22 a possible indicator of chronic heart failure’s progression? </w:t>
      </w:r>
      <w:r w:rsidRPr="007F5722">
        <w:rPr>
          <w:rFonts w:ascii="Times New Roman" w:hAnsi="Times New Roman" w:cs="Times New Roman"/>
          <w:i/>
          <w:sz w:val="28"/>
          <w:szCs w:val="28"/>
          <w:lang w:val="en-US"/>
        </w:rPr>
        <w:t>Archives of Herontology and Geriatrics</w:t>
      </w:r>
      <w:r w:rsidRPr="007F5722">
        <w:rPr>
          <w:rFonts w:ascii="Times New Roman" w:hAnsi="Times New Roman" w:cs="Times New Roman"/>
          <w:sz w:val="28"/>
          <w:szCs w:val="28"/>
          <w:lang w:val="en-US"/>
        </w:rPr>
        <w:t>. 2010; Vol.50(3): 311-314.</w:t>
      </w:r>
    </w:p>
    <w:p w:rsidR="00E40B79" w:rsidRPr="00E40B79" w:rsidRDefault="00E40B79" w:rsidP="00E40B79"/>
    <w:sectPr w:rsidR="00E40B79" w:rsidRPr="00E40B79" w:rsidSect="00E978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F47" w:rsidRDefault="000B5F47" w:rsidP="00851F45">
      <w:pPr>
        <w:spacing w:after="0" w:line="240" w:lineRule="auto"/>
      </w:pPr>
      <w:r>
        <w:separator/>
      </w:r>
    </w:p>
  </w:endnote>
  <w:endnote w:type="continuationSeparator" w:id="0">
    <w:p w:rsidR="000B5F47" w:rsidRDefault="000B5F47" w:rsidP="00851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Grande">
    <w:altName w:val="Times New Roman"/>
    <w:charset w:val="00"/>
    <w:family w:val="auto"/>
    <w:pitch w:val="variable"/>
    <w:sig w:usb0="00000003" w:usb1="00000000" w:usb2="00000000" w:usb3="00000000" w:csb0="00000001" w:csb1="00000000"/>
  </w:font>
  <w:font w:name="PragmaticaC">
    <w:altName w:val="MS Gothic"/>
    <w:panose1 w:val="00000000000000000000"/>
    <w:charset w:val="00"/>
    <w:family w:val="decorative"/>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Newton">
    <w:altName w:val="Times New Roman"/>
    <w:panose1 w:val="00000000000000000000"/>
    <w:charset w:val="00"/>
    <w:family w:val="roman"/>
    <w:notTrueType/>
    <w:pitch w:val="default"/>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F47" w:rsidRDefault="000B5F47" w:rsidP="00851F45">
      <w:pPr>
        <w:spacing w:after="0" w:line="240" w:lineRule="auto"/>
      </w:pPr>
      <w:r>
        <w:separator/>
      </w:r>
    </w:p>
  </w:footnote>
  <w:footnote w:type="continuationSeparator" w:id="0">
    <w:p w:rsidR="000B5F47" w:rsidRDefault="000B5F47" w:rsidP="00851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479360"/>
      <w:docPartObj>
        <w:docPartGallery w:val="Page Numbers (Top of Page)"/>
        <w:docPartUnique/>
      </w:docPartObj>
    </w:sdtPr>
    <w:sdtEndPr>
      <w:rPr>
        <w:sz w:val="24"/>
        <w:szCs w:val="24"/>
      </w:rPr>
    </w:sdtEndPr>
    <w:sdtContent>
      <w:p w:rsidR="000B5F47" w:rsidRPr="000B5F47" w:rsidRDefault="000B5F47">
        <w:pPr>
          <w:pStyle w:val="a4"/>
          <w:jc w:val="right"/>
          <w:rPr>
            <w:sz w:val="24"/>
            <w:szCs w:val="24"/>
          </w:rPr>
        </w:pPr>
        <w:r w:rsidRPr="000B5F47">
          <w:rPr>
            <w:sz w:val="24"/>
            <w:szCs w:val="24"/>
          </w:rPr>
          <w:fldChar w:fldCharType="begin"/>
        </w:r>
        <w:r w:rsidRPr="000B5F47">
          <w:rPr>
            <w:sz w:val="24"/>
            <w:szCs w:val="24"/>
          </w:rPr>
          <w:instrText>PAGE   \* MERGEFORMAT</w:instrText>
        </w:r>
        <w:r w:rsidRPr="000B5F47">
          <w:rPr>
            <w:sz w:val="24"/>
            <w:szCs w:val="24"/>
          </w:rPr>
          <w:fldChar w:fldCharType="separate"/>
        </w:r>
        <w:r w:rsidR="00C62EFF" w:rsidRPr="00C62EFF">
          <w:rPr>
            <w:noProof/>
            <w:sz w:val="24"/>
            <w:szCs w:val="24"/>
            <w:lang w:val="ru-RU"/>
          </w:rPr>
          <w:t>163</w:t>
        </w:r>
        <w:r w:rsidRPr="000B5F47">
          <w:rPr>
            <w:sz w:val="24"/>
            <w:szCs w:val="24"/>
          </w:rPr>
          <w:fldChar w:fldCharType="end"/>
        </w:r>
      </w:p>
    </w:sdtContent>
  </w:sdt>
  <w:p w:rsidR="000B5F47" w:rsidRDefault="000B5F4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DA4"/>
    <w:multiLevelType w:val="multilevel"/>
    <w:tmpl w:val="85C69D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0C1001"/>
    <w:multiLevelType w:val="hybridMultilevel"/>
    <w:tmpl w:val="F0548D12"/>
    <w:lvl w:ilvl="0" w:tplc="0419000F">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 w15:restartNumberingAfterBreak="0">
    <w:nsid w:val="0B2D7BA9"/>
    <w:multiLevelType w:val="multilevel"/>
    <w:tmpl w:val="ADFC096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3302C9"/>
    <w:multiLevelType w:val="hybridMultilevel"/>
    <w:tmpl w:val="A3F0B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00608A"/>
    <w:multiLevelType w:val="hybridMultilevel"/>
    <w:tmpl w:val="24567DC2"/>
    <w:lvl w:ilvl="0" w:tplc="2A10F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5F0F09"/>
    <w:multiLevelType w:val="hybridMultilevel"/>
    <w:tmpl w:val="120A6DA4"/>
    <w:lvl w:ilvl="0" w:tplc="0409000F">
      <w:start w:val="1"/>
      <w:numFmt w:val="decimal"/>
      <w:lvlText w:val="%1."/>
      <w:lvlJc w:val="left"/>
      <w:pPr>
        <w:ind w:left="2498" w:hanging="360"/>
      </w:p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6" w15:restartNumberingAfterBreak="0">
    <w:nsid w:val="1CAA609B"/>
    <w:multiLevelType w:val="hybridMultilevel"/>
    <w:tmpl w:val="D960B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033465"/>
    <w:multiLevelType w:val="hybridMultilevel"/>
    <w:tmpl w:val="019C2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FA3A5E"/>
    <w:multiLevelType w:val="hybridMultilevel"/>
    <w:tmpl w:val="21FAE580"/>
    <w:lvl w:ilvl="0" w:tplc="E5DCDB12">
      <w:start w:val="1"/>
      <w:numFmt w:val="decimal"/>
      <w:lvlText w:val="%1."/>
      <w:lvlJc w:val="left"/>
      <w:pPr>
        <w:ind w:left="3479" w:hanging="360"/>
      </w:pPr>
      <w:rPr>
        <w:rFonts w:hint="default"/>
        <w:b w:val="0"/>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9" w15:restartNumberingAfterBreak="0">
    <w:nsid w:val="2F98144C"/>
    <w:multiLevelType w:val="hybridMultilevel"/>
    <w:tmpl w:val="42B6B6C6"/>
    <w:lvl w:ilvl="0" w:tplc="D56AD4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35C632BE"/>
    <w:multiLevelType w:val="multilevel"/>
    <w:tmpl w:val="B532CA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114559"/>
    <w:multiLevelType w:val="hybridMultilevel"/>
    <w:tmpl w:val="5B820C1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8EC6B78"/>
    <w:multiLevelType w:val="hybridMultilevel"/>
    <w:tmpl w:val="9984D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7452B7"/>
    <w:multiLevelType w:val="hybridMultilevel"/>
    <w:tmpl w:val="BAB0779C"/>
    <w:lvl w:ilvl="0" w:tplc="3828C8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3E975F35"/>
    <w:multiLevelType w:val="hybridMultilevel"/>
    <w:tmpl w:val="A00A4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56CDC"/>
    <w:multiLevelType w:val="multilevel"/>
    <w:tmpl w:val="00B437D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602B35"/>
    <w:multiLevelType w:val="multilevel"/>
    <w:tmpl w:val="8AC64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573C9E"/>
    <w:multiLevelType w:val="hybridMultilevel"/>
    <w:tmpl w:val="EA92A7D2"/>
    <w:lvl w:ilvl="0" w:tplc="5A4EEA4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4A863DDF"/>
    <w:multiLevelType w:val="hybridMultilevel"/>
    <w:tmpl w:val="E9040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8665D5"/>
    <w:multiLevelType w:val="hybridMultilevel"/>
    <w:tmpl w:val="D9BCA83C"/>
    <w:lvl w:ilvl="0" w:tplc="A25C1D46">
      <w:start w:val="1"/>
      <w:numFmt w:val="decimal"/>
      <w:lvlText w:val="%1."/>
      <w:lvlJc w:val="left"/>
      <w:pPr>
        <w:ind w:left="720"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D212B6F"/>
    <w:multiLevelType w:val="hybridMultilevel"/>
    <w:tmpl w:val="B16E73D6"/>
    <w:lvl w:ilvl="0" w:tplc="39B2B074">
      <w:start w:val="187"/>
      <w:numFmt w:val="decimal"/>
      <w:lvlText w:val="%1."/>
      <w:lvlJc w:val="left"/>
      <w:pPr>
        <w:ind w:left="951" w:hanging="525"/>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513F132A"/>
    <w:multiLevelType w:val="multilevel"/>
    <w:tmpl w:val="792888D8"/>
    <w:lvl w:ilvl="0">
      <w:start w:val="2"/>
      <w:numFmt w:val="decimal"/>
      <w:lvlText w:val="%1."/>
      <w:lvlJc w:val="left"/>
      <w:pPr>
        <w:ind w:left="450" w:hanging="450"/>
      </w:pPr>
      <w:rPr>
        <w:rFonts w:hint="default"/>
      </w:rPr>
    </w:lvl>
    <w:lvl w:ilvl="1">
      <w:start w:val="1"/>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22" w15:restartNumberingAfterBreak="0">
    <w:nsid w:val="52124EA2"/>
    <w:multiLevelType w:val="multilevel"/>
    <w:tmpl w:val="EB10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A13F37"/>
    <w:multiLevelType w:val="hybridMultilevel"/>
    <w:tmpl w:val="2870C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F03688"/>
    <w:multiLevelType w:val="hybridMultilevel"/>
    <w:tmpl w:val="BC34A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6F524C"/>
    <w:multiLevelType w:val="hybridMultilevel"/>
    <w:tmpl w:val="F0987D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975317D"/>
    <w:multiLevelType w:val="multilevel"/>
    <w:tmpl w:val="7CC299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3456B7"/>
    <w:multiLevelType w:val="hybridMultilevel"/>
    <w:tmpl w:val="D4345BC4"/>
    <w:lvl w:ilvl="0" w:tplc="8FF64F36">
      <w:start w:val="1"/>
      <w:numFmt w:val="decimal"/>
      <w:lvlText w:val="%1."/>
      <w:lvlJc w:val="left"/>
      <w:pPr>
        <w:ind w:left="1068" w:hanging="360"/>
      </w:pPr>
      <w:rPr>
        <w:b w:val="0"/>
      </w:rPr>
    </w:lvl>
    <w:lvl w:ilvl="1" w:tplc="D356074C">
      <w:start w:val="1"/>
      <w:numFmt w:val="decimal"/>
      <w:lvlText w:val="%2."/>
      <w:lvlJc w:val="left"/>
      <w:pPr>
        <w:tabs>
          <w:tab w:val="num" w:pos="1440"/>
        </w:tabs>
        <w:ind w:left="1440" w:hanging="360"/>
      </w:pPr>
      <w:rPr>
        <w:rFonts w:ascii="Times New Roman" w:hAnsi="Times New Roman" w:cs="Times New Roman" w:hint="default"/>
        <w:b/>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B3975DC"/>
    <w:multiLevelType w:val="hybridMultilevel"/>
    <w:tmpl w:val="7024AEF8"/>
    <w:lvl w:ilvl="0" w:tplc="56CC5CBE">
      <w:numFmt w:val="none"/>
      <w:lvlText w:val=""/>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C5F01F5"/>
    <w:multiLevelType w:val="hybridMultilevel"/>
    <w:tmpl w:val="8EBA076C"/>
    <w:lvl w:ilvl="0" w:tplc="CA00F43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5DEB40E8"/>
    <w:multiLevelType w:val="hybridMultilevel"/>
    <w:tmpl w:val="1654D5EE"/>
    <w:lvl w:ilvl="0" w:tplc="4936F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E204948"/>
    <w:multiLevelType w:val="multilevel"/>
    <w:tmpl w:val="366A0A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AE2334"/>
    <w:multiLevelType w:val="hybridMultilevel"/>
    <w:tmpl w:val="922AF8B8"/>
    <w:lvl w:ilvl="0" w:tplc="51B86D1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E7090"/>
    <w:multiLevelType w:val="hybridMultilevel"/>
    <w:tmpl w:val="6F326EC2"/>
    <w:lvl w:ilvl="0" w:tplc="32BCB006">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DF32C4"/>
    <w:multiLevelType w:val="multilevel"/>
    <w:tmpl w:val="A87C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D211F5"/>
    <w:multiLevelType w:val="hybridMultilevel"/>
    <w:tmpl w:val="8F923FD0"/>
    <w:lvl w:ilvl="0" w:tplc="47446BB4">
      <w:start w:val="1"/>
      <w:numFmt w:val="decimal"/>
      <w:lvlText w:val="%1."/>
      <w:lvlJc w:val="left"/>
      <w:pPr>
        <w:ind w:left="765" w:hanging="405"/>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806A0B"/>
    <w:multiLevelType w:val="multilevel"/>
    <w:tmpl w:val="E7984B7E"/>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7345727"/>
    <w:multiLevelType w:val="hybridMultilevel"/>
    <w:tmpl w:val="2870C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DA75C0"/>
    <w:multiLevelType w:val="hybridMultilevel"/>
    <w:tmpl w:val="80FEF744"/>
    <w:lvl w:ilvl="0" w:tplc="A2E0D5B0">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C29005D"/>
    <w:multiLevelType w:val="hybridMultilevel"/>
    <w:tmpl w:val="2870C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F83352"/>
    <w:multiLevelType w:val="hybridMultilevel"/>
    <w:tmpl w:val="DDF8025E"/>
    <w:lvl w:ilvl="0" w:tplc="271E36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F0F2C54"/>
    <w:multiLevelType w:val="multilevel"/>
    <w:tmpl w:val="B40CBD3A"/>
    <w:lvl w:ilvl="0">
      <w:start w:val="1"/>
      <w:numFmt w:val="decimal"/>
      <w:lvlText w:val="%1."/>
      <w:lvlJc w:val="left"/>
      <w:pPr>
        <w:ind w:left="450" w:hanging="450"/>
      </w:pPr>
      <w:rPr>
        <w:rFonts w:cs="Times New Roman" w:hint="default"/>
      </w:rPr>
    </w:lvl>
    <w:lvl w:ilvl="1">
      <w:start w:val="1"/>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42" w15:restartNumberingAfterBreak="0">
    <w:nsid w:val="7F152EB4"/>
    <w:multiLevelType w:val="hybridMultilevel"/>
    <w:tmpl w:val="33387CD6"/>
    <w:lvl w:ilvl="0" w:tplc="78188FFE">
      <w:start w:val="1"/>
      <w:numFmt w:val="decimal"/>
      <w:lvlText w:val="%1."/>
      <w:lvlJc w:val="left"/>
      <w:pPr>
        <w:ind w:left="502" w:hanging="360"/>
      </w:pPr>
      <w:rPr>
        <w:sz w:val="28"/>
        <w:szCs w:val="28"/>
        <w:lang w:val="uk-UA"/>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3" w15:restartNumberingAfterBreak="0">
    <w:nsid w:val="7F651D43"/>
    <w:multiLevelType w:val="hybridMultilevel"/>
    <w:tmpl w:val="F4FE5B92"/>
    <w:lvl w:ilvl="0" w:tplc="92006F8E">
      <w:start w:val="1"/>
      <w:numFmt w:val="decimal"/>
      <w:lvlText w:val="%1."/>
      <w:lvlJc w:val="left"/>
      <w:pPr>
        <w:ind w:left="1069" w:hanging="360"/>
      </w:pPr>
      <w:rPr>
        <w:rFonts w:eastAsiaTheme="minorHAnsi" w:cstheme="minorBidi"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15:restartNumberingAfterBreak="0">
    <w:nsid w:val="7FA075DF"/>
    <w:multiLevelType w:val="multilevel"/>
    <w:tmpl w:val="924C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1"/>
  </w:num>
  <w:num w:numId="3">
    <w:abstractNumId w:val="0"/>
  </w:num>
  <w:num w:numId="4">
    <w:abstractNumId w:val="36"/>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41"/>
  </w:num>
  <w:num w:numId="9">
    <w:abstractNumId w:val="40"/>
  </w:num>
  <w:num w:numId="10">
    <w:abstractNumId w:val="11"/>
  </w:num>
  <w:num w:numId="11">
    <w:abstractNumId w:val="29"/>
  </w:num>
  <w:num w:numId="12">
    <w:abstractNumId w:val="38"/>
  </w:num>
  <w:num w:numId="13">
    <w:abstractNumId w:val="5"/>
  </w:num>
  <w:num w:numId="14">
    <w:abstractNumId w:val="1"/>
  </w:num>
  <w:num w:numId="15">
    <w:abstractNumId w:val="30"/>
  </w:num>
  <w:num w:numId="16">
    <w:abstractNumId w:val="32"/>
  </w:num>
  <w:num w:numId="17">
    <w:abstractNumId w:val="16"/>
  </w:num>
  <w:num w:numId="18">
    <w:abstractNumId w:val="31"/>
  </w:num>
  <w:num w:numId="19">
    <w:abstractNumId w:val="26"/>
  </w:num>
  <w:num w:numId="20">
    <w:abstractNumId w:val="10"/>
  </w:num>
  <w:num w:numId="21">
    <w:abstractNumId w:val="2"/>
  </w:num>
  <w:num w:numId="22">
    <w:abstractNumId w:val="25"/>
  </w:num>
  <w:num w:numId="23">
    <w:abstractNumId w:val="6"/>
  </w:num>
  <w:num w:numId="24">
    <w:abstractNumId w:val="18"/>
  </w:num>
  <w:num w:numId="25">
    <w:abstractNumId w:val="39"/>
  </w:num>
  <w:num w:numId="26">
    <w:abstractNumId w:val="23"/>
  </w:num>
  <w:num w:numId="27">
    <w:abstractNumId w:val="37"/>
  </w:num>
  <w:num w:numId="28">
    <w:abstractNumId w:val="44"/>
  </w:num>
  <w:num w:numId="29">
    <w:abstractNumId w:val="19"/>
  </w:num>
  <w:num w:numId="30">
    <w:abstractNumId w:val="7"/>
  </w:num>
  <w:num w:numId="31">
    <w:abstractNumId w:val="34"/>
  </w:num>
  <w:num w:numId="32">
    <w:abstractNumId w:val="42"/>
  </w:num>
  <w:num w:numId="33">
    <w:abstractNumId w:val="20"/>
  </w:num>
  <w:num w:numId="34">
    <w:abstractNumId w:val="24"/>
  </w:num>
  <w:num w:numId="35">
    <w:abstractNumId w:val="35"/>
  </w:num>
  <w:num w:numId="36">
    <w:abstractNumId w:val="12"/>
  </w:num>
  <w:num w:numId="37">
    <w:abstractNumId w:val="3"/>
  </w:num>
  <w:num w:numId="38">
    <w:abstractNumId w:val="33"/>
  </w:num>
  <w:num w:numId="39">
    <w:abstractNumId w:val="22"/>
  </w:num>
  <w:num w:numId="40">
    <w:abstractNumId w:val="14"/>
  </w:num>
  <w:num w:numId="41">
    <w:abstractNumId w:val="28"/>
  </w:num>
  <w:num w:numId="42">
    <w:abstractNumId w:val="9"/>
  </w:num>
  <w:num w:numId="43">
    <w:abstractNumId w:val="13"/>
  </w:num>
  <w:num w:numId="44">
    <w:abstractNumId w:val="43"/>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845"/>
    <w:rsid w:val="000003C9"/>
    <w:rsid w:val="00000737"/>
    <w:rsid w:val="000014B5"/>
    <w:rsid w:val="00001DA5"/>
    <w:rsid w:val="0000208A"/>
    <w:rsid w:val="000021A6"/>
    <w:rsid w:val="0000271F"/>
    <w:rsid w:val="00004257"/>
    <w:rsid w:val="0000440B"/>
    <w:rsid w:val="00006023"/>
    <w:rsid w:val="00006BA4"/>
    <w:rsid w:val="00006BE0"/>
    <w:rsid w:val="00006F9A"/>
    <w:rsid w:val="0000770B"/>
    <w:rsid w:val="00011BA4"/>
    <w:rsid w:val="00013381"/>
    <w:rsid w:val="000136D5"/>
    <w:rsid w:val="0001379A"/>
    <w:rsid w:val="00013BD2"/>
    <w:rsid w:val="000148F3"/>
    <w:rsid w:val="00014D97"/>
    <w:rsid w:val="000150F3"/>
    <w:rsid w:val="00015588"/>
    <w:rsid w:val="0001643F"/>
    <w:rsid w:val="00016531"/>
    <w:rsid w:val="0001659F"/>
    <w:rsid w:val="00016785"/>
    <w:rsid w:val="00016BDC"/>
    <w:rsid w:val="000172C9"/>
    <w:rsid w:val="00017DA2"/>
    <w:rsid w:val="00021116"/>
    <w:rsid w:val="000217CF"/>
    <w:rsid w:val="00021AA7"/>
    <w:rsid w:val="00021D6D"/>
    <w:rsid w:val="00021D89"/>
    <w:rsid w:val="0002205C"/>
    <w:rsid w:val="00022724"/>
    <w:rsid w:val="00022D02"/>
    <w:rsid w:val="00022E04"/>
    <w:rsid w:val="000241DE"/>
    <w:rsid w:val="0002463B"/>
    <w:rsid w:val="00024670"/>
    <w:rsid w:val="00025C5F"/>
    <w:rsid w:val="0002652B"/>
    <w:rsid w:val="00026861"/>
    <w:rsid w:val="000305BE"/>
    <w:rsid w:val="00030AA8"/>
    <w:rsid w:val="00030F8F"/>
    <w:rsid w:val="000318F0"/>
    <w:rsid w:val="0003197D"/>
    <w:rsid w:val="00031B3A"/>
    <w:rsid w:val="000326ED"/>
    <w:rsid w:val="000340FD"/>
    <w:rsid w:val="00034FE6"/>
    <w:rsid w:val="00035771"/>
    <w:rsid w:val="00036045"/>
    <w:rsid w:val="000361A5"/>
    <w:rsid w:val="000367EC"/>
    <w:rsid w:val="00040363"/>
    <w:rsid w:val="00040688"/>
    <w:rsid w:val="00040A0A"/>
    <w:rsid w:val="00040ACC"/>
    <w:rsid w:val="00041306"/>
    <w:rsid w:val="000424EE"/>
    <w:rsid w:val="00043E4D"/>
    <w:rsid w:val="00044FC9"/>
    <w:rsid w:val="000451D1"/>
    <w:rsid w:val="00046350"/>
    <w:rsid w:val="00046BA1"/>
    <w:rsid w:val="00046E43"/>
    <w:rsid w:val="000471FC"/>
    <w:rsid w:val="000472C4"/>
    <w:rsid w:val="00047768"/>
    <w:rsid w:val="00047F22"/>
    <w:rsid w:val="00050314"/>
    <w:rsid w:val="00050CFD"/>
    <w:rsid w:val="00050F01"/>
    <w:rsid w:val="000515D4"/>
    <w:rsid w:val="000515EC"/>
    <w:rsid w:val="0005223E"/>
    <w:rsid w:val="000522BE"/>
    <w:rsid w:val="00052B34"/>
    <w:rsid w:val="00052DFF"/>
    <w:rsid w:val="000531F4"/>
    <w:rsid w:val="00053EC2"/>
    <w:rsid w:val="00053FAC"/>
    <w:rsid w:val="000541E7"/>
    <w:rsid w:val="00054AC9"/>
    <w:rsid w:val="000555D2"/>
    <w:rsid w:val="00055B0F"/>
    <w:rsid w:val="00055E8F"/>
    <w:rsid w:val="00056139"/>
    <w:rsid w:val="00056200"/>
    <w:rsid w:val="000563F7"/>
    <w:rsid w:val="00060283"/>
    <w:rsid w:val="00060466"/>
    <w:rsid w:val="00060B1A"/>
    <w:rsid w:val="000617E1"/>
    <w:rsid w:val="00061B21"/>
    <w:rsid w:val="00061CC2"/>
    <w:rsid w:val="00062CD5"/>
    <w:rsid w:val="00062E1D"/>
    <w:rsid w:val="00062F0F"/>
    <w:rsid w:val="00063339"/>
    <w:rsid w:val="0006341C"/>
    <w:rsid w:val="00063511"/>
    <w:rsid w:val="0006375A"/>
    <w:rsid w:val="00063A37"/>
    <w:rsid w:val="00063E6F"/>
    <w:rsid w:val="00064A38"/>
    <w:rsid w:val="000650DD"/>
    <w:rsid w:val="00065406"/>
    <w:rsid w:val="0006542C"/>
    <w:rsid w:val="00065C5F"/>
    <w:rsid w:val="00066010"/>
    <w:rsid w:val="000662EB"/>
    <w:rsid w:val="00066708"/>
    <w:rsid w:val="00066D09"/>
    <w:rsid w:val="00066D56"/>
    <w:rsid w:val="000671FB"/>
    <w:rsid w:val="00067874"/>
    <w:rsid w:val="000709AA"/>
    <w:rsid w:val="00070E51"/>
    <w:rsid w:val="000714ED"/>
    <w:rsid w:val="00071780"/>
    <w:rsid w:val="00071C83"/>
    <w:rsid w:val="0007247D"/>
    <w:rsid w:val="0007294C"/>
    <w:rsid w:val="00072CBD"/>
    <w:rsid w:val="00073741"/>
    <w:rsid w:val="00073803"/>
    <w:rsid w:val="00074C11"/>
    <w:rsid w:val="00075CE5"/>
    <w:rsid w:val="00076572"/>
    <w:rsid w:val="00077659"/>
    <w:rsid w:val="00077F93"/>
    <w:rsid w:val="00081B33"/>
    <w:rsid w:val="0008208F"/>
    <w:rsid w:val="000821EE"/>
    <w:rsid w:val="00084511"/>
    <w:rsid w:val="00085050"/>
    <w:rsid w:val="000852B1"/>
    <w:rsid w:val="00085462"/>
    <w:rsid w:val="0008574F"/>
    <w:rsid w:val="00085E0A"/>
    <w:rsid w:val="00086CFA"/>
    <w:rsid w:val="00086F8D"/>
    <w:rsid w:val="000909B1"/>
    <w:rsid w:val="00090D81"/>
    <w:rsid w:val="000917E6"/>
    <w:rsid w:val="0009216A"/>
    <w:rsid w:val="000929CA"/>
    <w:rsid w:val="000932BF"/>
    <w:rsid w:val="0009580B"/>
    <w:rsid w:val="000A009B"/>
    <w:rsid w:val="000A09D0"/>
    <w:rsid w:val="000A0F0B"/>
    <w:rsid w:val="000A1D4F"/>
    <w:rsid w:val="000A2CA7"/>
    <w:rsid w:val="000A2D02"/>
    <w:rsid w:val="000A2E07"/>
    <w:rsid w:val="000A33C8"/>
    <w:rsid w:val="000A3931"/>
    <w:rsid w:val="000A3FFF"/>
    <w:rsid w:val="000A4298"/>
    <w:rsid w:val="000A4B66"/>
    <w:rsid w:val="000A4C38"/>
    <w:rsid w:val="000A5559"/>
    <w:rsid w:val="000A5F5B"/>
    <w:rsid w:val="000A631D"/>
    <w:rsid w:val="000A64C2"/>
    <w:rsid w:val="000A6A67"/>
    <w:rsid w:val="000A7114"/>
    <w:rsid w:val="000B0009"/>
    <w:rsid w:val="000B0284"/>
    <w:rsid w:val="000B1336"/>
    <w:rsid w:val="000B2136"/>
    <w:rsid w:val="000B2749"/>
    <w:rsid w:val="000B2756"/>
    <w:rsid w:val="000B2B71"/>
    <w:rsid w:val="000B2E45"/>
    <w:rsid w:val="000B2FD4"/>
    <w:rsid w:val="000B334B"/>
    <w:rsid w:val="000B37B4"/>
    <w:rsid w:val="000B3D48"/>
    <w:rsid w:val="000B47B3"/>
    <w:rsid w:val="000B504A"/>
    <w:rsid w:val="000B53DE"/>
    <w:rsid w:val="000B566B"/>
    <w:rsid w:val="000B576C"/>
    <w:rsid w:val="000B5F47"/>
    <w:rsid w:val="000B6146"/>
    <w:rsid w:val="000B61B4"/>
    <w:rsid w:val="000B63F9"/>
    <w:rsid w:val="000B6A21"/>
    <w:rsid w:val="000B7408"/>
    <w:rsid w:val="000B7BA4"/>
    <w:rsid w:val="000B7DC6"/>
    <w:rsid w:val="000C106E"/>
    <w:rsid w:val="000C1BFE"/>
    <w:rsid w:val="000C1C68"/>
    <w:rsid w:val="000C2387"/>
    <w:rsid w:val="000C2942"/>
    <w:rsid w:val="000C2A60"/>
    <w:rsid w:val="000C2BE3"/>
    <w:rsid w:val="000C5872"/>
    <w:rsid w:val="000C61F8"/>
    <w:rsid w:val="000C6504"/>
    <w:rsid w:val="000C6B4C"/>
    <w:rsid w:val="000D04CE"/>
    <w:rsid w:val="000D1493"/>
    <w:rsid w:val="000D167A"/>
    <w:rsid w:val="000D308C"/>
    <w:rsid w:val="000D3B86"/>
    <w:rsid w:val="000D3B9C"/>
    <w:rsid w:val="000D421B"/>
    <w:rsid w:val="000D45AC"/>
    <w:rsid w:val="000D4EA4"/>
    <w:rsid w:val="000D592A"/>
    <w:rsid w:val="000D5B58"/>
    <w:rsid w:val="000D5C04"/>
    <w:rsid w:val="000D7583"/>
    <w:rsid w:val="000E06A3"/>
    <w:rsid w:val="000E0D67"/>
    <w:rsid w:val="000E0E4F"/>
    <w:rsid w:val="000E1280"/>
    <w:rsid w:val="000E2429"/>
    <w:rsid w:val="000E267A"/>
    <w:rsid w:val="000E2C4A"/>
    <w:rsid w:val="000E30B1"/>
    <w:rsid w:val="000E31E0"/>
    <w:rsid w:val="000E33D9"/>
    <w:rsid w:val="000E37A7"/>
    <w:rsid w:val="000E3875"/>
    <w:rsid w:val="000E3D14"/>
    <w:rsid w:val="000E3DE6"/>
    <w:rsid w:val="000E4210"/>
    <w:rsid w:val="000E4F31"/>
    <w:rsid w:val="000E52EF"/>
    <w:rsid w:val="000E5371"/>
    <w:rsid w:val="000E5829"/>
    <w:rsid w:val="000E59D4"/>
    <w:rsid w:val="000E61B9"/>
    <w:rsid w:val="000E657D"/>
    <w:rsid w:val="000E75C0"/>
    <w:rsid w:val="000E791D"/>
    <w:rsid w:val="000F0BCB"/>
    <w:rsid w:val="000F0D7D"/>
    <w:rsid w:val="000F177F"/>
    <w:rsid w:val="000F1C35"/>
    <w:rsid w:val="000F1F70"/>
    <w:rsid w:val="000F5870"/>
    <w:rsid w:val="000F5876"/>
    <w:rsid w:val="000F5AA4"/>
    <w:rsid w:val="000F64FF"/>
    <w:rsid w:val="000F66FD"/>
    <w:rsid w:val="000F68B9"/>
    <w:rsid w:val="000F7745"/>
    <w:rsid w:val="000F7A8E"/>
    <w:rsid w:val="000F7AC0"/>
    <w:rsid w:val="00100006"/>
    <w:rsid w:val="00100624"/>
    <w:rsid w:val="00100E4F"/>
    <w:rsid w:val="00101568"/>
    <w:rsid w:val="00101BF7"/>
    <w:rsid w:val="00102691"/>
    <w:rsid w:val="001027EC"/>
    <w:rsid w:val="00104203"/>
    <w:rsid w:val="00104437"/>
    <w:rsid w:val="00104B90"/>
    <w:rsid w:val="00104F98"/>
    <w:rsid w:val="001052F9"/>
    <w:rsid w:val="00105414"/>
    <w:rsid w:val="00105491"/>
    <w:rsid w:val="0010678E"/>
    <w:rsid w:val="0010719A"/>
    <w:rsid w:val="00110156"/>
    <w:rsid w:val="001102F0"/>
    <w:rsid w:val="0011067C"/>
    <w:rsid w:val="0011071C"/>
    <w:rsid w:val="0011133E"/>
    <w:rsid w:val="00111D63"/>
    <w:rsid w:val="001124AA"/>
    <w:rsid w:val="00113AF9"/>
    <w:rsid w:val="00114D36"/>
    <w:rsid w:val="00114D9D"/>
    <w:rsid w:val="001155C8"/>
    <w:rsid w:val="00115BA3"/>
    <w:rsid w:val="00115DB3"/>
    <w:rsid w:val="00115F00"/>
    <w:rsid w:val="001166E3"/>
    <w:rsid w:val="00116CBF"/>
    <w:rsid w:val="00116F49"/>
    <w:rsid w:val="00117195"/>
    <w:rsid w:val="001178E9"/>
    <w:rsid w:val="00117DDE"/>
    <w:rsid w:val="00120905"/>
    <w:rsid w:val="00120BB1"/>
    <w:rsid w:val="001210D1"/>
    <w:rsid w:val="001217C2"/>
    <w:rsid w:val="001217F9"/>
    <w:rsid w:val="001227AB"/>
    <w:rsid w:val="001238A2"/>
    <w:rsid w:val="001238BE"/>
    <w:rsid w:val="00124D41"/>
    <w:rsid w:val="001262B6"/>
    <w:rsid w:val="001267DE"/>
    <w:rsid w:val="00126A4B"/>
    <w:rsid w:val="00127EFB"/>
    <w:rsid w:val="00127F18"/>
    <w:rsid w:val="00127F3E"/>
    <w:rsid w:val="001300A9"/>
    <w:rsid w:val="00130372"/>
    <w:rsid w:val="001303B9"/>
    <w:rsid w:val="00130978"/>
    <w:rsid w:val="00130B88"/>
    <w:rsid w:val="00131578"/>
    <w:rsid w:val="001317DA"/>
    <w:rsid w:val="00131D66"/>
    <w:rsid w:val="00133129"/>
    <w:rsid w:val="00133315"/>
    <w:rsid w:val="001339F6"/>
    <w:rsid w:val="00133F79"/>
    <w:rsid w:val="001348CC"/>
    <w:rsid w:val="001349EF"/>
    <w:rsid w:val="00135251"/>
    <w:rsid w:val="00135F17"/>
    <w:rsid w:val="0013645D"/>
    <w:rsid w:val="00137823"/>
    <w:rsid w:val="00137925"/>
    <w:rsid w:val="00137961"/>
    <w:rsid w:val="001406EA"/>
    <w:rsid w:val="0014099E"/>
    <w:rsid w:val="00140BEA"/>
    <w:rsid w:val="00140D7A"/>
    <w:rsid w:val="00140DF5"/>
    <w:rsid w:val="0014189F"/>
    <w:rsid w:val="0014242D"/>
    <w:rsid w:val="00142ED9"/>
    <w:rsid w:val="00142F41"/>
    <w:rsid w:val="00143044"/>
    <w:rsid w:val="001439B1"/>
    <w:rsid w:val="00143F78"/>
    <w:rsid w:val="001443A4"/>
    <w:rsid w:val="00144688"/>
    <w:rsid w:val="001501BF"/>
    <w:rsid w:val="001507B9"/>
    <w:rsid w:val="0015344E"/>
    <w:rsid w:val="001539C2"/>
    <w:rsid w:val="00153A17"/>
    <w:rsid w:val="00153EB9"/>
    <w:rsid w:val="00154B20"/>
    <w:rsid w:val="00155208"/>
    <w:rsid w:val="00156480"/>
    <w:rsid w:val="00157493"/>
    <w:rsid w:val="00157FFB"/>
    <w:rsid w:val="0016040F"/>
    <w:rsid w:val="001605ED"/>
    <w:rsid w:val="001622FA"/>
    <w:rsid w:val="00162FD8"/>
    <w:rsid w:val="00163828"/>
    <w:rsid w:val="00163C48"/>
    <w:rsid w:val="00164375"/>
    <w:rsid w:val="0016495C"/>
    <w:rsid w:val="00164ABD"/>
    <w:rsid w:val="00164C60"/>
    <w:rsid w:val="00166A01"/>
    <w:rsid w:val="00167434"/>
    <w:rsid w:val="00167E9A"/>
    <w:rsid w:val="0017086C"/>
    <w:rsid w:val="00170887"/>
    <w:rsid w:val="00171654"/>
    <w:rsid w:val="00171894"/>
    <w:rsid w:val="0017321C"/>
    <w:rsid w:val="0017438A"/>
    <w:rsid w:val="00174462"/>
    <w:rsid w:val="00174A5B"/>
    <w:rsid w:val="00175585"/>
    <w:rsid w:val="00175B99"/>
    <w:rsid w:val="00176614"/>
    <w:rsid w:val="00176FAE"/>
    <w:rsid w:val="00177282"/>
    <w:rsid w:val="00177BD3"/>
    <w:rsid w:val="00180B6C"/>
    <w:rsid w:val="00180DD6"/>
    <w:rsid w:val="00181B14"/>
    <w:rsid w:val="0018210A"/>
    <w:rsid w:val="00182F51"/>
    <w:rsid w:val="00183921"/>
    <w:rsid w:val="00184647"/>
    <w:rsid w:val="0018756E"/>
    <w:rsid w:val="001879B0"/>
    <w:rsid w:val="00187D96"/>
    <w:rsid w:val="00187E84"/>
    <w:rsid w:val="00190167"/>
    <w:rsid w:val="001905BC"/>
    <w:rsid w:val="001909D8"/>
    <w:rsid w:val="001921DF"/>
    <w:rsid w:val="001923C5"/>
    <w:rsid w:val="00193B18"/>
    <w:rsid w:val="00194B93"/>
    <w:rsid w:val="001950DD"/>
    <w:rsid w:val="00195FCE"/>
    <w:rsid w:val="00196480"/>
    <w:rsid w:val="0019699C"/>
    <w:rsid w:val="00196FF5"/>
    <w:rsid w:val="001A0248"/>
    <w:rsid w:val="001A2D42"/>
    <w:rsid w:val="001A3035"/>
    <w:rsid w:val="001A3EF2"/>
    <w:rsid w:val="001A43AD"/>
    <w:rsid w:val="001A452D"/>
    <w:rsid w:val="001A64E7"/>
    <w:rsid w:val="001A68EE"/>
    <w:rsid w:val="001A6E02"/>
    <w:rsid w:val="001A73BB"/>
    <w:rsid w:val="001A7AEA"/>
    <w:rsid w:val="001B0C34"/>
    <w:rsid w:val="001B1452"/>
    <w:rsid w:val="001B16F1"/>
    <w:rsid w:val="001B171B"/>
    <w:rsid w:val="001B293C"/>
    <w:rsid w:val="001B2EEF"/>
    <w:rsid w:val="001B3286"/>
    <w:rsid w:val="001B32E4"/>
    <w:rsid w:val="001B37D2"/>
    <w:rsid w:val="001B3846"/>
    <w:rsid w:val="001B3881"/>
    <w:rsid w:val="001B39B7"/>
    <w:rsid w:val="001B4415"/>
    <w:rsid w:val="001B45E8"/>
    <w:rsid w:val="001B4C71"/>
    <w:rsid w:val="001B5961"/>
    <w:rsid w:val="001B5BAE"/>
    <w:rsid w:val="001B6B84"/>
    <w:rsid w:val="001B73D2"/>
    <w:rsid w:val="001B7877"/>
    <w:rsid w:val="001B7E9A"/>
    <w:rsid w:val="001C0A43"/>
    <w:rsid w:val="001C1F66"/>
    <w:rsid w:val="001C1FD3"/>
    <w:rsid w:val="001C20F8"/>
    <w:rsid w:val="001C232B"/>
    <w:rsid w:val="001C2872"/>
    <w:rsid w:val="001C36A2"/>
    <w:rsid w:val="001C3B6B"/>
    <w:rsid w:val="001C3FB7"/>
    <w:rsid w:val="001C3FD4"/>
    <w:rsid w:val="001C47C1"/>
    <w:rsid w:val="001C5499"/>
    <w:rsid w:val="001C5558"/>
    <w:rsid w:val="001C5995"/>
    <w:rsid w:val="001C5D9D"/>
    <w:rsid w:val="001C60AB"/>
    <w:rsid w:val="001C62CF"/>
    <w:rsid w:val="001C63D3"/>
    <w:rsid w:val="001C6514"/>
    <w:rsid w:val="001C6D9F"/>
    <w:rsid w:val="001C72B7"/>
    <w:rsid w:val="001C7E5E"/>
    <w:rsid w:val="001D01CA"/>
    <w:rsid w:val="001D0942"/>
    <w:rsid w:val="001D1755"/>
    <w:rsid w:val="001D1C9B"/>
    <w:rsid w:val="001D1D76"/>
    <w:rsid w:val="001D1DC0"/>
    <w:rsid w:val="001D288C"/>
    <w:rsid w:val="001D3B10"/>
    <w:rsid w:val="001D3FB1"/>
    <w:rsid w:val="001D48B4"/>
    <w:rsid w:val="001D4C94"/>
    <w:rsid w:val="001D619C"/>
    <w:rsid w:val="001D6988"/>
    <w:rsid w:val="001D75F4"/>
    <w:rsid w:val="001D7751"/>
    <w:rsid w:val="001D776F"/>
    <w:rsid w:val="001D7D20"/>
    <w:rsid w:val="001E0053"/>
    <w:rsid w:val="001E009B"/>
    <w:rsid w:val="001E0525"/>
    <w:rsid w:val="001E08DF"/>
    <w:rsid w:val="001E096D"/>
    <w:rsid w:val="001E0F19"/>
    <w:rsid w:val="001E0FE8"/>
    <w:rsid w:val="001E143C"/>
    <w:rsid w:val="001E278C"/>
    <w:rsid w:val="001E2A57"/>
    <w:rsid w:val="001E3105"/>
    <w:rsid w:val="001E3206"/>
    <w:rsid w:val="001E352F"/>
    <w:rsid w:val="001E4162"/>
    <w:rsid w:val="001E438D"/>
    <w:rsid w:val="001E452F"/>
    <w:rsid w:val="001E47C2"/>
    <w:rsid w:val="001E4B99"/>
    <w:rsid w:val="001E4F35"/>
    <w:rsid w:val="001E52F0"/>
    <w:rsid w:val="001E5FCE"/>
    <w:rsid w:val="001E699F"/>
    <w:rsid w:val="001E7174"/>
    <w:rsid w:val="001E7AF6"/>
    <w:rsid w:val="001F06B6"/>
    <w:rsid w:val="001F1C96"/>
    <w:rsid w:val="001F252F"/>
    <w:rsid w:val="001F270D"/>
    <w:rsid w:val="001F3120"/>
    <w:rsid w:val="001F338D"/>
    <w:rsid w:val="001F398B"/>
    <w:rsid w:val="001F3D67"/>
    <w:rsid w:val="001F4134"/>
    <w:rsid w:val="001F4F16"/>
    <w:rsid w:val="001F5457"/>
    <w:rsid w:val="001F5509"/>
    <w:rsid w:val="001F6643"/>
    <w:rsid w:val="001F68AA"/>
    <w:rsid w:val="001F7C57"/>
    <w:rsid w:val="001F7EA8"/>
    <w:rsid w:val="001F7F7D"/>
    <w:rsid w:val="001F7FEB"/>
    <w:rsid w:val="00200319"/>
    <w:rsid w:val="00201303"/>
    <w:rsid w:val="00201A15"/>
    <w:rsid w:val="00201BAB"/>
    <w:rsid w:val="00201C85"/>
    <w:rsid w:val="00201E9D"/>
    <w:rsid w:val="00202028"/>
    <w:rsid w:val="0020214B"/>
    <w:rsid w:val="002021B5"/>
    <w:rsid w:val="00202364"/>
    <w:rsid w:val="0020236A"/>
    <w:rsid w:val="002024DC"/>
    <w:rsid w:val="0020252E"/>
    <w:rsid w:val="002025F6"/>
    <w:rsid w:val="00202685"/>
    <w:rsid w:val="002029DF"/>
    <w:rsid w:val="00202A9D"/>
    <w:rsid w:val="00202E65"/>
    <w:rsid w:val="00203259"/>
    <w:rsid w:val="00203540"/>
    <w:rsid w:val="00203A43"/>
    <w:rsid w:val="0020456D"/>
    <w:rsid w:val="002046D4"/>
    <w:rsid w:val="00204B75"/>
    <w:rsid w:val="00204CD5"/>
    <w:rsid w:val="0020567E"/>
    <w:rsid w:val="00205C47"/>
    <w:rsid w:val="00205E41"/>
    <w:rsid w:val="002076F2"/>
    <w:rsid w:val="002077C7"/>
    <w:rsid w:val="00207B77"/>
    <w:rsid w:val="002100AF"/>
    <w:rsid w:val="0021040E"/>
    <w:rsid w:val="00210A5B"/>
    <w:rsid w:val="0021236F"/>
    <w:rsid w:val="00212679"/>
    <w:rsid w:val="00212A11"/>
    <w:rsid w:val="00213454"/>
    <w:rsid w:val="0021389C"/>
    <w:rsid w:val="00213BBF"/>
    <w:rsid w:val="00213F6A"/>
    <w:rsid w:val="00214AA5"/>
    <w:rsid w:val="0021556C"/>
    <w:rsid w:val="002155DB"/>
    <w:rsid w:val="00215D87"/>
    <w:rsid w:val="00215F47"/>
    <w:rsid w:val="00215FF9"/>
    <w:rsid w:val="002162AA"/>
    <w:rsid w:val="00217348"/>
    <w:rsid w:val="00220389"/>
    <w:rsid w:val="00221123"/>
    <w:rsid w:val="00221E4C"/>
    <w:rsid w:val="002223AC"/>
    <w:rsid w:val="00222402"/>
    <w:rsid w:val="00223133"/>
    <w:rsid w:val="002241AB"/>
    <w:rsid w:val="00224FEF"/>
    <w:rsid w:val="00225C80"/>
    <w:rsid w:val="0022613E"/>
    <w:rsid w:val="002266ED"/>
    <w:rsid w:val="0022691D"/>
    <w:rsid w:val="00226B34"/>
    <w:rsid w:val="00226DEF"/>
    <w:rsid w:val="002273F9"/>
    <w:rsid w:val="0023028A"/>
    <w:rsid w:val="002304B8"/>
    <w:rsid w:val="00231CDA"/>
    <w:rsid w:val="00231D3D"/>
    <w:rsid w:val="0023249C"/>
    <w:rsid w:val="002325C2"/>
    <w:rsid w:val="00232693"/>
    <w:rsid w:val="002334C3"/>
    <w:rsid w:val="00233753"/>
    <w:rsid w:val="00233B25"/>
    <w:rsid w:val="00233BF9"/>
    <w:rsid w:val="0023495F"/>
    <w:rsid w:val="00234A70"/>
    <w:rsid w:val="00234EBC"/>
    <w:rsid w:val="002350C8"/>
    <w:rsid w:val="00235181"/>
    <w:rsid w:val="00235497"/>
    <w:rsid w:val="00235F92"/>
    <w:rsid w:val="00237B36"/>
    <w:rsid w:val="002409B3"/>
    <w:rsid w:val="00240D4B"/>
    <w:rsid w:val="002412DE"/>
    <w:rsid w:val="00242BAA"/>
    <w:rsid w:val="00243417"/>
    <w:rsid w:val="002434B7"/>
    <w:rsid w:val="00244CAE"/>
    <w:rsid w:val="002453E8"/>
    <w:rsid w:val="00245F0E"/>
    <w:rsid w:val="002464D1"/>
    <w:rsid w:val="00246B31"/>
    <w:rsid w:val="00246DE0"/>
    <w:rsid w:val="00247020"/>
    <w:rsid w:val="002470ED"/>
    <w:rsid w:val="00247BB6"/>
    <w:rsid w:val="00250D18"/>
    <w:rsid w:val="00251634"/>
    <w:rsid w:val="0025269B"/>
    <w:rsid w:val="0025291D"/>
    <w:rsid w:val="002532B8"/>
    <w:rsid w:val="002537F1"/>
    <w:rsid w:val="002539F5"/>
    <w:rsid w:val="00253BCD"/>
    <w:rsid w:val="00253D0E"/>
    <w:rsid w:val="00253E35"/>
    <w:rsid w:val="00254459"/>
    <w:rsid w:val="00255E33"/>
    <w:rsid w:val="002563CE"/>
    <w:rsid w:val="00256B00"/>
    <w:rsid w:val="00256EED"/>
    <w:rsid w:val="00256FF8"/>
    <w:rsid w:val="002578DE"/>
    <w:rsid w:val="002579B1"/>
    <w:rsid w:val="00257A0F"/>
    <w:rsid w:val="00257F3D"/>
    <w:rsid w:val="002607BE"/>
    <w:rsid w:val="00260A66"/>
    <w:rsid w:val="00260B17"/>
    <w:rsid w:val="00261063"/>
    <w:rsid w:val="00261209"/>
    <w:rsid w:val="002612BE"/>
    <w:rsid w:val="002623EE"/>
    <w:rsid w:val="00262B26"/>
    <w:rsid w:val="00263E7C"/>
    <w:rsid w:val="0026404F"/>
    <w:rsid w:val="00264694"/>
    <w:rsid w:val="00264FCE"/>
    <w:rsid w:val="00266064"/>
    <w:rsid w:val="002671A3"/>
    <w:rsid w:val="0026727B"/>
    <w:rsid w:val="00270950"/>
    <w:rsid w:val="002711C6"/>
    <w:rsid w:val="0027180E"/>
    <w:rsid w:val="00271AC4"/>
    <w:rsid w:val="00271EF8"/>
    <w:rsid w:val="00272372"/>
    <w:rsid w:val="00273046"/>
    <w:rsid w:val="00273567"/>
    <w:rsid w:val="00273707"/>
    <w:rsid w:val="00273ADC"/>
    <w:rsid w:val="00273B8C"/>
    <w:rsid w:val="00273C8C"/>
    <w:rsid w:val="002750D2"/>
    <w:rsid w:val="00275668"/>
    <w:rsid w:val="00275977"/>
    <w:rsid w:val="00275DF5"/>
    <w:rsid w:val="002768AB"/>
    <w:rsid w:val="00276B46"/>
    <w:rsid w:val="002773CE"/>
    <w:rsid w:val="00281047"/>
    <w:rsid w:val="00281D38"/>
    <w:rsid w:val="00284086"/>
    <w:rsid w:val="00284257"/>
    <w:rsid w:val="0028452B"/>
    <w:rsid w:val="002847BB"/>
    <w:rsid w:val="00284DBE"/>
    <w:rsid w:val="00285350"/>
    <w:rsid w:val="002855D3"/>
    <w:rsid w:val="00285FC2"/>
    <w:rsid w:val="002865A3"/>
    <w:rsid w:val="0028678B"/>
    <w:rsid w:val="0028694A"/>
    <w:rsid w:val="0028726B"/>
    <w:rsid w:val="002878A4"/>
    <w:rsid w:val="00287DDA"/>
    <w:rsid w:val="0029026B"/>
    <w:rsid w:val="002907B9"/>
    <w:rsid w:val="002907F7"/>
    <w:rsid w:val="00291C48"/>
    <w:rsid w:val="00292372"/>
    <w:rsid w:val="00292658"/>
    <w:rsid w:val="00292704"/>
    <w:rsid w:val="002929C4"/>
    <w:rsid w:val="002947CD"/>
    <w:rsid w:val="0029513B"/>
    <w:rsid w:val="0029534B"/>
    <w:rsid w:val="002953FB"/>
    <w:rsid w:val="002954C1"/>
    <w:rsid w:val="0029556F"/>
    <w:rsid w:val="00295735"/>
    <w:rsid w:val="0029602B"/>
    <w:rsid w:val="0029795E"/>
    <w:rsid w:val="002979CE"/>
    <w:rsid w:val="002A0559"/>
    <w:rsid w:val="002A07FA"/>
    <w:rsid w:val="002A08D1"/>
    <w:rsid w:val="002A2DFE"/>
    <w:rsid w:val="002A31C2"/>
    <w:rsid w:val="002A3912"/>
    <w:rsid w:val="002A4310"/>
    <w:rsid w:val="002A44ED"/>
    <w:rsid w:val="002A4F3A"/>
    <w:rsid w:val="002A5253"/>
    <w:rsid w:val="002A5B21"/>
    <w:rsid w:val="002A62D1"/>
    <w:rsid w:val="002A75C5"/>
    <w:rsid w:val="002A779C"/>
    <w:rsid w:val="002A7AF8"/>
    <w:rsid w:val="002A7D37"/>
    <w:rsid w:val="002B0C66"/>
    <w:rsid w:val="002B1422"/>
    <w:rsid w:val="002B1523"/>
    <w:rsid w:val="002B1ED5"/>
    <w:rsid w:val="002B2313"/>
    <w:rsid w:val="002B23A1"/>
    <w:rsid w:val="002B28B2"/>
    <w:rsid w:val="002B2C98"/>
    <w:rsid w:val="002B31F0"/>
    <w:rsid w:val="002B3AFA"/>
    <w:rsid w:val="002B3E34"/>
    <w:rsid w:val="002B52A6"/>
    <w:rsid w:val="002B5539"/>
    <w:rsid w:val="002B5972"/>
    <w:rsid w:val="002B612F"/>
    <w:rsid w:val="002B6CA0"/>
    <w:rsid w:val="002B746E"/>
    <w:rsid w:val="002B77FD"/>
    <w:rsid w:val="002B78B9"/>
    <w:rsid w:val="002B7CA9"/>
    <w:rsid w:val="002B7E7D"/>
    <w:rsid w:val="002C21E4"/>
    <w:rsid w:val="002C223D"/>
    <w:rsid w:val="002C2A82"/>
    <w:rsid w:val="002C3045"/>
    <w:rsid w:val="002C33BB"/>
    <w:rsid w:val="002C3998"/>
    <w:rsid w:val="002C3BDA"/>
    <w:rsid w:val="002C3E40"/>
    <w:rsid w:val="002C3EAD"/>
    <w:rsid w:val="002C4439"/>
    <w:rsid w:val="002C454A"/>
    <w:rsid w:val="002C482E"/>
    <w:rsid w:val="002C4A12"/>
    <w:rsid w:val="002C5905"/>
    <w:rsid w:val="002C63B3"/>
    <w:rsid w:val="002C703B"/>
    <w:rsid w:val="002C7337"/>
    <w:rsid w:val="002C7610"/>
    <w:rsid w:val="002C795E"/>
    <w:rsid w:val="002D0070"/>
    <w:rsid w:val="002D01D8"/>
    <w:rsid w:val="002D0224"/>
    <w:rsid w:val="002D0904"/>
    <w:rsid w:val="002D0968"/>
    <w:rsid w:val="002D0B1C"/>
    <w:rsid w:val="002D12C9"/>
    <w:rsid w:val="002D1D2F"/>
    <w:rsid w:val="002D33BC"/>
    <w:rsid w:val="002D458E"/>
    <w:rsid w:val="002D56CC"/>
    <w:rsid w:val="002D598C"/>
    <w:rsid w:val="002D5B76"/>
    <w:rsid w:val="002D6219"/>
    <w:rsid w:val="002D6DB7"/>
    <w:rsid w:val="002E04A4"/>
    <w:rsid w:val="002E098F"/>
    <w:rsid w:val="002E1ECA"/>
    <w:rsid w:val="002E2706"/>
    <w:rsid w:val="002E2C5E"/>
    <w:rsid w:val="002E3827"/>
    <w:rsid w:val="002E3C7D"/>
    <w:rsid w:val="002E3D80"/>
    <w:rsid w:val="002E4AE5"/>
    <w:rsid w:val="002E4D04"/>
    <w:rsid w:val="002E53B1"/>
    <w:rsid w:val="002E56DC"/>
    <w:rsid w:val="002E62BA"/>
    <w:rsid w:val="002E657D"/>
    <w:rsid w:val="002E6C5C"/>
    <w:rsid w:val="002E74AE"/>
    <w:rsid w:val="002E7D79"/>
    <w:rsid w:val="002F08F9"/>
    <w:rsid w:val="002F0C21"/>
    <w:rsid w:val="002F1390"/>
    <w:rsid w:val="002F18FA"/>
    <w:rsid w:val="002F1993"/>
    <w:rsid w:val="002F1DB0"/>
    <w:rsid w:val="002F21D2"/>
    <w:rsid w:val="002F25A7"/>
    <w:rsid w:val="002F4DE2"/>
    <w:rsid w:val="002F5250"/>
    <w:rsid w:val="002F62C8"/>
    <w:rsid w:val="002F6F5E"/>
    <w:rsid w:val="002F73A4"/>
    <w:rsid w:val="002F7D91"/>
    <w:rsid w:val="00300A7E"/>
    <w:rsid w:val="0030202C"/>
    <w:rsid w:val="003028EC"/>
    <w:rsid w:val="00302C91"/>
    <w:rsid w:val="00302F2D"/>
    <w:rsid w:val="00302F39"/>
    <w:rsid w:val="003030E5"/>
    <w:rsid w:val="00304D43"/>
    <w:rsid w:val="00304FF5"/>
    <w:rsid w:val="0030502D"/>
    <w:rsid w:val="00305E9A"/>
    <w:rsid w:val="003067B4"/>
    <w:rsid w:val="00307409"/>
    <w:rsid w:val="00307448"/>
    <w:rsid w:val="00307A6D"/>
    <w:rsid w:val="003103A4"/>
    <w:rsid w:val="00310462"/>
    <w:rsid w:val="00310757"/>
    <w:rsid w:val="0031095C"/>
    <w:rsid w:val="00310C68"/>
    <w:rsid w:val="003116F2"/>
    <w:rsid w:val="003125E7"/>
    <w:rsid w:val="00313055"/>
    <w:rsid w:val="003133C1"/>
    <w:rsid w:val="003136AB"/>
    <w:rsid w:val="003139C5"/>
    <w:rsid w:val="00313F9F"/>
    <w:rsid w:val="00314FB4"/>
    <w:rsid w:val="003155B6"/>
    <w:rsid w:val="00315FC2"/>
    <w:rsid w:val="00317751"/>
    <w:rsid w:val="00320DF4"/>
    <w:rsid w:val="003212D4"/>
    <w:rsid w:val="00321483"/>
    <w:rsid w:val="00322640"/>
    <w:rsid w:val="003227F4"/>
    <w:rsid w:val="00322D90"/>
    <w:rsid w:val="0032376B"/>
    <w:rsid w:val="003241F3"/>
    <w:rsid w:val="0032468D"/>
    <w:rsid w:val="00324FA7"/>
    <w:rsid w:val="00325B25"/>
    <w:rsid w:val="003260B2"/>
    <w:rsid w:val="003261B7"/>
    <w:rsid w:val="00326625"/>
    <w:rsid w:val="00327136"/>
    <w:rsid w:val="0032720F"/>
    <w:rsid w:val="003309AB"/>
    <w:rsid w:val="00330C04"/>
    <w:rsid w:val="00331AA5"/>
    <w:rsid w:val="00332326"/>
    <w:rsid w:val="00332335"/>
    <w:rsid w:val="00332403"/>
    <w:rsid w:val="003328C0"/>
    <w:rsid w:val="00332B34"/>
    <w:rsid w:val="00332B3E"/>
    <w:rsid w:val="00334737"/>
    <w:rsid w:val="0033510D"/>
    <w:rsid w:val="00335352"/>
    <w:rsid w:val="00335918"/>
    <w:rsid w:val="0034034C"/>
    <w:rsid w:val="00340929"/>
    <w:rsid w:val="003409AF"/>
    <w:rsid w:val="00341286"/>
    <w:rsid w:val="00342087"/>
    <w:rsid w:val="00342280"/>
    <w:rsid w:val="003424B2"/>
    <w:rsid w:val="00342DA7"/>
    <w:rsid w:val="003439C9"/>
    <w:rsid w:val="00343CE6"/>
    <w:rsid w:val="00345B2E"/>
    <w:rsid w:val="00347022"/>
    <w:rsid w:val="003471E1"/>
    <w:rsid w:val="00347BD9"/>
    <w:rsid w:val="003500DA"/>
    <w:rsid w:val="003519F7"/>
    <w:rsid w:val="00351CC1"/>
    <w:rsid w:val="00351E43"/>
    <w:rsid w:val="00351E8B"/>
    <w:rsid w:val="0035284C"/>
    <w:rsid w:val="00354AA6"/>
    <w:rsid w:val="00355FB5"/>
    <w:rsid w:val="00356018"/>
    <w:rsid w:val="00356861"/>
    <w:rsid w:val="0035699E"/>
    <w:rsid w:val="00357473"/>
    <w:rsid w:val="00360318"/>
    <w:rsid w:val="00360FAC"/>
    <w:rsid w:val="0036106B"/>
    <w:rsid w:val="00361A00"/>
    <w:rsid w:val="00362074"/>
    <w:rsid w:val="0036258E"/>
    <w:rsid w:val="00362726"/>
    <w:rsid w:val="0036431A"/>
    <w:rsid w:val="003643E7"/>
    <w:rsid w:val="00364A3A"/>
    <w:rsid w:val="0036546F"/>
    <w:rsid w:val="003656FE"/>
    <w:rsid w:val="00365BE8"/>
    <w:rsid w:val="00365E10"/>
    <w:rsid w:val="00365F68"/>
    <w:rsid w:val="00366411"/>
    <w:rsid w:val="00366736"/>
    <w:rsid w:val="00367833"/>
    <w:rsid w:val="00370682"/>
    <w:rsid w:val="0037083A"/>
    <w:rsid w:val="003719C9"/>
    <w:rsid w:val="00372152"/>
    <w:rsid w:val="00372226"/>
    <w:rsid w:val="00372B56"/>
    <w:rsid w:val="0037311E"/>
    <w:rsid w:val="003739F6"/>
    <w:rsid w:val="00374549"/>
    <w:rsid w:val="00374708"/>
    <w:rsid w:val="00374A56"/>
    <w:rsid w:val="0037501C"/>
    <w:rsid w:val="00375302"/>
    <w:rsid w:val="00375896"/>
    <w:rsid w:val="003762FF"/>
    <w:rsid w:val="00376532"/>
    <w:rsid w:val="00376A8E"/>
    <w:rsid w:val="00376CEA"/>
    <w:rsid w:val="00376E09"/>
    <w:rsid w:val="00377573"/>
    <w:rsid w:val="00377A88"/>
    <w:rsid w:val="00380D21"/>
    <w:rsid w:val="00380D9F"/>
    <w:rsid w:val="003810D8"/>
    <w:rsid w:val="00381766"/>
    <w:rsid w:val="00381FC3"/>
    <w:rsid w:val="003829A7"/>
    <w:rsid w:val="003836C3"/>
    <w:rsid w:val="00384016"/>
    <w:rsid w:val="00384085"/>
    <w:rsid w:val="00384B39"/>
    <w:rsid w:val="00385047"/>
    <w:rsid w:val="003863A9"/>
    <w:rsid w:val="00387090"/>
    <w:rsid w:val="0038741C"/>
    <w:rsid w:val="00387A0D"/>
    <w:rsid w:val="0039057F"/>
    <w:rsid w:val="003906A5"/>
    <w:rsid w:val="00390CA7"/>
    <w:rsid w:val="00391CF7"/>
    <w:rsid w:val="00391EB9"/>
    <w:rsid w:val="00391F2B"/>
    <w:rsid w:val="00391FCB"/>
    <w:rsid w:val="0039229A"/>
    <w:rsid w:val="00393884"/>
    <w:rsid w:val="00394329"/>
    <w:rsid w:val="00394488"/>
    <w:rsid w:val="003949BE"/>
    <w:rsid w:val="00394DD6"/>
    <w:rsid w:val="00395533"/>
    <w:rsid w:val="00395727"/>
    <w:rsid w:val="00396180"/>
    <w:rsid w:val="00397640"/>
    <w:rsid w:val="00397AAC"/>
    <w:rsid w:val="003A039C"/>
    <w:rsid w:val="003A08E7"/>
    <w:rsid w:val="003A143A"/>
    <w:rsid w:val="003A1552"/>
    <w:rsid w:val="003A1D40"/>
    <w:rsid w:val="003A207D"/>
    <w:rsid w:val="003A3156"/>
    <w:rsid w:val="003A3A4F"/>
    <w:rsid w:val="003A4343"/>
    <w:rsid w:val="003A4B28"/>
    <w:rsid w:val="003A5552"/>
    <w:rsid w:val="003A59E2"/>
    <w:rsid w:val="003A5BF4"/>
    <w:rsid w:val="003A6815"/>
    <w:rsid w:val="003A75EB"/>
    <w:rsid w:val="003A7A46"/>
    <w:rsid w:val="003B04CD"/>
    <w:rsid w:val="003B0699"/>
    <w:rsid w:val="003B0837"/>
    <w:rsid w:val="003B0844"/>
    <w:rsid w:val="003B0BDB"/>
    <w:rsid w:val="003B0D6E"/>
    <w:rsid w:val="003B0E28"/>
    <w:rsid w:val="003B1497"/>
    <w:rsid w:val="003B1EA6"/>
    <w:rsid w:val="003B3108"/>
    <w:rsid w:val="003B5907"/>
    <w:rsid w:val="003B5983"/>
    <w:rsid w:val="003B6131"/>
    <w:rsid w:val="003B64BF"/>
    <w:rsid w:val="003B68D3"/>
    <w:rsid w:val="003B6AF5"/>
    <w:rsid w:val="003B6D7E"/>
    <w:rsid w:val="003B7107"/>
    <w:rsid w:val="003B72D8"/>
    <w:rsid w:val="003B7875"/>
    <w:rsid w:val="003B7F62"/>
    <w:rsid w:val="003C0937"/>
    <w:rsid w:val="003C09D3"/>
    <w:rsid w:val="003C18BB"/>
    <w:rsid w:val="003C1C56"/>
    <w:rsid w:val="003C1CA5"/>
    <w:rsid w:val="003C1E98"/>
    <w:rsid w:val="003C2466"/>
    <w:rsid w:val="003C2694"/>
    <w:rsid w:val="003C33B3"/>
    <w:rsid w:val="003C3613"/>
    <w:rsid w:val="003C3689"/>
    <w:rsid w:val="003C37C5"/>
    <w:rsid w:val="003C3C50"/>
    <w:rsid w:val="003C3CD4"/>
    <w:rsid w:val="003C42F0"/>
    <w:rsid w:val="003C47AE"/>
    <w:rsid w:val="003C4DC5"/>
    <w:rsid w:val="003C4F36"/>
    <w:rsid w:val="003C5722"/>
    <w:rsid w:val="003C5D92"/>
    <w:rsid w:val="003C6C8C"/>
    <w:rsid w:val="003C6CB4"/>
    <w:rsid w:val="003C742E"/>
    <w:rsid w:val="003C7A45"/>
    <w:rsid w:val="003C7A52"/>
    <w:rsid w:val="003C7BFA"/>
    <w:rsid w:val="003C7DC6"/>
    <w:rsid w:val="003D04E9"/>
    <w:rsid w:val="003D0AD0"/>
    <w:rsid w:val="003D257F"/>
    <w:rsid w:val="003D25AA"/>
    <w:rsid w:val="003D3036"/>
    <w:rsid w:val="003D3111"/>
    <w:rsid w:val="003D3FCB"/>
    <w:rsid w:val="003D49A4"/>
    <w:rsid w:val="003D4BBB"/>
    <w:rsid w:val="003D51BD"/>
    <w:rsid w:val="003D51C5"/>
    <w:rsid w:val="003D5256"/>
    <w:rsid w:val="003D567C"/>
    <w:rsid w:val="003D590A"/>
    <w:rsid w:val="003D5B03"/>
    <w:rsid w:val="003D61D0"/>
    <w:rsid w:val="003D6AB1"/>
    <w:rsid w:val="003D6DD1"/>
    <w:rsid w:val="003D6E57"/>
    <w:rsid w:val="003D7037"/>
    <w:rsid w:val="003D7431"/>
    <w:rsid w:val="003D79AC"/>
    <w:rsid w:val="003E07A4"/>
    <w:rsid w:val="003E085E"/>
    <w:rsid w:val="003E0B18"/>
    <w:rsid w:val="003E189E"/>
    <w:rsid w:val="003E1F05"/>
    <w:rsid w:val="003E1FA8"/>
    <w:rsid w:val="003E1FFD"/>
    <w:rsid w:val="003E2A76"/>
    <w:rsid w:val="003E3B6B"/>
    <w:rsid w:val="003E443B"/>
    <w:rsid w:val="003E58E7"/>
    <w:rsid w:val="003E5A8D"/>
    <w:rsid w:val="003E6099"/>
    <w:rsid w:val="003E657D"/>
    <w:rsid w:val="003F02F1"/>
    <w:rsid w:val="003F0534"/>
    <w:rsid w:val="003F0B3F"/>
    <w:rsid w:val="003F1492"/>
    <w:rsid w:val="003F20EC"/>
    <w:rsid w:val="003F223C"/>
    <w:rsid w:val="003F2842"/>
    <w:rsid w:val="003F3D37"/>
    <w:rsid w:val="003F3DFB"/>
    <w:rsid w:val="003F465D"/>
    <w:rsid w:val="003F4C22"/>
    <w:rsid w:val="003F5874"/>
    <w:rsid w:val="003F6C66"/>
    <w:rsid w:val="003F6D1F"/>
    <w:rsid w:val="003F701E"/>
    <w:rsid w:val="003F755B"/>
    <w:rsid w:val="003F762A"/>
    <w:rsid w:val="003F7DC3"/>
    <w:rsid w:val="00400F95"/>
    <w:rsid w:val="00401884"/>
    <w:rsid w:val="00401FBA"/>
    <w:rsid w:val="00402105"/>
    <w:rsid w:val="004029E0"/>
    <w:rsid w:val="00402B2D"/>
    <w:rsid w:val="00402B33"/>
    <w:rsid w:val="00402C46"/>
    <w:rsid w:val="004032EC"/>
    <w:rsid w:val="00404207"/>
    <w:rsid w:val="004048D6"/>
    <w:rsid w:val="00404AFB"/>
    <w:rsid w:val="00404D9F"/>
    <w:rsid w:val="0040527A"/>
    <w:rsid w:val="00405678"/>
    <w:rsid w:val="00405B52"/>
    <w:rsid w:val="00406BA7"/>
    <w:rsid w:val="00407DF0"/>
    <w:rsid w:val="004105E9"/>
    <w:rsid w:val="00410B7C"/>
    <w:rsid w:val="004110BF"/>
    <w:rsid w:val="00411375"/>
    <w:rsid w:val="0041196F"/>
    <w:rsid w:val="00411CD7"/>
    <w:rsid w:val="00412085"/>
    <w:rsid w:val="00412436"/>
    <w:rsid w:val="00412D24"/>
    <w:rsid w:val="004134F9"/>
    <w:rsid w:val="00413704"/>
    <w:rsid w:val="004141CC"/>
    <w:rsid w:val="00414DD4"/>
    <w:rsid w:val="00414DEA"/>
    <w:rsid w:val="00414E60"/>
    <w:rsid w:val="00415084"/>
    <w:rsid w:val="004158B2"/>
    <w:rsid w:val="00415D77"/>
    <w:rsid w:val="004160BA"/>
    <w:rsid w:val="00416103"/>
    <w:rsid w:val="0041641B"/>
    <w:rsid w:val="004164F4"/>
    <w:rsid w:val="00417B39"/>
    <w:rsid w:val="0042021B"/>
    <w:rsid w:val="00420E59"/>
    <w:rsid w:val="004210BC"/>
    <w:rsid w:val="00421424"/>
    <w:rsid w:val="00422B27"/>
    <w:rsid w:val="00422E4B"/>
    <w:rsid w:val="00423294"/>
    <w:rsid w:val="004237B8"/>
    <w:rsid w:val="00423BE6"/>
    <w:rsid w:val="00423DE8"/>
    <w:rsid w:val="004246D0"/>
    <w:rsid w:val="00425DA3"/>
    <w:rsid w:val="004269A9"/>
    <w:rsid w:val="0042726F"/>
    <w:rsid w:val="00427846"/>
    <w:rsid w:val="00430519"/>
    <w:rsid w:val="00430BF2"/>
    <w:rsid w:val="004315F2"/>
    <w:rsid w:val="004319E3"/>
    <w:rsid w:val="00432C5E"/>
    <w:rsid w:val="00433097"/>
    <w:rsid w:val="004347BA"/>
    <w:rsid w:val="00434D53"/>
    <w:rsid w:val="004360EB"/>
    <w:rsid w:val="0043679C"/>
    <w:rsid w:val="00437344"/>
    <w:rsid w:val="00437524"/>
    <w:rsid w:val="0043790B"/>
    <w:rsid w:val="004405E6"/>
    <w:rsid w:val="00440ED6"/>
    <w:rsid w:val="0044142D"/>
    <w:rsid w:val="0044278C"/>
    <w:rsid w:val="00442B97"/>
    <w:rsid w:val="004434B9"/>
    <w:rsid w:val="00443952"/>
    <w:rsid w:val="00443AEB"/>
    <w:rsid w:val="00443C87"/>
    <w:rsid w:val="00443E13"/>
    <w:rsid w:val="0044597F"/>
    <w:rsid w:val="00446EA9"/>
    <w:rsid w:val="00446EFD"/>
    <w:rsid w:val="00447668"/>
    <w:rsid w:val="00447FB1"/>
    <w:rsid w:val="00450050"/>
    <w:rsid w:val="00450315"/>
    <w:rsid w:val="00450EE3"/>
    <w:rsid w:val="0045150E"/>
    <w:rsid w:val="00452182"/>
    <w:rsid w:val="004530BB"/>
    <w:rsid w:val="004536EC"/>
    <w:rsid w:val="0045376F"/>
    <w:rsid w:val="00453B82"/>
    <w:rsid w:val="00454360"/>
    <w:rsid w:val="004545C3"/>
    <w:rsid w:val="00454D6C"/>
    <w:rsid w:val="0045572B"/>
    <w:rsid w:val="00456082"/>
    <w:rsid w:val="004563AA"/>
    <w:rsid w:val="00457091"/>
    <w:rsid w:val="0045757A"/>
    <w:rsid w:val="00457BA7"/>
    <w:rsid w:val="00460BA8"/>
    <w:rsid w:val="00460C7F"/>
    <w:rsid w:val="004611B4"/>
    <w:rsid w:val="0046151E"/>
    <w:rsid w:val="0046189D"/>
    <w:rsid w:val="00461F1D"/>
    <w:rsid w:val="00462124"/>
    <w:rsid w:val="0046220E"/>
    <w:rsid w:val="004647D6"/>
    <w:rsid w:val="00464D38"/>
    <w:rsid w:val="00465015"/>
    <w:rsid w:val="004655D2"/>
    <w:rsid w:val="00466639"/>
    <w:rsid w:val="004668B6"/>
    <w:rsid w:val="00466AAA"/>
    <w:rsid w:val="00466D34"/>
    <w:rsid w:val="00467F04"/>
    <w:rsid w:val="0047334F"/>
    <w:rsid w:val="004737B9"/>
    <w:rsid w:val="00473C6A"/>
    <w:rsid w:val="00474621"/>
    <w:rsid w:val="00474964"/>
    <w:rsid w:val="00475765"/>
    <w:rsid w:val="004757BA"/>
    <w:rsid w:val="00475B57"/>
    <w:rsid w:val="004768E5"/>
    <w:rsid w:val="00476D8E"/>
    <w:rsid w:val="00476E23"/>
    <w:rsid w:val="00476FEB"/>
    <w:rsid w:val="00477527"/>
    <w:rsid w:val="00477D31"/>
    <w:rsid w:val="00480375"/>
    <w:rsid w:val="004808C9"/>
    <w:rsid w:val="00480908"/>
    <w:rsid w:val="00480C11"/>
    <w:rsid w:val="00480E17"/>
    <w:rsid w:val="00480E3C"/>
    <w:rsid w:val="0048115A"/>
    <w:rsid w:val="004812CC"/>
    <w:rsid w:val="00481840"/>
    <w:rsid w:val="00481880"/>
    <w:rsid w:val="00481DE0"/>
    <w:rsid w:val="00482387"/>
    <w:rsid w:val="00482965"/>
    <w:rsid w:val="00483216"/>
    <w:rsid w:val="00484112"/>
    <w:rsid w:val="00484272"/>
    <w:rsid w:val="00484595"/>
    <w:rsid w:val="0048469B"/>
    <w:rsid w:val="00486586"/>
    <w:rsid w:val="004868B6"/>
    <w:rsid w:val="00486D1E"/>
    <w:rsid w:val="00486F2F"/>
    <w:rsid w:val="004873BA"/>
    <w:rsid w:val="0048755D"/>
    <w:rsid w:val="00487913"/>
    <w:rsid w:val="0049051D"/>
    <w:rsid w:val="00490668"/>
    <w:rsid w:val="004908DC"/>
    <w:rsid w:val="00490C65"/>
    <w:rsid w:val="00491A89"/>
    <w:rsid w:val="00493862"/>
    <w:rsid w:val="0049435F"/>
    <w:rsid w:val="00494CD6"/>
    <w:rsid w:val="0049503C"/>
    <w:rsid w:val="00496640"/>
    <w:rsid w:val="004967EE"/>
    <w:rsid w:val="00496A15"/>
    <w:rsid w:val="00496DE4"/>
    <w:rsid w:val="00497944"/>
    <w:rsid w:val="00497946"/>
    <w:rsid w:val="00497F1F"/>
    <w:rsid w:val="004A01BE"/>
    <w:rsid w:val="004A03A5"/>
    <w:rsid w:val="004A0572"/>
    <w:rsid w:val="004A0660"/>
    <w:rsid w:val="004A06C7"/>
    <w:rsid w:val="004A08A8"/>
    <w:rsid w:val="004A18A7"/>
    <w:rsid w:val="004A22E5"/>
    <w:rsid w:val="004A26E0"/>
    <w:rsid w:val="004A2EBE"/>
    <w:rsid w:val="004A3C2C"/>
    <w:rsid w:val="004A444C"/>
    <w:rsid w:val="004A44CB"/>
    <w:rsid w:val="004A4B75"/>
    <w:rsid w:val="004A4F0D"/>
    <w:rsid w:val="004A50E7"/>
    <w:rsid w:val="004A540E"/>
    <w:rsid w:val="004A5D5A"/>
    <w:rsid w:val="004A6063"/>
    <w:rsid w:val="004A7457"/>
    <w:rsid w:val="004A74A7"/>
    <w:rsid w:val="004A77FD"/>
    <w:rsid w:val="004B07B2"/>
    <w:rsid w:val="004B0DBD"/>
    <w:rsid w:val="004B2C5C"/>
    <w:rsid w:val="004B2FE3"/>
    <w:rsid w:val="004B3610"/>
    <w:rsid w:val="004B44EE"/>
    <w:rsid w:val="004B482C"/>
    <w:rsid w:val="004B5E7F"/>
    <w:rsid w:val="004B7256"/>
    <w:rsid w:val="004B73C7"/>
    <w:rsid w:val="004B7B57"/>
    <w:rsid w:val="004C06AB"/>
    <w:rsid w:val="004C147A"/>
    <w:rsid w:val="004C221B"/>
    <w:rsid w:val="004C2926"/>
    <w:rsid w:val="004C2F29"/>
    <w:rsid w:val="004C4426"/>
    <w:rsid w:val="004C591B"/>
    <w:rsid w:val="004C5994"/>
    <w:rsid w:val="004C5C38"/>
    <w:rsid w:val="004C5CC5"/>
    <w:rsid w:val="004C5D9E"/>
    <w:rsid w:val="004C5DDE"/>
    <w:rsid w:val="004C5F11"/>
    <w:rsid w:val="004C6929"/>
    <w:rsid w:val="004C79D6"/>
    <w:rsid w:val="004D05CE"/>
    <w:rsid w:val="004D0680"/>
    <w:rsid w:val="004D087F"/>
    <w:rsid w:val="004D11BD"/>
    <w:rsid w:val="004D1B20"/>
    <w:rsid w:val="004D2EB5"/>
    <w:rsid w:val="004D33B2"/>
    <w:rsid w:val="004D3B5C"/>
    <w:rsid w:val="004D3EF0"/>
    <w:rsid w:val="004D3FC8"/>
    <w:rsid w:val="004D4845"/>
    <w:rsid w:val="004D4DB6"/>
    <w:rsid w:val="004D5158"/>
    <w:rsid w:val="004D644A"/>
    <w:rsid w:val="004D6544"/>
    <w:rsid w:val="004D75F9"/>
    <w:rsid w:val="004D782B"/>
    <w:rsid w:val="004D7BC3"/>
    <w:rsid w:val="004D7D2D"/>
    <w:rsid w:val="004D7D4E"/>
    <w:rsid w:val="004E1178"/>
    <w:rsid w:val="004E11DB"/>
    <w:rsid w:val="004E27B9"/>
    <w:rsid w:val="004E28C4"/>
    <w:rsid w:val="004E3177"/>
    <w:rsid w:val="004E375E"/>
    <w:rsid w:val="004E38D3"/>
    <w:rsid w:val="004E399B"/>
    <w:rsid w:val="004E39D9"/>
    <w:rsid w:val="004E3A0B"/>
    <w:rsid w:val="004E4CBD"/>
    <w:rsid w:val="004E5EE5"/>
    <w:rsid w:val="004E63FB"/>
    <w:rsid w:val="004E6665"/>
    <w:rsid w:val="004E6870"/>
    <w:rsid w:val="004E6F0B"/>
    <w:rsid w:val="004E7938"/>
    <w:rsid w:val="004E7D12"/>
    <w:rsid w:val="004F04CE"/>
    <w:rsid w:val="004F1121"/>
    <w:rsid w:val="004F14A5"/>
    <w:rsid w:val="004F18CF"/>
    <w:rsid w:val="004F2247"/>
    <w:rsid w:val="004F3129"/>
    <w:rsid w:val="004F46F1"/>
    <w:rsid w:val="004F4AD1"/>
    <w:rsid w:val="004F592F"/>
    <w:rsid w:val="004F5CDF"/>
    <w:rsid w:val="004F60F0"/>
    <w:rsid w:val="004F6A05"/>
    <w:rsid w:val="00500637"/>
    <w:rsid w:val="005018F2"/>
    <w:rsid w:val="005029CA"/>
    <w:rsid w:val="00502E18"/>
    <w:rsid w:val="00503A44"/>
    <w:rsid w:val="00503F11"/>
    <w:rsid w:val="00504D99"/>
    <w:rsid w:val="00505461"/>
    <w:rsid w:val="00506B29"/>
    <w:rsid w:val="00506C27"/>
    <w:rsid w:val="0050727C"/>
    <w:rsid w:val="005073D2"/>
    <w:rsid w:val="00507974"/>
    <w:rsid w:val="00507CA4"/>
    <w:rsid w:val="00507D19"/>
    <w:rsid w:val="00507F69"/>
    <w:rsid w:val="0051019C"/>
    <w:rsid w:val="0051027E"/>
    <w:rsid w:val="005102B9"/>
    <w:rsid w:val="005116E7"/>
    <w:rsid w:val="00511E42"/>
    <w:rsid w:val="00511FFF"/>
    <w:rsid w:val="005128B7"/>
    <w:rsid w:val="00512976"/>
    <w:rsid w:val="00513434"/>
    <w:rsid w:val="005143F3"/>
    <w:rsid w:val="00514AAF"/>
    <w:rsid w:val="00514C3C"/>
    <w:rsid w:val="005157EA"/>
    <w:rsid w:val="005158A8"/>
    <w:rsid w:val="00515D4F"/>
    <w:rsid w:val="0051722B"/>
    <w:rsid w:val="00517674"/>
    <w:rsid w:val="005176EC"/>
    <w:rsid w:val="00520964"/>
    <w:rsid w:val="00520CDA"/>
    <w:rsid w:val="0052103D"/>
    <w:rsid w:val="0052169B"/>
    <w:rsid w:val="00521A0C"/>
    <w:rsid w:val="005221AE"/>
    <w:rsid w:val="00523702"/>
    <w:rsid w:val="00523BDB"/>
    <w:rsid w:val="00524836"/>
    <w:rsid w:val="0052590B"/>
    <w:rsid w:val="00526156"/>
    <w:rsid w:val="00526C43"/>
    <w:rsid w:val="005301E0"/>
    <w:rsid w:val="00530F93"/>
    <w:rsid w:val="005310D5"/>
    <w:rsid w:val="00531269"/>
    <w:rsid w:val="00531882"/>
    <w:rsid w:val="00531BD2"/>
    <w:rsid w:val="00531DB9"/>
    <w:rsid w:val="005321D4"/>
    <w:rsid w:val="00532BAA"/>
    <w:rsid w:val="005333FE"/>
    <w:rsid w:val="00535034"/>
    <w:rsid w:val="00536961"/>
    <w:rsid w:val="00536AD6"/>
    <w:rsid w:val="00540096"/>
    <w:rsid w:val="005402F8"/>
    <w:rsid w:val="00540C94"/>
    <w:rsid w:val="00540EA2"/>
    <w:rsid w:val="0054118C"/>
    <w:rsid w:val="0054131D"/>
    <w:rsid w:val="0054329E"/>
    <w:rsid w:val="0054359A"/>
    <w:rsid w:val="00543E77"/>
    <w:rsid w:val="00543F7E"/>
    <w:rsid w:val="00544341"/>
    <w:rsid w:val="0054541C"/>
    <w:rsid w:val="00545834"/>
    <w:rsid w:val="00545C6D"/>
    <w:rsid w:val="005461FF"/>
    <w:rsid w:val="00547034"/>
    <w:rsid w:val="005472D7"/>
    <w:rsid w:val="00547EA0"/>
    <w:rsid w:val="00547FA6"/>
    <w:rsid w:val="00550017"/>
    <w:rsid w:val="0055038F"/>
    <w:rsid w:val="00550AEA"/>
    <w:rsid w:val="00551243"/>
    <w:rsid w:val="0055152F"/>
    <w:rsid w:val="00551ABC"/>
    <w:rsid w:val="00551CD4"/>
    <w:rsid w:val="00552AB9"/>
    <w:rsid w:val="00552FCB"/>
    <w:rsid w:val="005532A8"/>
    <w:rsid w:val="0055396D"/>
    <w:rsid w:val="005539DE"/>
    <w:rsid w:val="00553A0D"/>
    <w:rsid w:val="00553D28"/>
    <w:rsid w:val="005540FB"/>
    <w:rsid w:val="00554732"/>
    <w:rsid w:val="00554F65"/>
    <w:rsid w:val="00556234"/>
    <w:rsid w:val="005562EE"/>
    <w:rsid w:val="005568D0"/>
    <w:rsid w:val="00556ED4"/>
    <w:rsid w:val="00556F8E"/>
    <w:rsid w:val="00560107"/>
    <w:rsid w:val="005605BC"/>
    <w:rsid w:val="00560696"/>
    <w:rsid w:val="0056070E"/>
    <w:rsid w:val="00560B60"/>
    <w:rsid w:val="00560E46"/>
    <w:rsid w:val="0056111D"/>
    <w:rsid w:val="00562659"/>
    <w:rsid w:val="00563029"/>
    <w:rsid w:val="005635A5"/>
    <w:rsid w:val="005635C1"/>
    <w:rsid w:val="0056396F"/>
    <w:rsid w:val="00563A49"/>
    <w:rsid w:val="0056485D"/>
    <w:rsid w:val="00564BBB"/>
    <w:rsid w:val="00564CC5"/>
    <w:rsid w:val="00564DD3"/>
    <w:rsid w:val="00566281"/>
    <w:rsid w:val="00566594"/>
    <w:rsid w:val="00566D1B"/>
    <w:rsid w:val="0056710B"/>
    <w:rsid w:val="0056729D"/>
    <w:rsid w:val="00567689"/>
    <w:rsid w:val="005708C9"/>
    <w:rsid w:val="00570E0F"/>
    <w:rsid w:val="005712FE"/>
    <w:rsid w:val="00571855"/>
    <w:rsid w:val="00571D79"/>
    <w:rsid w:val="00572051"/>
    <w:rsid w:val="0057249C"/>
    <w:rsid w:val="00572AB3"/>
    <w:rsid w:val="005730C5"/>
    <w:rsid w:val="00573C58"/>
    <w:rsid w:val="00574160"/>
    <w:rsid w:val="0057418C"/>
    <w:rsid w:val="00574585"/>
    <w:rsid w:val="005748F2"/>
    <w:rsid w:val="005758A1"/>
    <w:rsid w:val="00575FE5"/>
    <w:rsid w:val="005766A6"/>
    <w:rsid w:val="00576B1C"/>
    <w:rsid w:val="00576D07"/>
    <w:rsid w:val="00577A58"/>
    <w:rsid w:val="00577EAD"/>
    <w:rsid w:val="005802D9"/>
    <w:rsid w:val="00580848"/>
    <w:rsid w:val="00580D93"/>
    <w:rsid w:val="0058107C"/>
    <w:rsid w:val="00581D58"/>
    <w:rsid w:val="0058213A"/>
    <w:rsid w:val="005821B7"/>
    <w:rsid w:val="0058344F"/>
    <w:rsid w:val="00583A9F"/>
    <w:rsid w:val="00583C41"/>
    <w:rsid w:val="00583D7B"/>
    <w:rsid w:val="005859FD"/>
    <w:rsid w:val="00586493"/>
    <w:rsid w:val="00587F0E"/>
    <w:rsid w:val="00590AC5"/>
    <w:rsid w:val="00590DFD"/>
    <w:rsid w:val="005910DA"/>
    <w:rsid w:val="005911FE"/>
    <w:rsid w:val="00591894"/>
    <w:rsid w:val="00591E6E"/>
    <w:rsid w:val="0059228C"/>
    <w:rsid w:val="0059261D"/>
    <w:rsid w:val="00592BE4"/>
    <w:rsid w:val="005934FC"/>
    <w:rsid w:val="00595B5B"/>
    <w:rsid w:val="00595C52"/>
    <w:rsid w:val="00597943"/>
    <w:rsid w:val="005A06FA"/>
    <w:rsid w:val="005A09BA"/>
    <w:rsid w:val="005A1306"/>
    <w:rsid w:val="005A41CA"/>
    <w:rsid w:val="005A426C"/>
    <w:rsid w:val="005A44DC"/>
    <w:rsid w:val="005A45A2"/>
    <w:rsid w:val="005A4ABF"/>
    <w:rsid w:val="005A519B"/>
    <w:rsid w:val="005A55F6"/>
    <w:rsid w:val="005A618C"/>
    <w:rsid w:val="005A61AD"/>
    <w:rsid w:val="005A63F9"/>
    <w:rsid w:val="005A644D"/>
    <w:rsid w:val="005A6DF4"/>
    <w:rsid w:val="005A6E2F"/>
    <w:rsid w:val="005A6EF3"/>
    <w:rsid w:val="005A6F80"/>
    <w:rsid w:val="005A6FDD"/>
    <w:rsid w:val="005A77E2"/>
    <w:rsid w:val="005B00A1"/>
    <w:rsid w:val="005B05E2"/>
    <w:rsid w:val="005B102E"/>
    <w:rsid w:val="005B1ADB"/>
    <w:rsid w:val="005B1E93"/>
    <w:rsid w:val="005B235E"/>
    <w:rsid w:val="005B2800"/>
    <w:rsid w:val="005B2814"/>
    <w:rsid w:val="005B2A20"/>
    <w:rsid w:val="005B4BD6"/>
    <w:rsid w:val="005B541E"/>
    <w:rsid w:val="005B5F32"/>
    <w:rsid w:val="005B631B"/>
    <w:rsid w:val="005B6915"/>
    <w:rsid w:val="005B6936"/>
    <w:rsid w:val="005B7645"/>
    <w:rsid w:val="005B7E40"/>
    <w:rsid w:val="005C0237"/>
    <w:rsid w:val="005C02C9"/>
    <w:rsid w:val="005C1410"/>
    <w:rsid w:val="005C1A42"/>
    <w:rsid w:val="005C1AEC"/>
    <w:rsid w:val="005C38E6"/>
    <w:rsid w:val="005C40FB"/>
    <w:rsid w:val="005C45AC"/>
    <w:rsid w:val="005C4667"/>
    <w:rsid w:val="005C5EF0"/>
    <w:rsid w:val="005C6EF4"/>
    <w:rsid w:val="005C712E"/>
    <w:rsid w:val="005C7659"/>
    <w:rsid w:val="005C7997"/>
    <w:rsid w:val="005D01AF"/>
    <w:rsid w:val="005D0335"/>
    <w:rsid w:val="005D1957"/>
    <w:rsid w:val="005D21BD"/>
    <w:rsid w:val="005D2318"/>
    <w:rsid w:val="005D27C2"/>
    <w:rsid w:val="005D2D59"/>
    <w:rsid w:val="005D3E7C"/>
    <w:rsid w:val="005D4210"/>
    <w:rsid w:val="005D4C21"/>
    <w:rsid w:val="005D5265"/>
    <w:rsid w:val="005D54AF"/>
    <w:rsid w:val="005D57C3"/>
    <w:rsid w:val="005D61ED"/>
    <w:rsid w:val="005D7256"/>
    <w:rsid w:val="005D74F4"/>
    <w:rsid w:val="005E0661"/>
    <w:rsid w:val="005E0C9F"/>
    <w:rsid w:val="005E105B"/>
    <w:rsid w:val="005E1B6F"/>
    <w:rsid w:val="005E1D2D"/>
    <w:rsid w:val="005E1EBA"/>
    <w:rsid w:val="005E2E36"/>
    <w:rsid w:val="005E3901"/>
    <w:rsid w:val="005E4CCB"/>
    <w:rsid w:val="005E4D0B"/>
    <w:rsid w:val="005E5144"/>
    <w:rsid w:val="005E5DF9"/>
    <w:rsid w:val="005E6A15"/>
    <w:rsid w:val="005E7829"/>
    <w:rsid w:val="005E7993"/>
    <w:rsid w:val="005F007C"/>
    <w:rsid w:val="005F02B6"/>
    <w:rsid w:val="005F02E6"/>
    <w:rsid w:val="005F074D"/>
    <w:rsid w:val="005F0D59"/>
    <w:rsid w:val="005F1517"/>
    <w:rsid w:val="005F1C7A"/>
    <w:rsid w:val="005F1D49"/>
    <w:rsid w:val="005F2833"/>
    <w:rsid w:val="005F2DD9"/>
    <w:rsid w:val="005F31D0"/>
    <w:rsid w:val="005F3316"/>
    <w:rsid w:val="005F37D8"/>
    <w:rsid w:val="005F3D17"/>
    <w:rsid w:val="005F3E82"/>
    <w:rsid w:val="005F3F5E"/>
    <w:rsid w:val="005F3FF1"/>
    <w:rsid w:val="005F41E1"/>
    <w:rsid w:val="005F4377"/>
    <w:rsid w:val="005F57C5"/>
    <w:rsid w:val="005F5A81"/>
    <w:rsid w:val="005F5E33"/>
    <w:rsid w:val="005F64BD"/>
    <w:rsid w:val="005F663F"/>
    <w:rsid w:val="005F751D"/>
    <w:rsid w:val="006005E2"/>
    <w:rsid w:val="006017C3"/>
    <w:rsid w:val="00601E4B"/>
    <w:rsid w:val="006025AC"/>
    <w:rsid w:val="0060332F"/>
    <w:rsid w:val="006033C1"/>
    <w:rsid w:val="00603676"/>
    <w:rsid w:val="00603733"/>
    <w:rsid w:val="00603C5B"/>
    <w:rsid w:val="00604393"/>
    <w:rsid w:val="00605787"/>
    <w:rsid w:val="00606869"/>
    <w:rsid w:val="00607A5F"/>
    <w:rsid w:val="00610232"/>
    <w:rsid w:val="00610D9B"/>
    <w:rsid w:val="0061108D"/>
    <w:rsid w:val="00611145"/>
    <w:rsid w:val="006121BC"/>
    <w:rsid w:val="00613C72"/>
    <w:rsid w:val="006140F7"/>
    <w:rsid w:val="0061460A"/>
    <w:rsid w:val="00614BBD"/>
    <w:rsid w:val="0061541F"/>
    <w:rsid w:val="00615693"/>
    <w:rsid w:val="00615C75"/>
    <w:rsid w:val="00615F5E"/>
    <w:rsid w:val="00616436"/>
    <w:rsid w:val="0061657C"/>
    <w:rsid w:val="006172B7"/>
    <w:rsid w:val="0061795D"/>
    <w:rsid w:val="00617EE7"/>
    <w:rsid w:val="00617F48"/>
    <w:rsid w:val="0062077F"/>
    <w:rsid w:val="006240D6"/>
    <w:rsid w:val="006249B8"/>
    <w:rsid w:val="00624ABA"/>
    <w:rsid w:val="00624DE9"/>
    <w:rsid w:val="00624E54"/>
    <w:rsid w:val="00625726"/>
    <w:rsid w:val="0062607E"/>
    <w:rsid w:val="0062654D"/>
    <w:rsid w:val="006266B2"/>
    <w:rsid w:val="00626F35"/>
    <w:rsid w:val="00631944"/>
    <w:rsid w:val="00631CFD"/>
    <w:rsid w:val="00632B21"/>
    <w:rsid w:val="00633A55"/>
    <w:rsid w:val="00634E3F"/>
    <w:rsid w:val="00635564"/>
    <w:rsid w:val="00635670"/>
    <w:rsid w:val="00635710"/>
    <w:rsid w:val="00635B1F"/>
    <w:rsid w:val="006360D6"/>
    <w:rsid w:val="006374CB"/>
    <w:rsid w:val="00637FE6"/>
    <w:rsid w:val="0064006A"/>
    <w:rsid w:val="00640241"/>
    <w:rsid w:val="00642604"/>
    <w:rsid w:val="0064287E"/>
    <w:rsid w:val="00643737"/>
    <w:rsid w:val="00643D94"/>
    <w:rsid w:val="00643DDF"/>
    <w:rsid w:val="00643E22"/>
    <w:rsid w:val="00644771"/>
    <w:rsid w:val="00644CF5"/>
    <w:rsid w:val="006459E0"/>
    <w:rsid w:val="00646A21"/>
    <w:rsid w:val="0064734D"/>
    <w:rsid w:val="006476F9"/>
    <w:rsid w:val="006520C8"/>
    <w:rsid w:val="00652381"/>
    <w:rsid w:val="00652405"/>
    <w:rsid w:val="00653A41"/>
    <w:rsid w:val="00653E29"/>
    <w:rsid w:val="00655F69"/>
    <w:rsid w:val="00656CFE"/>
    <w:rsid w:val="00656FF7"/>
    <w:rsid w:val="00657930"/>
    <w:rsid w:val="00657AB5"/>
    <w:rsid w:val="00657F89"/>
    <w:rsid w:val="006600EC"/>
    <w:rsid w:val="00660192"/>
    <w:rsid w:val="00660AEF"/>
    <w:rsid w:val="006611DD"/>
    <w:rsid w:val="006622E0"/>
    <w:rsid w:val="006626F1"/>
    <w:rsid w:val="00662F6E"/>
    <w:rsid w:val="00663266"/>
    <w:rsid w:val="00663BAD"/>
    <w:rsid w:val="006640CB"/>
    <w:rsid w:val="0066487A"/>
    <w:rsid w:val="00664FA6"/>
    <w:rsid w:val="006650CE"/>
    <w:rsid w:val="00665214"/>
    <w:rsid w:val="00665E95"/>
    <w:rsid w:val="00666075"/>
    <w:rsid w:val="00666646"/>
    <w:rsid w:val="006666BF"/>
    <w:rsid w:val="00670502"/>
    <w:rsid w:val="00671150"/>
    <w:rsid w:val="006713D0"/>
    <w:rsid w:val="00671C88"/>
    <w:rsid w:val="0067231F"/>
    <w:rsid w:val="006730ED"/>
    <w:rsid w:val="006734A8"/>
    <w:rsid w:val="006743FC"/>
    <w:rsid w:val="00674A9C"/>
    <w:rsid w:val="00674D7E"/>
    <w:rsid w:val="006754BF"/>
    <w:rsid w:val="00676831"/>
    <w:rsid w:val="00676ADF"/>
    <w:rsid w:val="00676DF0"/>
    <w:rsid w:val="00677089"/>
    <w:rsid w:val="00677253"/>
    <w:rsid w:val="00677526"/>
    <w:rsid w:val="0068002D"/>
    <w:rsid w:val="00680C6B"/>
    <w:rsid w:val="00680E3A"/>
    <w:rsid w:val="00682476"/>
    <w:rsid w:val="0068289F"/>
    <w:rsid w:val="00683E50"/>
    <w:rsid w:val="00684080"/>
    <w:rsid w:val="00684253"/>
    <w:rsid w:val="006844DE"/>
    <w:rsid w:val="00684782"/>
    <w:rsid w:val="00684BBE"/>
    <w:rsid w:val="006855E2"/>
    <w:rsid w:val="00685869"/>
    <w:rsid w:val="00685953"/>
    <w:rsid w:val="00685EB9"/>
    <w:rsid w:val="00686227"/>
    <w:rsid w:val="00686267"/>
    <w:rsid w:val="006863FC"/>
    <w:rsid w:val="00686900"/>
    <w:rsid w:val="00686AD8"/>
    <w:rsid w:val="00686B20"/>
    <w:rsid w:val="00686DB0"/>
    <w:rsid w:val="006873C3"/>
    <w:rsid w:val="00690B23"/>
    <w:rsid w:val="0069101D"/>
    <w:rsid w:val="006918F7"/>
    <w:rsid w:val="00692BBE"/>
    <w:rsid w:val="00692EDA"/>
    <w:rsid w:val="006938DC"/>
    <w:rsid w:val="00693A07"/>
    <w:rsid w:val="00693A40"/>
    <w:rsid w:val="006948D2"/>
    <w:rsid w:val="00694DB3"/>
    <w:rsid w:val="00694E2E"/>
    <w:rsid w:val="00695245"/>
    <w:rsid w:val="00695606"/>
    <w:rsid w:val="00695880"/>
    <w:rsid w:val="006959DC"/>
    <w:rsid w:val="0069620C"/>
    <w:rsid w:val="00696459"/>
    <w:rsid w:val="00696A39"/>
    <w:rsid w:val="00697713"/>
    <w:rsid w:val="00697C66"/>
    <w:rsid w:val="00697D90"/>
    <w:rsid w:val="00697EE2"/>
    <w:rsid w:val="006A0273"/>
    <w:rsid w:val="006A0854"/>
    <w:rsid w:val="006A146F"/>
    <w:rsid w:val="006A1DB1"/>
    <w:rsid w:val="006A219D"/>
    <w:rsid w:val="006A2501"/>
    <w:rsid w:val="006A2B13"/>
    <w:rsid w:val="006A2DB0"/>
    <w:rsid w:val="006A2F13"/>
    <w:rsid w:val="006A3A57"/>
    <w:rsid w:val="006A3DD9"/>
    <w:rsid w:val="006A4978"/>
    <w:rsid w:val="006A4F37"/>
    <w:rsid w:val="006A5525"/>
    <w:rsid w:val="006A55DA"/>
    <w:rsid w:val="006A5E37"/>
    <w:rsid w:val="006A6B7E"/>
    <w:rsid w:val="006A6DC3"/>
    <w:rsid w:val="006A6EC1"/>
    <w:rsid w:val="006A707E"/>
    <w:rsid w:val="006A7260"/>
    <w:rsid w:val="006A7ADD"/>
    <w:rsid w:val="006B02F7"/>
    <w:rsid w:val="006B0898"/>
    <w:rsid w:val="006B0B3B"/>
    <w:rsid w:val="006B0CF9"/>
    <w:rsid w:val="006B2F07"/>
    <w:rsid w:val="006B3209"/>
    <w:rsid w:val="006B441A"/>
    <w:rsid w:val="006B459F"/>
    <w:rsid w:val="006B5495"/>
    <w:rsid w:val="006B63ED"/>
    <w:rsid w:val="006B66AF"/>
    <w:rsid w:val="006B6D1D"/>
    <w:rsid w:val="006B7965"/>
    <w:rsid w:val="006C0319"/>
    <w:rsid w:val="006C054B"/>
    <w:rsid w:val="006C0825"/>
    <w:rsid w:val="006C2B7C"/>
    <w:rsid w:val="006C2BC7"/>
    <w:rsid w:val="006C378E"/>
    <w:rsid w:val="006C4691"/>
    <w:rsid w:val="006C4819"/>
    <w:rsid w:val="006C4CAD"/>
    <w:rsid w:val="006C51E7"/>
    <w:rsid w:val="006C52A0"/>
    <w:rsid w:val="006C548B"/>
    <w:rsid w:val="006C56C4"/>
    <w:rsid w:val="006C58EE"/>
    <w:rsid w:val="006C5AE7"/>
    <w:rsid w:val="006C5E79"/>
    <w:rsid w:val="006C694B"/>
    <w:rsid w:val="006C6A1D"/>
    <w:rsid w:val="006C703D"/>
    <w:rsid w:val="006C7B02"/>
    <w:rsid w:val="006C7DF9"/>
    <w:rsid w:val="006C7E76"/>
    <w:rsid w:val="006C7FE9"/>
    <w:rsid w:val="006D0608"/>
    <w:rsid w:val="006D0ED2"/>
    <w:rsid w:val="006D18B3"/>
    <w:rsid w:val="006D1FD3"/>
    <w:rsid w:val="006D25AC"/>
    <w:rsid w:val="006D27B5"/>
    <w:rsid w:val="006D2D4C"/>
    <w:rsid w:val="006D2DA8"/>
    <w:rsid w:val="006D310E"/>
    <w:rsid w:val="006D3315"/>
    <w:rsid w:val="006D370E"/>
    <w:rsid w:val="006D3ADB"/>
    <w:rsid w:val="006D4D04"/>
    <w:rsid w:val="006D4DBC"/>
    <w:rsid w:val="006D5409"/>
    <w:rsid w:val="006D5A31"/>
    <w:rsid w:val="006D7554"/>
    <w:rsid w:val="006D76AC"/>
    <w:rsid w:val="006E1027"/>
    <w:rsid w:val="006E1925"/>
    <w:rsid w:val="006E1B0E"/>
    <w:rsid w:val="006E1E0A"/>
    <w:rsid w:val="006E2CAD"/>
    <w:rsid w:val="006E3206"/>
    <w:rsid w:val="006E3898"/>
    <w:rsid w:val="006E4102"/>
    <w:rsid w:val="006E44C3"/>
    <w:rsid w:val="006E49F9"/>
    <w:rsid w:val="006E59DD"/>
    <w:rsid w:val="006E6490"/>
    <w:rsid w:val="006E6751"/>
    <w:rsid w:val="006E6D47"/>
    <w:rsid w:val="006E6F7B"/>
    <w:rsid w:val="006E72AD"/>
    <w:rsid w:val="006E795B"/>
    <w:rsid w:val="006E7FF8"/>
    <w:rsid w:val="006F0603"/>
    <w:rsid w:val="006F0701"/>
    <w:rsid w:val="006F1A4C"/>
    <w:rsid w:val="006F1C59"/>
    <w:rsid w:val="006F31FB"/>
    <w:rsid w:val="006F4E73"/>
    <w:rsid w:val="006F5888"/>
    <w:rsid w:val="006F5DFC"/>
    <w:rsid w:val="006F667B"/>
    <w:rsid w:val="006F705B"/>
    <w:rsid w:val="006F7563"/>
    <w:rsid w:val="007001F2"/>
    <w:rsid w:val="0070075C"/>
    <w:rsid w:val="00700FB3"/>
    <w:rsid w:val="007015FE"/>
    <w:rsid w:val="00701685"/>
    <w:rsid w:val="00702E37"/>
    <w:rsid w:val="00703F07"/>
    <w:rsid w:val="00704466"/>
    <w:rsid w:val="007059D5"/>
    <w:rsid w:val="00705A87"/>
    <w:rsid w:val="007061D9"/>
    <w:rsid w:val="00707177"/>
    <w:rsid w:val="007071E2"/>
    <w:rsid w:val="007072C0"/>
    <w:rsid w:val="00707B9F"/>
    <w:rsid w:val="00707E2D"/>
    <w:rsid w:val="00710058"/>
    <w:rsid w:val="00710761"/>
    <w:rsid w:val="00711772"/>
    <w:rsid w:val="0071182B"/>
    <w:rsid w:val="0071188B"/>
    <w:rsid w:val="00713C2C"/>
    <w:rsid w:val="007146F8"/>
    <w:rsid w:val="007147F4"/>
    <w:rsid w:val="00714DBA"/>
    <w:rsid w:val="007154F4"/>
    <w:rsid w:val="00716D1E"/>
    <w:rsid w:val="00716F2D"/>
    <w:rsid w:val="0072034E"/>
    <w:rsid w:val="007211D3"/>
    <w:rsid w:val="0072121A"/>
    <w:rsid w:val="00722146"/>
    <w:rsid w:val="00722712"/>
    <w:rsid w:val="00722830"/>
    <w:rsid w:val="00723174"/>
    <w:rsid w:val="00723BA3"/>
    <w:rsid w:val="00724AED"/>
    <w:rsid w:val="00724F97"/>
    <w:rsid w:val="00725CEE"/>
    <w:rsid w:val="00725E7C"/>
    <w:rsid w:val="00726BD0"/>
    <w:rsid w:val="00726C71"/>
    <w:rsid w:val="00726F2D"/>
    <w:rsid w:val="00727328"/>
    <w:rsid w:val="0072732B"/>
    <w:rsid w:val="00727538"/>
    <w:rsid w:val="00727CBE"/>
    <w:rsid w:val="007302F9"/>
    <w:rsid w:val="00731238"/>
    <w:rsid w:val="007314F4"/>
    <w:rsid w:val="007316B7"/>
    <w:rsid w:val="00731EC0"/>
    <w:rsid w:val="007326A1"/>
    <w:rsid w:val="007328FC"/>
    <w:rsid w:val="0073293D"/>
    <w:rsid w:val="00733AE8"/>
    <w:rsid w:val="00734E88"/>
    <w:rsid w:val="00735106"/>
    <w:rsid w:val="007353A4"/>
    <w:rsid w:val="0073551A"/>
    <w:rsid w:val="00735587"/>
    <w:rsid w:val="0073596F"/>
    <w:rsid w:val="00735970"/>
    <w:rsid w:val="00736018"/>
    <w:rsid w:val="007364CC"/>
    <w:rsid w:val="007401DD"/>
    <w:rsid w:val="00741A1B"/>
    <w:rsid w:val="0074209C"/>
    <w:rsid w:val="007420FF"/>
    <w:rsid w:val="00742902"/>
    <w:rsid w:val="00742B31"/>
    <w:rsid w:val="00742CD6"/>
    <w:rsid w:val="007437A3"/>
    <w:rsid w:val="007442A9"/>
    <w:rsid w:val="0074496D"/>
    <w:rsid w:val="007460EF"/>
    <w:rsid w:val="00746817"/>
    <w:rsid w:val="00746DFC"/>
    <w:rsid w:val="00747700"/>
    <w:rsid w:val="0074771B"/>
    <w:rsid w:val="00747FF8"/>
    <w:rsid w:val="0075098D"/>
    <w:rsid w:val="00750E02"/>
    <w:rsid w:val="00751424"/>
    <w:rsid w:val="00751659"/>
    <w:rsid w:val="00751848"/>
    <w:rsid w:val="007525F3"/>
    <w:rsid w:val="007527F9"/>
    <w:rsid w:val="0075288E"/>
    <w:rsid w:val="0075342B"/>
    <w:rsid w:val="00753990"/>
    <w:rsid w:val="007541AB"/>
    <w:rsid w:val="0075428C"/>
    <w:rsid w:val="007549DC"/>
    <w:rsid w:val="00754CCD"/>
    <w:rsid w:val="00754E86"/>
    <w:rsid w:val="00755068"/>
    <w:rsid w:val="007563FF"/>
    <w:rsid w:val="00757E51"/>
    <w:rsid w:val="00760FB4"/>
    <w:rsid w:val="0076302C"/>
    <w:rsid w:val="00763200"/>
    <w:rsid w:val="007638E9"/>
    <w:rsid w:val="007649FF"/>
    <w:rsid w:val="007662B7"/>
    <w:rsid w:val="00767089"/>
    <w:rsid w:val="00767E50"/>
    <w:rsid w:val="00770388"/>
    <w:rsid w:val="00770B69"/>
    <w:rsid w:val="00772014"/>
    <w:rsid w:val="007723A3"/>
    <w:rsid w:val="00772BE4"/>
    <w:rsid w:val="00773144"/>
    <w:rsid w:val="00773E9B"/>
    <w:rsid w:val="007741FB"/>
    <w:rsid w:val="007753BD"/>
    <w:rsid w:val="00775BE9"/>
    <w:rsid w:val="00776274"/>
    <w:rsid w:val="007770A2"/>
    <w:rsid w:val="007774A7"/>
    <w:rsid w:val="00777C06"/>
    <w:rsid w:val="00777DD1"/>
    <w:rsid w:val="007806AB"/>
    <w:rsid w:val="00781086"/>
    <w:rsid w:val="00781237"/>
    <w:rsid w:val="00782211"/>
    <w:rsid w:val="007825BA"/>
    <w:rsid w:val="00782EAF"/>
    <w:rsid w:val="00783614"/>
    <w:rsid w:val="00783F99"/>
    <w:rsid w:val="00784C22"/>
    <w:rsid w:val="00784EE9"/>
    <w:rsid w:val="00785BEC"/>
    <w:rsid w:val="00785C94"/>
    <w:rsid w:val="00785F29"/>
    <w:rsid w:val="00786808"/>
    <w:rsid w:val="007877DB"/>
    <w:rsid w:val="00787A9D"/>
    <w:rsid w:val="00791059"/>
    <w:rsid w:val="0079152E"/>
    <w:rsid w:val="0079176A"/>
    <w:rsid w:val="00791AC6"/>
    <w:rsid w:val="00791C9F"/>
    <w:rsid w:val="00791E7D"/>
    <w:rsid w:val="00791EE7"/>
    <w:rsid w:val="00792304"/>
    <w:rsid w:val="00792592"/>
    <w:rsid w:val="00792ADA"/>
    <w:rsid w:val="00792BA4"/>
    <w:rsid w:val="00792BC7"/>
    <w:rsid w:val="00792D12"/>
    <w:rsid w:val="00793488"/>
    <w:rsid w:val="00793884"/>
    <w:rsid w:val="00793DD5"/>
    <w:rsid w:val="007949EA"/>
    <w:rsid w:val="00794CD8"/>
    <w:rsid w:val="00794E07"/>
    <w:rsid w:val="00794F4C"/>
    <w:rsid w:val="0079547F"/>
    <w:rsid w:val="0079557D"/>
    <w:rsid w:val="007956D9"/>
    <w:rsid w:val="00795C76"/>
    <w:rsid w:val="00795F26"/>
    <w:rsid w:val="007965A8"/>
    <w:rsid w:val="007966B2"/>
    <w:rsid w:val="00796806"/>
    <w:rsid w:val="00796EC3"/>
    <w:rsid w:val="00797314"/>
    <w:rsid w:val="0079753E"/>
    <w:rsid w:val="007975DD"/>
    <w:rsid w:val="007978C0"/>
    <w:rsid w:val="00797BFA"/>
    <w:rsid w:val="007A0432"/>
    <w:rsid w:val="007A2514"/>
    <w:rsid w:val="007A30C9"/>
    <w:rsid w:val="007A389F"/>
    <w:rsid w:val="007A39D7"/>
    <w:rsid w:val="007A39E7"/>
    <w:rsid w:val="007A431C"/>
    <w:rsid w:val="007A4B31"/>
    <w:rsid w:val="007A4B33"/>
    <w:rsid w:val="007A4D2E"/>
    <w:rsid w:val="007A4FE5"/>
    <w:rsid w:val="007A735D"/>
    <w:rsid w:val="007A745E"/>
    <w:rsid w:val="007A77E4"/>
    <w:rsid w:val="007A7B8B"/>
    <w:rsid w:val="007B0A09"/>
    <w:rsid w:val="007B1321"/>
    <w:rsid w:val="007B1462"/>
    <w:rsid w:val="007B16AF"/>
    <w:rsid w:val="007B1F7B"/>
    <w:rsid w:val="007B2295"/>
    <w:rsid w:val="007B277B"/>
    <w:rsid w:val="007B2A04"/>
    <w:rsid w:val="007B2AA2"/>
    <w:rsid w:val="007B38FC"/>
    <w:rsid w:val="007B3BF1"/>
    <w:rsid w:val="007B4005"/>
    <w:rsid w:val="007B40FB"/>
    <w:rsid w:val="007B45A5"/>
    <w:rsid w:val="007B4669"/>
    <w:rsid w:val="007B4BC4"/>
    <w:rsid w:val="007B5920"/>
    <w:rsid w:val="007B6554"/>
    <w:rsid w:val="007B7014"/>
    <w:rsid w:val="007B719C"/>
    <w:rsid w:val="007B7D5A"/>
    <w:rsid w:val="007C0562"/>
    <w:rsid w:val="007C0B93"/>
    <w:rsid w:val="007C0F5B"/>
    <w:rsid w:val="007C1547"/>
    <w:rsid w:val="007C164F"/>
    <w:rsid w:val="007C1DEA"/>
    <w:rsid w:val="007C1F96"/>
    <w:rsid w:val="007C27F3"/>
    <w:rsid w:val="007C29F1"/>
    <w:rsid w:val="007C383C"/>
    <w:rsid w:val="007C3F9E"/>
    <w:rsid w:val="007C4D29"/>
    <w:rsid w:val="007C5487"/>
    <w:rsid w:val="007C5A04"/>
    <w:rsid w:val="007C5ED9"/>
    <w:rsid w:val="007C68DD"/>
    <w:rsid w:val="007C6B3E"/>
    <w:rsid w:val="007C6BE0"/>
    <w:rsid w:val="007C702C"/>
    <w:rsid w:val="007C7766"/>
    <w:rsid w:val="007C7D98"/>
    <w:rsid w:val="007D001F"/>
    <w:rsid w:val="007D0063"/>
    <w:rsid w:val="007D0465"/>
    <w:rsid w:val="007D0773"/>
    <w:rsid w:val="007D20E8"/>
    <w:rsid w:val="007D2A4E"/>
    <w:rsid w:val="007D394B"/>
    <w:rsid w:val="007D41BA"/>
    <w:rsid w:val="007D44E9"/>
    <w:rsid w:val="007D48E3"/>
    <w:rsid w:val="007D56B0"/>
    <w:rsid w:val="007D6049"/>
    <w:rsid w:val="007D61D5"/>
    <w:rsid w:val="007D6488"/>
    <w:rsid w:val="007D687A"/>
    <w:rsid w:val="007D758D"/>
    <w:rsid w:val="007D7F96"/>
    <w:rsid w:val="007E0005"/>
    <w:rsid w:val="007E0171"/>
    <w:rsid w:val="007E0DE6"/>
    <w:rsid w:val="007E1166"/>
    <w:rsid w:val="007E2168"/>
    <w:rsid w:val="007E21F3"/>
    <w:rsid w:val="007E245D"/>
    <w:rsid w:val="007E26D0"/>
    <w:rsid w:val="007E28C0"/>
    <w:rsid w:val="007E29B0"/>
    <w:rsid w:val="007E3D3E"/>
    <w:rsid w:val="007E44FB"/>
    <w:rsid w:val="007E4C8D"/>
    <w:rsid w:val="007E5490"/>
    <w:rsid w:val="007E65DD"/>
    <w:rsid w:val="007E6D1D"/>
    <w:rsid w:val="007E782B"/>
    <w:rsid w:val="007E7B6C"/>
    <w:rsid w:val="007E7C29"/>
    <w:rsid w:val="007F16AD"/>
    <w:rsid w:val="007F21EB"/>
    <w:rsid w:val="007F2410"/>
    <w:rsid w:val="007F27F1"/>
    <w:rsid w:val="007F3022"/>
    <w:rsid w:val="007F32C6"/>
    <w:rsid w:val="007F35C6"/>
    <w:rsid w:val="007F3C9D"/>
    <w:rsid w:val="007F3E64"/>
    <w:rsid w:val="007F4E55"/>
    <w:rsid w:val="007F52EC"/>
    <w:rsid w:val="007F54ED"/>
    <w:rsid w:val="007F56A5"/>
    <w:rsid w:val="007F5722"/>
    <w:rsid w:val="007F5A80"/>
    <w:rsid w:val="007F5D0A"/>
    <w:rsid w:val="007F6036"/>
    <w:rsid w:val="007F68E5"/>
    <w:rsid w:val="007F7133"/>
    <w:rsid w:val="007F71C0"/>
    <w:rsid w:val="007F7BC4"/>
    <w:rsid w:val="007F7E52"/>
    <w:rsid w:val="00800053"/>
    <w:rsid w:val="0080015D"/>
    <w:rsid w:val="008004B9"/>
    <w:rsid w:val="0080150C"/>
    <w:rsid w:val="008025D5"/>
    <w:rsid w:val="00802C7E"/>
    <w:rsid w:val="0080303F"/>
    <w:rsid w:val="0080317B"/>
    <w:rsid w:val="0080328F"/>
    <w:rsid w:val="00803782"/>
    <w:rsid w:val="00803E00"/>
    <w:rsid w:val="00804410"/>
    <w:rsid w:val="0080465C"/>
    <w:rsid w:val="008049AA"/>
    <w:rsid w:val="008054F4"/>
    <w:rsid w:val="00805DA8"/>
    <w:rsid w:val="00806AB8"/>
    <w:rsid w:val="00806ECE"/>
    <w:rsid w:val="008072D0"/>
    <w:rsid w:val="00807B28"/>
    <w:rsid w:val="00807B2B"/>
    <w:rsid w:val="00807EAE"/>
    <w:rsid w:val="00810040"/>
    <w:rsid w:val="0081007D"/>
    <w:rsid w:val="008100EE"/>
    <w:rsid w:val="008108B9"/>
    <w:rsid w:val="00810BCF"/>
    <w:rsid w:val="00811B2F"/>
    <w:rsid w:val="00811C4C"/>
    <w:rsid w:val="0081331D"/>
    <w:rsid w:val="00814EA8"/>
    <w:rsid w:val="00816392"/>
    <w:rsid w:val="0081688E"/>
    <w:rsid w:val="0081689C"/>
    <w:rsid w:val="0081777D"/>
    <w:rsid w:val="00817C5C"/>
    <w:rsid w:val="0082004D"/>
    <w:rsid w:val="00820312"/>
    <w:rsid w:val="00820979"/>
    <w:rsid w:val="00820A89"/>
    <w:rsid w:val="00820EEB"/>
    <w:rsid w:val="00821985"/>
    <w:rsid w:val="00821B1A"/>
    <w:rsid w:val="00822251"/>
    <w:rsid w:val="0082244F"/>
    <w:rsid w:val="00822540"/>
    <w:rsid w:val="008226BD"/>
    <w:rsid w:val="008230ED"/>
    <w:rsid w:val="008233EA"/>
    <w:rsid w:val="008236A5"/>
    <w:rsid w:val="008259D2"/>
    <w:rsid w:val="00825E0A"/>
    <w:rsid w:val="0082671F"/>
    <w:rsid w:val="00826CA1"/>
    <w:rsid w:val="00826CC1"/>
    <w:rsid w:val="00827277"/>
    <w:rsid w:val="00827FC6"/>
    <w:rsid w:val="00830A2C"/>
    <w:rsid w:val="00831595"/>
    <w:rsid w:val="00831962"/>
    <w:rsid w:val="00831D53"/>
    <w:rsid w:val="00831D9D"/>
    <w:rsid w:val="00832E39"/>
    <w:rsid w:val="00834088"/>
    <w:rsid w:val="0083440A"/>
    <w:rsid w:val="008346F7"/>
    <w:rsid w:val="00834E0C"/>
    <w:rsid w:val="00834F6D"/>
    <w:rsid w:val="00836194"/>
    <w:rsid w:val="0083690B"/>
    <w:rsid w:val="008369BC"/>
    <w:rsid w:val="00836C53"/>
    <w:rsid w:val="008371BC"/>
    <w:rsid w:val="00840484"/>
    <w:rsid w:val="00840839"/>
    <w:rsid w:val="00840DF8"/>
    <w:rsid w:val="00840E75"/>
    <w:rsid w:val="008417C8"/>
    <w:rsid w:val="00842723"/>
    <w:rsid w:val="00843321"/>
    <w:rsid w:val="008435E2"/>
    <w:rsid w:val="00843721"/>
    <w:rsid w:val="00845038"/>
    <w:rsid w:val="0084645F"/>
    <w:rsid w:val="00847478"/>
    <w:rsid w:val="00847C03"/>
    <w:rsid w:val="00850009"/>
    <w:rsid w:val="008500DF"/>
    <w:rsid w:val="00851239"/>
    <w:rsid w:val="00851276"/>
    <w:rsid w:val="00851F45"/>
    <w:rsid w:val="00852322"/>
    <w:rsid w:val="0085270F"/>
    <w:rsid w:val="008528B9"/>
    <w:rsid w:val="008529A9"/>
    <w:rsid w:val="00852D5A"/>
    <w:rsid w:val="00853077"/>
    <w:rsid w:val="00853662"/>
    <w:rsid w:val="0085393F"/>
    <w:rsid w:val="00853D01"/>
    <w:rsid w:val="00853E58"/>
    <w:rsid w:val="0085541A"/>
    <w:rsid w:val="0085657A"/>
    <w:rsid w:val="00856A99"/>
    <w:rsid w:val="0085745B"/>
    <w:rsid w:val="00857BA7"/>
    <w:rsid w:val="0086002E"/>
    <w:rsid w:val="00860F33"/>
    <w:rsid w:val="00861655"/>
    <w:rsid w:val="00861CE3"/>
    <w:rsid w:val="008626B1"/>
    <w:rsid w:val="008629B8"/>
    <w:rsid w:val="00863D90"/>
    <w:rsid w:val="00863FFE"/>
    <w:rsid w:val="00864156"/>
    <w:rsid w:val="0086461D"/>
    <w:rsid w:val="008651C1"/>
    <w:rsid w:val="00867BD5"/>
    <w:rsid w:val="00870100"/>
    <w:rsid w:val="0087070F"/>
    <w:rsid w:val="00870E8B"/>
    <w:rsid w:val="00871235"/>
    <w:rsid w:val="008715F7"/>
    <w:rsid w:val="0087181C"/>
    <w:rsid w:val="00871A6A"/>
    <w:rsid w:val="00871AD6"/>
    <w:rsid w:val="008728C9"/>
    <w:rsid w:val="00872BBA"/>
    <w:rsid w:val="008739EA"/>
    <w:rsid w:val="00873A26"/>
    <w:rsid w:val="00873E2E"/>
    <w:rsid w:val="0087410D"/>
    <w:rsid w:val="00874113"/>
    <w:rsid w:val="008743B0"/>
    <w:rsid w:val="008749EE"/>
    <w:rsid w:val="008767CE"/>
    <w:rsid w:val="0087694C"/>
    <w:rsid w:val="00877518"/>
    <w:rsid w:val="0087754D"/>
    <w:rsid w:val="008775BB"/>
    <w:rsid w:val="00877EA2"/>
    <w:rsid w:val="008808E4"/>
    <w:rsid w:val="00880B88"/>
    <w:rsid w:val="008815CB"/>
    <w:rsid w:val="0088188D"/>
    <w:rsid w:val="00881A7A"/>
    <w:rsid w:val="008828FC"/>
    <w:rsid w:val="0088331A"/>
    <w:rsid w:val="00883BEF"/>
    <w:rsid w:val="008840D1"/>
    <w:rsid w:val="008840E8"/>
    <w:rsid w:val="00884EA5"/>
    <w:rsid w:val="00885B85"/>
    <w:rsid w:val="00885C2A"/>
    <w:rsid w:val="00886300"/>
    <w:rsid w:val="00886C45"/>
    <w:rsid w:val="008878A6"/>
    <w:rsid w:val="00887EBA"/>
    <w:rsid w:val="008901BB"/>
    <w:rsid w:val="0089115D"/>
    <w:rsid w:val="008918D1"/>
    <w:rsid w:val="00891F02"/>
    <w:rsid w:val="0089258D"/>
    <w:rsid w:val="008931B7"/>
    <w:rsid w:val="00893858"/>
    <w:rsid w:val="0089407E"/>
    <w:rsid w:val="0089667F"/>
    <w:rsid w:val="0089767A"/>
    <w:rsid w:val="00897708"/>
    <w:rsid w:val="008A0073"/>
    <w:rsid w:val="008A080A"/>
    <w:rsid w:val="008A0DA8"/>
    <w:rsid w:val="008A0E80"/>
    <w:rsid w:val="008A1012"/>
    <w:rsid w:val="008A119B"/>
    <w:rsid w:val="008A2215"/>
    <w:rsid w:val="008A23DB"/>
    <w:rsid w:val="008A256D"/>
    <w:rsid w:val="008A259E"/>
    <w:rsid w:val="008A2725"/>
    <w:rsid w:val="008A2D01"/>
    <w:rsid w:val="008A3408"/>
    <w:rsid w:val="008A3465"/>
    <w:rsid w:val="008A3B5C"/>
    <w:rsid w:val="008A3CB6"/>
    <w:rsid w:val="008A433F"/>
    <w:rsid w:val="008A46D0"/>
    <w:rsid w:val="008A489A"/>
    <w:rsid w:val="008A6236"/>
    <w:rsid w:val="008A66E2"/>
    <w:rsid w:val="008A6929"/>
    <w:rsid w:val="008A6C08"/>
    <w:rsid w:val="008A7287"/>
    <w:rsid w:val="008A732E"/>
    <w:rsid w:val="008A760B"/>
    <w:rsid w:val="008B0131"/>
    <w:rsid w:val="008B032D"/>
    <w:rsid w:val="008B04C4"/>
    <w:rsid w:val="008B05E0"/>
    <w:rsid w:val="008B116E"/>
    <w:rsid w:val="008B17AE"/>
    <w:rsid w:val="008B2F91"/>
    <w:rsid w:val="008B3136"/>
    <w:rsid w:val="008B45E9"/>
    <w:rsid w:val="008B4903"/>
    <w:rsid w:val="008B4F5C"/>
    <w:rsid w:val="008B5DA8"/>
    <w:rsid w:val="008B65F1"/>
    <w:rsid w:val="008B6B2B"/>
    <w:rsid w:val="008B6E2F"/>
    <w:rsid w:val="008B6E77"/>
    <w:rsid w:val="008B7D93"/>
    <w:rsid w:val="008C1735"/>
    <w:rsid w:val="008C17FD"/>
    <w:rsid w:val="008C1FD1"/>
    <w:rsid w:val="008C29AE"/>
    <w:rsid w:val="008C2D89"/>
    <w:rsid w:val="008C3023"/>
    <w:rsid w:val="008C3125"/>
    <w:rsid w:val="008C3FE0"/>
    <w:rsid w:val="008C4029"/>
    <w:rsid w:val="008C4593"/>
    <w:rsid w:val="008C5097"/>
    <w:rsid w:val="008C5119"/>
    <w:rsid w:val="008C5743"/>
    <w:rsid w:val="008C574C"/>
    <w:rsid w:val="008C64A9"/>
    <w:rsid w:val="008C69AB"/>
    <w:rsid w:val="008C7B86"/>
    <w:rsid w:val="008C7FD4"/>
    <w:rsid w:val="008D0A4F"/>
    <w:rsid w:val="008D0DB3"/>
    <w:rsid w:val="008D10AD"/>
    <w:rsid w:val="008D1330"/>
    <w:rsid w:val="008D1B4A"/>
    <w:rsid w:val="008D1FE4"/>
    <w:rsid w:val="008D282D"/>
    <w:rsid w:val="008D33DF"/>
    <w:rsid w:val="008D360A"/>
    <w:rsid w:val="008D3795"/>
    <w:rsid w:val="008D38A2"/>
    <w:rsid w:val="008D3DD7"/>
    <w:rsid w:val="008D4C80"/>
    <w:rsid w:val="008D50F1"/>
    <w:rsid w:val="008D5293"/>
    <w:rsid w:val="008D6482"/>
    <w:rsid w:val="008D6760"/>
    <w:rsid w:val="008D6FAA"/>
    <w:rsid w:val="008D7002"/>
    <w:rsid w:val="008D71CC"/>
    <w:rsid w:val="008D7230"/>
    <w:rsid w:val="008D7325"/>
    <w:rsid w:val="008D7A0B"/>
    <w:rsid w:val="008E053A"/>
    <w:rsid w:val="008E0752"/>
    <w:rsid w:val="008E1462"/>
    <w:rsid w:val="008E15C7"/>
    <w:rsid w:val="008E18C2"/>
    <w:rsid w:val="008E1F9D"/>
    <w:rsid w:val="008E23DE"/>
    <w:rsid w:val="008E23E9"/>
    <w:rsid w:val="008E2D0B"/>
    <w:rsid w:val="008E2DC8"/>
    <w:rsid w:val="008E2F0B"/>
    <w:rsid w:val="008E47F7"/>
    <w:rsid w:val="008E4A64"/>
    <w:rsid w:val="008E5705"/>
    <w:rsid w:val="008E65AA"/>
    <w:rsid w:val="008E68F9"/>
    <w:rsid w:val="008E792E"/>
    <w:rsid w:val="008E7C5B"/>
    <w:rsid w:val="008E7E89"/>
    <w:rsid w:val="008F03C7"/>
    <w:rsid w:val="008F158F"/>
    <w:rsid w:val="008F17BE"/>
    <w:rsid w:val="008F1A1F"/>
    <w:rsid w:val="008F1A45"/>
    <w:rsid w:val="008F26DA"/>
    <w:rsid w:val="008F285F"/>
    <w:rsid w:val="008F2B99"/>
    <w:rsid w:val="008F2D86"/>
    <w:rsid w:val="008F3136"/>
    <w:rsid w:val="008F589D"/>
    <w:rsid w:val="008F5A85"/>
    <w:rsid w:val="008F5F6B"/>
    <w:rsid w:val="008F6863"/>
    <w:rsid w:val="008F7649"/>
    <w:rsid w:val="00901369"/>
    <w:rsid w:val="00901E16"/>
    <w:rsid w:val="00902614"/>
    <w:rsid w:val="009029FB"/>
    <w:rsid w:val="00903BCB"/>
    <w:rsid w:val="009044DE"/>
    <w:rsid w:val="00904954"/>
    <w:rsid w:val="00904A60"/>
    <w:rsid w:val="00906053"/>
    <w:rsid w:val="00906302"/>
    <w:rsid w:val="00906649"/>
    <w:rsid w:val="00906A1E"/>
    <w:rsid w:val="0090704F"/>
    <w:rsid w:val="00907383"/>
    <w:rsid w:val="00907E4D"/>
    <w:rsid w:val="00907ED4"/>
    <w:rsid w:val="009110EF"/>
    <w:rsid w:val="00911755"/>
    <w:rsid w:val="00911B1C"/>
    <w:rsid w:val="00911F62"/>
    <w:rsid w:val="00912A02"/>
    <w:rsid w:val="009131A9"/>
    <w:rsid w:val="00914761"/>
    <w:rsid w:val="009160AE"/>
    <w:rsid w:val="00916100"/>
    <w:rsid w:val="009166D8"/>
    <w:rsid w:val="009167F3"/>
    <w:rsid w:val="00917196"/>
    <w:rsid w:val="0091770B"/>
    <w:rsid w:val="009179D0"/>
    <w:rsid w:val="00917CBD"/>
    <w:rsid w:val="00917F65"/>
    <w:rsid w:val="00920567"/>
    <w:rsid w:val="009208A4"/>
    <w:rsid w:val="00920DFE"/>
    <w:rsid w:val="00921C28"/>
    <w:rsid w:val="00921E31"/>
    <w:rsid w:val="009223FC"/>
    <w:rsid w:val="00922BED"/>
    <w:rsid w:val="00923126"/>
    <w:rsid w:val="009233CA"/>
    <w:rsid w:val="0092370B"/>
    <w:rsid w:val="00924125"/>
    <w:rsid w:val="009243A5"/>
    <w:rsid w:val="00924F2C"/>
    <w:rsid w:val="009257EA"/>
    <w:rsid w:val="0092585C"/>
    <w:rsid w:val="00926880"/>
    <w:rsid w:val="00927894"/>
    <w:rsid w:val="00927E9B"/>
    <w:rsid w:val="00927F8C"/>
    <w:rsid w:val="009300EE"/>
    <w:rsid w:val="009301B5"/>
    <w:rsid w:val="00930555"/>
    <w:rsid w:val="00931C02"/>
    <w:rsid w:val="00932CA1"/>
    <w:rsid w:val="009332B4"/>
    <w:rsid w:val="00933D23"/>
    <w:rsid w:val="009340AF"/>
    <w:rsid w:val="0093434A"/>
    <w:rsid w:val="00934442"/>
    <w:rsid w:val="00934CE2"/>
    <w:rsid w:val="00935015"/>
    <w:rsid w:val="00935313"/>
    <w:rsid w:val="0093555E"/>
    <w:rsid w:val="00935EC6"/>
    <w:rsid w:val="009367AE"/>
    <w:rsid w:val="00936E95"/>
    <w:rsid w:val="00937081"/>
    <w:rsid w:val="009373E0"/>
    <w:rsid w:val="00940E9E"/>
    <w:rsid w:val="00941020"/>
    <w:rsid w:val="00941705"/>
    <w:rsid w:val="00942689"/>
    <w:rsid w:val="00942C35"/>
    <w:rsid w:val="009435AC"/>
    <w:rsid w:val="00944178"/>
    <w:rsid w:val="00945673"/>
    <w:rsid w:val="00945B35"/>
    <w:rsid w:val="00945BEC"/>
    <w:rsid w:val="009466AA"/>
    <w:rsid w:val="00946BE0"/>
    <w:rsid w:val="00946CE2"/>
    <w:rsid w:val="00947C4B"/>
    <w:rsid w:val="00950A4E"/>
    <w:rsid w:val="00950BA7"/>
    <w:rsid w:val="00951746"/>
    <w:rsid w:val="00951E49"/>
    <w:rsid w:val="00952DF6"/>
    <w:rsid w:val="0095362B"/>
    <w:rsid w:val="00953835"/>
    <w:rsid w:val="00953BE8"/>
    <w:rsid w:val="00954519"/>
    <w:rsid w:val="009547D1"/>
    <w:rsid w:val="0095485C"/>
    <w:rsid w:val="00955A75"/>
    <w:rsid w:val="00957097"/>
    <w:rsid w:val="00957668"/>
    <w:rsid w:val="00957D29"/>
    <w:rsid w:val="00957F96"/>
    <w:rsid w:val="009607CA"/>
    <w:rsid w:val="00960C16"/>
    <w:rsid w:val="0096101B"/>
    <w:rsid w:val="009610F5"/>
    <w:rsid w:val="009612D6"/>
    <w:rsid w:val="00961F35"/>
    <w:rsid w:val="00962636"/>
    <w:rsid w:val="009626F4"/>
    <w:rsid w:val="009626F8"/>
    <w:rsid w:val="00963666"/>
    <w:rsid w:val="0096367E"/>
    <w:rsid w:val="00963C1D"/>
    <w:rsid w:val="0096535F"/>
    <w:rsid w:val="00965BD0"/>
    <w:rsid w:val="009663C6"/>
    <w:rsid w:val="0096643A"/>
    <w:rsid w:val="00966659"/>
    <w:rsid w:val="00966B8A"/>
    <w:rsid w:val="0096774D"/>
    <w:rsid w:val="00967750"/>
    <w:rsid w:val="00967793"/>
    <w:rsid w:val="00967A61"/>
    <w:rsid w:val="009701E6"/>
    <w:rsid w:val="0097098D"/>
    <w:rsid w:val="00971818"/>
    <w:rsid w:val="00971883"/>
    <w:rsid w:val="00971C49"/>
    <w:rsid w:val="009723A4"/>
    <w:rsid w:val="00972424"/>
    <w:rsid w:val="0097249B"/>
    <w:rsid w:val="00972553"/>
    <w:rsid w:val="00972C33"/>
    <w:rsid w:val="00972C8A"/>
    <w:rsid w:val="00972F1E"/>
    <w:rsid w:val="00973631"/>
    <w:rsid w:val="00973B3D"/>
    <w:rsid w:val="009741C6"/>
    <w:rsid w:val="00974A2E"/>
    <w:rsid w:val="0097712F"/>
    <w:rsid w:val="0097762F"/>
    <w:rsid w:val="009802D7"/>
    <w:rsid w:val="00980E13"/>
    <w:rsid w:val="009817A9"/>
    <w:rsid w:val="009817D2"/>
    <w:rsid w:val="00981DE6"/>
    <w:rsid w:val="009823FF"/>
    <w:rsid w:val="00983AFB"/>
    <w:rsid w:val="00984374"/>
    <w:rsid w:val="0098447D"/>
    <w:rsid w:val="00984D45"/>
    <w:rsid w:val="00985353"/>
    <w:rsid w:val="00985A0B"/>
    <w:rsid w:val="00985DBF"/>
    <w:rsid w:val="00986B5E"/>
    <w:rsid w:val="009906A4"/>
    <w:rsid w:val="009906F9"/>
    <w:rsid w:val="009915BD"/>
    <w:rsid w:val="009916F4"/>
    <w:rsid w:val="00991718"/>
    <w:rsid w:val="009918A5"/>
    <w:rsid w:val="00991B23"/>
    <w:rsid w:val="00991FFB"/>
    <w:rsid w:val="0099226D"/>
    <w:rsid w:val="0099251A"/>
    <w:rsid w:val="00994CE5"/>
    <w:rsid w:val="009959BF"/>
    <w:rsid w:val="009977C1"/>
    <w:rsid w:val="00997BFD"/>
    <w:rsid w:val="009A05FA"/>
    <w:rsid w:val="009A071A"/>
    <w:rsid w:val="009A1487"/>
    <w:rsid w:val="009A2064"/>
    <w:rsid w:val="009A2424"/>
    <w:rsid w:val="009A2BD5"/>
    <w:rsid w:val="009A2E18"/>
    <w:rsid w:val="009A2FB0"/>
    <w:rsid w:val="009A3CEA"/>
    <w:rsid w:val="009A3FAB"/>
    <w:rsid w:val="009A3FE9"/>
    <w:rsid w:val="009A4B8A"/>
    <w:rsid w:val="009A4E78"/>
    <w:rsid w:val="009A52D4"/>
    <w:rsid w:val="009A53BD"/>
    <w:rsid w:val="009A6232"/>
    <w:rsid w:val="009A7439"/>
    <w:rsid w:val="009A7773"/>
    <w:rsid w:val="009B0C70"/>
    <w:rsid w:val="009B0FE7"/>
    <w:rsid w:val="009B12AB"/>
    <w:rsid w:val="009B16D7"/>
    <w:rsid w:val="009B1E4F"/>
    <w:rsid w:val="009B2569"/>
    <w:rsid w:val="009B2952"/>
    <w:rsid w:val="009B415F"/>
    <w:rsid w:val="009B45DB"/>
    <w:rsid w:val="009B4DA4"/>
    <w:rsid w:val="009B58CF"/>
    <w:rsid w:val="009B6D33"/>
    <w:rsid w:val="009B6F89"/>
    <w:rsid w:val="009B7137"/>
    <w:rsid w:val="009B7799"/>
    <w:rsid w:val="009B7878"/>
    <w:rsid w:val="009B7A14"/>
    <w:rsid w:val="009C1727"/>
    <w:rsid w:val="009C1E78"/>
    <w:rsid w:val="009C26AA"/>
    <w:rsid w:val="009C2CE6"/>
    <w:rsid w:val="009C2E3C"/>
    <w:rsid w:val="009C2F91"/>
    <w:rsid w:val="009C3047"/>
    <w:rsid w:val="009C31C6"/>
    <w:rsid w:val="009C31FB"/>
    <w:rsid w:val="009C384C"/>
    <w:rsid w:val="009C4673"/>
    <w:rsid w:val="009C49DE"/>
    <w:rsid w:val="009C527D"/>
    <w:rsid w:val="009C5ED4"/>
    <w:rsid w:val="009C60B7"/>
    <w:rsid w:val="009C63C9"/>
    <w:rsid w:val="009C64B7"/>
    <w:rsid w:val="009C78F7"/>
    <w:rsid w:val="009C7A86"/>
    <w:rsid w:val="009C7F5B"/>
    <w:rsid w:val="009C7F6B"/>
    <w:rsid w:val="009D03B7"/>
    <w:rsid w:val="009D1092"/>
    <w:rsid w:val="009D1AEF"/>
    <w:rsid w:val="009D1E09"/>
    <w:rsid w:val="009D2231"/>
    <w:rsid w:val="009D3190"/>
    <w:rsid w:val="009D3601"/>
    <w:rsid w:val="009D364C"/>
    <w:rsid w:val="009D475E"/>
    <w:rsid w:val="009D5833"/>
    <w:rsid w:val="009D5933"/>
    <w:rsid w:val="009D5E15"/>
    <w:rsid w:val="009D6DD2"/>
    <w:rsid w:val="009D747B"/>
    <w:rsid w:val="009D784F"/>
    <w:rsid w:val="009E0247"/>
    <w:rsid w:val="009E03CB"/>
    <w:rsid w:val="009E0B34"/>
    <w:rsid w:val="009E0E98"/>
    <w:rsid w:val="009E16A1"/>
    <w:rsid w:val="009E1CC0"/>
    <w:rsid w:val="009E29D8"/>
    <w:rsid w:val="009E2BFE"/>
    <w:rsid w:val="009E2C4A"/>
    <w:rsid w:val="009E3D83"/>
    <w:rsid w:val="009E4902"/>
    <w:rsid w:val="009E4F9C"/>
    <w:rsid w:val="009E56EB"/>
    <w:rsid w:val="009E5940"/>
    <w:rsid w:val="009E6D55"/>
    <w:rsid w:val="009E6E55"/>
    <w:rsid w:val="009E6F50"/>
    <w:rsid w:val="009E74C9"/>
    <w:rsid w:val="009F01DC"/>
    <w:rsid w:val="009F0874"/>
    <w:rsid w:val="009F0DF5"/>
    <w:rsid w:val="009F1570"/>
    <w:rsid w:val="009F16D1"/>
    <w:rsid w:val="009F1A3E"/>
    <w:rsid w:val="009F2449"/>
    <w:rsid w:val="009F2B57"/>
    <w:rsid w:val="009F2E43"/>
    <w:rsid w:val="009F30CC"/>
    <w:rsid w:val="009F32D3"/>
    <w:rsid w:val="009F3409"/>
    <w:rsid w:val="009F47BD"/>
    <w:rsid w:val="009F489E"/>
    <w:rsid w:val="009F4F42"/>
    <w:rsid w:val="009F4F96"/>
    <w:rsid w:val="009F5554"/>
    <w:rsid w:val="009F565F"/>
    <w:rsid w:val="009F5692"/>
    <w:rsid w:val="009F57A0"/>
    <w:rsid w:val="009F590A"/>
    <w:rsid w:val="009F6EA8"/>
    <w:rsid w:val="009F6FFE"/>
    <w:rsid w:val="009F76B2"/>
    <w:rsid w:val="009F780C"/>
    <w:rsid w:val="00A00422"/>
    <w:rsid w:val="00A020A9"/>
    <w:rsid w:val="00A02B84"/>
    <w:rsid w:val="00A02E9A"/>
    <w:rsid w:val="00A03028"/>
    <w:rsid w:val="00A0315B"/>
    <w:rsid w:val="00A03725"/>
    <w:rsid w:val="00A0387F"/>
    <w:rsid w:val="00A03AE8"/>
    <w:rsid w:val="00A03EC8"/>
    <w:rsid w:val="00A04C20"/>
    <w:rsid w:val="00A050AA"/>
    <w:rsid w:val="00A05B1C"/>
    <w:rsid w:val="00A05BDE"/>
    <w:rsid w:val="00A0691A"/>
    <w:rsid w:val="00A06A5A"/>
    <w:rsid w:val="00A06B1E"/>
    <w:rsid w:val="00A0704B"/>
    <w:rsid w:val="00A0792F"/>
    <w:rsid w:val="00A07C05"/>
    <w:rsid w:val="00A100CB"/>
    <w:rsid w:val="00A10137"/>
    <w:rsid w:val="00A11072"/>
    <w:rsid w:val="00A110FE"/>
    <w:rsid w:val="00A119CC"/>
    <w:rsid w:val="00A129E4"/>
    <w:rsid w:val="00A13ACE"/>
    <w:rsid w:val="00A13F5A"/>
    <w:rsid w:val="00A151C6"/>
    <w:rsid w:val="00A16B04"/>
    <w:rsid w:val="00A20BE4"/>
    <w:rsid w:val="00A2148E"/>
    <w:rsid w:val="00A21C3A"/>
    <w:rsid w:val="00A22C90"/>
    <w:rsid w:val="00A2323E"/>
    <w:rsid w:val="00A23FA3"/>
    <w:rsid w:val="00A25066"/>
    <w:rsid w:val="00A257ED"/>
    <w:rsid w:val="00A259D9"/>
    <w:rsid w:val="00A263C5"/>
    <w:rsid w:val="00A2682F"/>
    <w:rsid w:val="00A27028"/>
    <w:rsid w:val="00A274D9"/>
    <w:rsid w:val="00A27CB2"/>
    <w:rsid w:val="00A27D22"/>
    <w:rsid w:val="00A27F1E"/>
    <w:rsid w:val="00A30342"/>
    <w:rsid w:val="00A31D9C"/>
    <w:rsid w:val="00A3290E"/>
    <w:rsid w:val="00A32E1D"/>
    <w:rsid w:val="00A338ED"/>
    <w:rsid w:val="00A34321"/>
    <w:rsid w:val="00A34328"/>
    <w:rsid w:val="00A34EFA"/>
    <w:rsid w:val="00A351E1"/>
    <w:rsid w:val="00A369A3"/>
    <w:rsid w:val="00A37080"/>
    <w:rsid w:val="00A37C24"/>
    <w:rsid w:val="00A4097B"/>
    <w:rsid w:val="00A418FF"/>
    <w:rsid w:val="00A4268C"/>
    <w:rsid w:val="00A42EF9"/>
    <w:rsid w:val="00A43187"/>
    <w:rsid w:val="00A436E6"/>
    <w:rsid w:val="00A43739"/>
    <w:rsid w:val="00A44204"/>
    <w:rsid w:val="00A44536"/>
    <w:rsid w:val="00A457D4"/>
    <w:rsid w:val="00A45BF5"/>
    <w:rsid w:val="00A45F8F"/>
    <w:rsid w:val="00A46BFE"/>
    <w:rsid w:val="00A46C16"/>
    <w:rsid w:val="00A51D05"/>
    <w:rsid w:val="00A52448"/>
    <w:rsid w:val="00A529D3"/>
    <w:rsid w:val="00A53253"/>
    <w:rsid w:val="00A53F37"/>
    <w:rsid w:val="00A547A8"/>
    <w:rsid w:val="00A547EF"/>
    <w:rsid w:val="00A54CFE"/>
    <w:rsid w:val="00A55269"/>
    <w:rsid w:val="00A55C5E"/>
    <w:rsid w:val="00A55F04"/>
    <w:rsid w:val="00A56315"/>
    <w:rsid w:val="00A563F0"/>
    <w:rsid w:val="00A56CFC"/>
    <w:rsid w:val="00A5788C"/>
    <w:rsid w:val="00A57979"/>
    <w:rsid w:val="00A57B42"/>
    <w:rsid w:val="00A6175B"/>
    <w:rsid w:val="00A61F0E"/>
    <w:rsid w:val="00A63851"/>
    <w:rsid w:val="00A63E93"/>
    <w:rsid w:val="00A65570"/>
    <w:rsid w:val="00A655B7"/>
    <w:rsid w:val="00A659EF"/>
    <w:rsid w:val="00A667EE"/>
    <w:rsid w:val="00A669C3"/>
    <w:rsid w:val="00A66DF5"/>
    <w:rsid w:val="00A6715E"/>
    <w:rsid w:val="00A67250"/>
    <w:rsid w:val="00A70FE3"/>
    <w:rsid w:val="00A7182B"/>
    <w:rsid w:val="00A72278"/>
    <w:rsid w:val="00A7293B"/>
    <w:rsid w:val="00A72AD1"/>
    <w:rsid w:val="00A72EBB"/>
    <w:rsid w:val="00A73675"/>
    <w:rsid w:val="00A74B7E"/>
    <w:rsid w:val="00A76354"/>
    <w:rsid w:val="00A763C4"/>
    <w:rsid w:val="00A7650C"/>
    <w:rsid w:val="00A76929"/>
    <w:rsid w:val="00A7737E"/>
    <w:rsid w:val="00A80014"/>
    <w:rsid w:val="00A804E2"/>
    <w:rsid w:val="00A8059B"/>
    <w:rsid w:val="00A80CF1"/>
    <w:rsid w:val="00A80FD4"/>
    <w:rsid w:val="00A82926"/>
    <w:rsid w:val="00A83312"/>
    <w:rsid w:val="00A8444A"/>
    <w:rsid w:val="00A8452C"/>
    <w:rsid w:val="00A84D80"/>
    <w:rsid w:val="00A877EF"/>
    <w:rsid w:val="00A90655"/>
    <w:rsid w:val="00A91C24"/>
    <w:rsid w:val="00A922E7"/>
    <w:rsid w:val="00A92540"/>
    <w:rsid w:val="00A92766"/>
    <w:rsid w:val="00A930E6"/>
    <w:rsid w:val="00A93297"/>
    <w:rsid w:val="00A932DF"/>
    <w:rsid w:val="00A9330B"/>
    <w:rsid w:val="00A93609"/>
    <w:rsid w:val="00A936F6"/>
    <w:rsid w:val="00A93A91"/>
    <w:rsid w:val="00A93B77"/>
    <w:rsid w:val="00A94249"/>
    <w:rsid w:val="00A94433"/>
    <w:rsid w:val="00A946FB"/>
    <w:rsid w:val="00A94D6A"/>
    <w:rsid w:val="00A950C3"/>
    <w:rsid w:val="00A95609"/>
    <w:rsid w:val="00A963ED"/>
    <w:rsid w:val="00A96C88"/>
    <w:rsid w:val="00A96E9A"/>
    <w:rsid w:val="00A97075"/>
    <w:rsid w:val="00AA01A6"/>
    <w:rsid w:val="00AA03EF"/>
    <w:rsid w:val="00AA0649"/>
    <w:rsid w:val="00AA1B57"/>
    <w:rsid w:val="00AA1DD2"/>
    <w:rsid w:val="00AA3B72"/>
    <w:rsid w:val="00AA3D08"/>
    <w:rsid w:val="00AA48D2"/>
    <w:rsid w:val="00AA49EF"/>
    <w:rsid w:val="00AA4CB7"/>
    <w:rsid w:val="00AA64D9"/>
    <w:rsid w:val="00AB0325"/>
    <w:rsid w:val="00AB0987"/>
    <w:rsid w:val="00AB113F"/>
    <w:rsid w:val="00AB16E2"/>
    <w:rsid w:val="00AB17DB"/>
    <w:rsid w:val="00AB2960"/>
    <w:rsid w:val="00AB2F8C"/>
    <w:rsid w:val="00AB3A22"/>
    <w:rsid w:val="00AB50E2"/>
    <w:rsid w:val="00AB54DB"/>
    <w:rsid w:val="00AB558D"/>
    <w:rsid w:val="00AB5E12"/>
    <w:rsid w:val="00AB69A0"/>
    <w:rsid w:val="00AB6A8D"/>
    <w:rsid w:val="00AB6B67"/>
    <w:rsid w:val="00AB6C6E"/>
    <w:rsid w:val="00AB7231"/>
    <w:rsid w:val="00AB7269"/>
    <w:rsid w:val="00AB7901"/>
    <w:rsid w:val="00AC00E0"/>
    <w:rsid w:val="00AC0341"/>
    <w:rsid w:val="00AC09FC"/>
    <w:rsid w:val="00AC0D76"/>
    <w:rsid w:val="00AC1185"/>
    <w:rsid w:val="00AC13C5"/>
    <w:rsid w:val="00AC148E"/>
    <w:rsid w:val="00AC1DDF"/>
    <w:rsid w:val="00AC28DF"/>
    <w:rsid w:val="00AC2F17"/>
    <w:rsid w:val="00AC38CD"/>
    <w:rsid w:val="00AC59D0"/>
    <w:rsid w:val="00AC68AA"/>
    <w:rsid w:val="00AC6B55"/>
    <w:rsid w:val="00AC70ED"/>
    <w:rsid w:val="00AC732F"/>
    <w:rsid w:val="00AD02FD"/>
    <w:rsid w:val="00AD087E"/>
    <w:rsid w:val="00AD09D0"/>
    <w:rsid w:val="00AD0A39"/>
    <w:rsid w:val="00AD1479"/>
    <w:rsid w:val="00AD1A29"/>
    <w:rsid w:val="00AD1AA6"/>
    <w:rsid w:val="00AD21B7"/>
    <w:rsid w:val="00AD2668"/>
    <w:rsid w:val="00AD28E8"/>
    <w:rsid w:val="00AD300B"/>
    <w:rsid w:val="00AD3781"/>
    <w:rsid w:val="00AD3B38"/>
    <w:rsid w:val="00AD3EFB"/>
    <w:rsid w:val="00AD495D"/>
    <w:rsid w:val="00AD5087"/>
    <w:rsid w:val="00AD6742"/>
    <w:rsid w:val="00AD6BD2"/>
    <w:rsid w:val="00AD6EF4"/>
    <w:rsid w:val="00AD722E"/>
    <w:rsid w:val="00AD7FE1"/>
    <w:rsid w:val="00AE00DD"/>
    <w:rsid w:val="00AE01FB"/>
    <w:rsid w:val="00AE02DC"/>
    <w:rsid w:val="00AE0C4E"/>
    <w:rsid w:val="00AE1021"/>
    <w:rsid w:val="00AE178F"/>
    <w:rsid w:val="00AE1D96"/>
    <w:rsid w:val="00AE2927"/>
    <w:rsid w:val="00AE3363"/>
    <w:rsid w:val="00AE394E"/>
    <w:rsid w:val="00AE3BE6"/>
    <w:rsid w:val="00AE3E32"/>
    <w:rsid w:val="00AE3F53"/>
    <w:rsid w:val="00AE4839"/>
    <w:rsid w:val="00AE574C"/>
    <w:rsid w:val="00AE583D"/>
    <w:rsid w:val="00AE6399"/>
    <w:rsid w:val="00AE6587"/>
    <w:rsid w:val="00AE72D8"/>
    <w:rsid w:val="00AE75D5"/>
    <w:rsid w:val="00AE7B17"/>
    <w:rsid w:val="00AF095D"/>
    <w:rsid w:val="00AF18D8"/>
    <w:rsid w:val="00AF28D3"/>
    <w:rsid w:val="00AF2A1B"/>
    <w:rsid w:val="00AF2B20"/>
    <w:rsid w:val="00AF3925"/>
    <w:rsid w:val="00AF3E5C"/>
    <w:rsid w:val="00AF4A66"/>
    <w:rsid w:val="00AF4A70"/>
    <w:rsid w:val="00AF4A90"/>
    <w:rsid w:val="00AF4BC1"/>
    <w:rsid w:val="00AF4CDB"/>
    <w:rsid w:val="00AF4D99"/>
    <w:rsid w:val="00AF5C0C"/>
    <w:rsid w:val="00AF68AB"/>
    <w:rsid w:val="00AF7779"/>
    <w:rsid w:val="00AF7F4B"/>
    <w:rsid w:val="00B00139"/>
    <w:rsid w:val="00B009C6"/>
    <w:rsid w:val="00B00E23"/>
    <w:rsid w:val="00B00E32"/>
    <w:rsid w:val="00B0126E"/>
    <w:rsid w:val="00B02832"/>
    <w:rsid w:val="00B02E58"/>
    <w:rsid w:val="00B03135"/>
    <w:rsid w:val="00B048E6"/>
    <w:rsid w:val="00B04C3F"/>
    <w:rsid w:val="00B051B3"/>
    <w:rsid w:val="00B058A8"/>
    <w:rsid w:val="00B05ADF"/>
    <w:rsid w:val="00B060B0"/>
    <w:rsid w:val="00B06123"/>
    <w:rsid w:val="00B0639F"/>
    <w:rsid w:val="00B07E64"/>
    <w:rsid w:val="00B107E2"/>
    <w:rsid w:val="00B115A9"/>
    <w:rsid w:val="00B11F4A"/>
    <w:rsid w:val="00B1244B"/>
    <w:rsid w:val="00B12E62"/>
    <w:rsid w:val="00B13009"/>
    <w:rsid w:val="00B133CE"/>
    <w:rsid w:val="00B142D2"/>
    <w:rsid w:val="00B149EF"/>
    <w:rsid w:val="00B14FBF"/>
    <w:rsid w:val="00B1549E"/>
    <w:rsid w:val="00B16742"/>
    <w:rsid w:val="00B16E60"/>
    <w:rsid w:val="00B174CC"/>
    <w:rsid w:val="00B17633"/>
    <w:rsid w:val="00B17E7A"/>
    <w:rsid w:val="00B2041D"/>
    <w:rsid w:val="00B2179C"/>
    <w:rsid w:val="00B22A35"/>
    <w:rsid w:val="00B22CCE"/>
    <w:rsid w:val="00B23015"/>
    <w:rsid w:val="00B24493"/>
    <w:rsid w:val="00B248F9"/>
    <w:rsid w:val="00B24E28"/>
    <w:rsid w:val="00B24FCE"/>
    <w:rsid w:val="00B25073"/>
    <w:rsid w:val="00B25342"/>
    <w:rsid w:val="00B25BF6"/>
    <w:rsid w:val="00B25EC1"/>
    <w:rsid w:val="00B25F79"/>
    <w:rsid w:val="00B263BD"/>
    <w:rsid w:val="00B2679B"/>
    <w:rsid w:val="00B275E4"/>
    <w:rsid w:val="00B27D8E"/>
    <w:rsid w:val="00B3041A"/>
    <w:rsid w:val="00B304A2"/>
    <w:rsid w:val="00B315EB"/>
    <w:rsid w:val="00B318E4"/>
    <w:rsid w:val="00B31D01"/>
    <w:rsid w:val="00B31D98"/>
    <w:rsid w:val="00B3246F"/>
    <w:rsid w:val="00B327A2"/>
    <w:rsid w:val="00B32EC4"/>
    <w:rsid w:val="00B33308"/>
    <w:rsid w:val="00B33C49"/>
    <w:rsid w:val="00B343AE"/>
    <w:rsid w:val="00B346A0"/>
    <w:rsid w:val="00B34A0F"/>
    <w:rsid w:val="00B35245"/>
    <w:rsid w:val="00B371D2"/>
    <w:rsid w:val="00B37561"/>
    <w:rsid w:val="00B37710"/>
    <w:rsid w:val="00B37731"/>
    <w:rsid w:val="00B37857"/>
    <w:rsid w:val="00B37B28"/>
    <w:rsid w:val="00B40128"/>
    <w:rsid w:val="00B40282"/>
    <w:rsid w:val="00B409C5"/>
    <w:rsid w:val="00B4139B"/>
    <w:rsid w:val="00B416B6"/>
    <w:rsid w:val="00B41702"/>
    <w:rsid w:val="00B41D7A"/>
    <w:rsid w:val="00B42020"/>
    <w:rsid w:val="00B4214B"/>
    <w:rsid w:val="00B42A01"/>
    <w:rsid w:val="00B42C33"/>
    <w:rsid w:val="00B4432F"/>
    <w:rsid w:val="00B44C2E"/>
    <w:rsid w:val="00B45388"/>
    <w:rsid w:val="00B455A2"/>
    <w:rsid w:val="00B45BEF"/>
    <w:rsid w:val="00B45D2A"/>
    <w:rsid w:val="00B45E48"/>
    <w:rsid w:val="00B460A6"/>
    <w:rsid w:val="00B4633B"/>
    <w:rsid w:val="00B478E0"/>
    <w:rsid w:val="00B514AC"/>
    <w:rsid w:val="00B51972"/>
    <w:rsid w:val="00B51B91"/>
    <w:rsid w:val="00B531BF"/>
    <w:rsid w:val="00B537D5"/>
    <w:rsid w:val="00B53965"/>
    <w:rsid w:val="00B53E74"/>
    <w:rsid w:val="00B543CD"/>
    <w:rsid w:val="00B54750"/>
    <w:rsid w:val="00B551D5"/>
    <w:rsid w:val="00B56506"/>
    <w:rsid w:val="00B565CA"/>
    <w:rsid w:val="00B570C3"/>
    <w:rsid w:val="00B5733E"/>
    <w:rsid w:val="00B60E40"/>
    <w:rsid w:val="00B60EB3"/>
    <w:rsid w:val="00B60FFF"/>
    <w:rsid w:val="00B61A8E"/>
    <w:rsid w:val="00B62CEA"/>
    <w:rsid w:val="00B62EA6"/>
    <w:rsid w:val="00B62EDD"/>
    <w:rsid w:val="00B630FF"/>
    <w:rsid w:val="00B63706"/>
    <w:rsid w:val="00B6434C"/>
    <w:rsid w:val="00B643E1"/>
    <w:rsid w:val="00B64518"/>
    <w:rsid w:val="00B661BD"/>
    <w:rsid w:val="00B662BA"/>
    <w:rsid w:val="00B66AA2"/>
    <w:rsid w:val="00B67189"/>
    <w:rsid w:val="00B67E3C"/>
    <w:rsid w:val="00B70503"/>
    <w:rsid w:val="00B70B10"/>
    <w:rsid w:val="00B70B20"/>
    <w:rsid w:val="00B70D4C"/>
    <w:rsid w:val="00B710BB"/>
    <w:rsid w:val="00B717D4"/>
    <w:rsid w:val="00B71B88"/>
    <w:rsid w:val="00B722A6"/>
    <w:rsid w:val="00B72BB4"/>
    <w:rsid w:val="00B731C7"/>
    <w:rsid w:val="00B7361B"/>
    <w:rsid w:val="00B73B3E"/>
    <w:rsid w:val="00B7415C"/>
    <w:rsid w:val="00B7470B"/>
    <w:rsid w:val="00B748FE"/>
    <w:rsid w:val="00B7499C"/>
    <w:rsid w:val="00B75940"/>
    <w:rsid w:val="00B769F5"/>
    <w:rsid w:val="00B773CF"/>
    <w:rsid w:val="00B80502"/>
    <w:rsid w:val="00B80F32"/>
    <w:rsid w:val="00B81190"/>
    <w:rsid w:val="00B81829"/>
    <w:rsid w:val="00B81C7B"/>
    <w:rsid w:val="00B81EE2"/>
    <w:rsid w:val="00B82071"/>
    <w:rsid w:val="00B82278"/>
    <w:rsid w:val="00B82B35"/>
    <w:rsid w:val="00B8342F"/>
    <w:rsid w:val="00B83F82"/>
    <w:rsid w:val="00B85091"/>
    <w:rsid w:val="00B8550D"/>
    <w:rsid w:val="00B85E37"/>
    <w:rsid w:val="00B86DC2"/>
    <w:rsid w:val="00B87237"/>
    <w:rsid w:val="00B87715"/>
    <w:rsid w:val="00B87CF0"/>
    <w:rsid w:val="00B902D0"/>
    <w:rsid w:val="00B90A6F"/>
    <w:rsid w:val="00B9115A"/>
    <w:rsid w:val="00B914C4"/>
    <w:rsid w:val="00B91D5D"/>
    <w:rsid w:val="00B93CF2"/>
    <w:rsid w:val="00B94190"/>
    <w:rsid w:val="00B9487B"/>
    <w:rsid w:val="00B94A8F"/>
    <w:rsid w:val="00B94D79"/>
    <w:rsid w:val="00B958F9"/>
    <w:rsid w:val="00B95E7A"/>
    <w:rsid w:val="00B9692B"/>
    <w:rsid w:val="00B96C7C"/>
    <w:rsid w:val="00BA076E"/>
    <w:rsid w:val="00BA0D19"/>
    <w:rsid w:val="00BA0EB3"/>
    <w:rsid w:val="00BA26AD"/>
    <w:rsid w:val="00BA26D9"/>
    <w:rsid w:val="00BA2BCA"/>
    <w:rsid w:val="00BA3186"/>
    <w:rsid w:val="00BA3313"/>
    <w:rsid w:val="00BA3345"/>
    <w:rsid w:val="00BA40F9"/>
    <w:rsid w:val="00BA44A7"/>
    <w:rsid w:val="00BA4953"/>
    <w:rsid w:val="00BA542E"/>
    <w:rsid w:val="00BA5BF1"/>
    <w:rsid w:val="00BA63CD"/>
    <w:rsid w:val="00BA69B7"/>
    <w:rsid w:val="00BA6B80"/>
    <w:rsid w:val="00BA7799"/>
    <w:rsid w:val="00BA7873"/>
    <w:rsid w:val="00BA7B48"/>
    <w:rsid w:val="00BA7C5A"/>
    <w:rsid w:val="00BA7C6E"/>
    <w:rsid w:val="00BB0419"/>
    <w:rsid w:val="00BB0576"/>
    <w:rsid w:val="00BB1B2D"/>
    <w:rsid w:val="00BB1F34"/>
    <w:rsid w:val="00BB2235"/>
    <w:rsid w:val="00BB22BB"/>
    <w:rsid w:val="00BB2FD4"/>
    <w:rsid w:val="00BB334F"/>
    <w:rsid w:val="00BB3821"/>
    <w:rsid w:val="00BB40A2"/>
    <w:rsid w:val="00BB496D"/>
    <w:rsid w:val="00BB4BB4"/>
    <w:rsid w:val="00BB50F7"/>
    <w:rsid w:val="00BB5178"/>
    <w:rsid w:val="00BB51F8"/>
    <w:rsid w:val="00BB53B6"/>
    <w:rsid w:val="00BB5614"/>
    <w:rsid w:val="00BB6024"/>
    <w:rsid w:val="00BB6800"/>
    <w:rsid w:val="00BC005D"/>
    <w:rsid w:val="00BC02EC"/>
    <w:rsid w:val="00BC0EBB"/>
    <w:rsid w:val="00BC2637"/>
    <w:rsid w:val="00BC2D22"/>
    <w:rsid w:val="00BC2E58"/>
    <w:rsid w:val="00BC5925"/>
    <w:rsid w:val="00BC611A"/>
    <w:rsid w:val="00BC6BE1"/>
    <w:rsid w:val="00BC7D2A"/>
    <w:rsid w:val="00BD1494"/>
    <w:rsid w:val="00BD1C7B"/>
    <w:rsid w:val="00BD1E21"/>
    <w:rsid w:val="00BD1FD7"/>
    <w:rsid w:val="00BD2B4E"/>
    <w:rsid w:val="00BD3227"/>
    <w:rsid w:val="00BD3C25"/>
    <w:rsid w:val="00BD49E7"/>
    <w:rsid w:val="00BD6058"/>
    <w:rsid w:val="00BD6492"/>
    <w:rsid w:val="00BD6B00"/>
    <w:rsid w:val="00BD6DAE"/>
    <w:rsid w:val="00BD706B"/>
    <w:rsid w:val="00BD727B"/>
    <w:rsid w:val="00BD734F"/>
    <w:rsid w:val="00BE0651"/>
    <w:rsid w:val="00BE0668"/>
    <w:rsid w:val="00BE082D"/>
    <w:rsid w:val="00BE0B21"/>
    <w:rsid w:val="00BE0D1A"/>
    <w:rsid w:val="00BE10BF"/>
    <w:rsid w:val="00BE1549"/>
    <w:rsid w:val="00BE16EC"/>
    <w:rsid w:val="00BE219A"/>
    <w:rsid w:val="00BE2E8F"/>
    <w:rsid w:val="00BE46EA"/>
    <w:rsid w:val="00BE4EF9"/>
    <w:rsid w:val="00BE549E"/>
    <w:rsid w:val="00BE56B5"/>
    <w:rsid w:val="00BE56ED"/>
    <w:rsid w:val="00BE68C6"/>
    <w:rsid w:val="00BE6CF6"/>
    <w:rsid w:val="00BE7A70"/>
    <w:rsid w:val="00BF086A"/>
    <w:rsid w:val="00BF15BA"/>
    <w:rsid w:val="00BF1CD2"/>
    <w:rsid w:val="00BF216F"/>
    <w:rsid w:val="00BF32B5"/>
    <w:rsid w:val="00BF3F4F"/>
    <w:rsid w:val="00BF3FF8"/>
    <w:rsid w:val="00BF4B99"/>
    <w:rsid w:val="00BF4C8C"/>
    <w:rsid w:val="00BF599C"/>
    <w:rsid w:val="00BF61A1"/>
    <w:rsid w:val="00BF750D"/>
    <w:rsid w:val="00BF7765"/>
    <w:rsid w:val="00C00480"/>
    <w:rsid w:val="00C009D0"/>
    <w:rsid w:val="00C00DBB"/>
    <w:rsid w:val="00C00E8F"/>
    <w:rsid w:val="00C013C5"/>
    <w:rsid w:val="00C01E3F"/>
    <w:rsid w:val="00C026EB"/>
    <w:rsid w:val="00C02743"/>
    <w:rsid w:val="00C02F2B"/>
    <w:rsid w:val="00C038AA"/>
    <w:rsid w:val="00C03B2D"/>
    <w:rsid w:val="00C03D53"/>
    <w:rsid w:val="00C03E06"/>
    <w:rsid w:val="00C0438F"/>
    <w:rsid w:val="00C05A0C"/>
    <w:rsid w:val="00C062C7"/>
    <w:rsid w:val="00C07DF1"/>
    <w:rsid w:val="00C1026E"/>
    <w:rsid w:val="00C107E0"/>
    <w:rsid w:val="00C10900"/>
    <w:rsid w:val="00C10B88"/>
    <w:rsid w:val="00C10ECA"/>
    <w:rsid w:val="00C10F54"/>
    <w:rsid w:val="00C112A8"/>
    <w:rsid w:val="00C118C1"/>
    <w:rsid w:val="00C12AB0"/>
    <w:rsid w:val="00C1302C"/>
    <w:rsid w:val="00C13078"/>
    <w:rsid w:val="00C1320F"/>
    <w:rsid w:val="00C13B5D"/>
    <w:rsid w:val="00C13C0A"/>
    <w:rsid w:val="00C13EDC"/>
    <w:rsid w:val="00C13F62"/>
    <w:rsid w:val="00C140EA"/>
    <w:rsid w:val="00C141A0"/>
    <w:rsid w:val="00C1480F"/>
    <w:rsid w:val="00C1551F"/>
    <w:rsid w:val="00C160E9"/>
    <w:rsid w:val="00C16398"/>
    <w:rsid w:val="00C16D32"/>
    <w:rsid w:val="00C1714F"/>
    <w:rsid w:val="00C20048"/>
    <w:rsid w:val="00C20680"/>
    <w:rsid w:val="00C207DB"/>
    <w:rsid w:val="00C20FAD"/>
    <w:rsid w:val="00C210C9"/>
    <w:rsid w:val="00C21281"/>
    <w:rsid w:val="00C21C61"/>
    <w:rsid w:val="00C22C35"/>
    <w:rsid w:val="00C22DF3"/>
    <w:rsid w:val="00C2317B"/>
    <w:rsid w:val="00C232DC"/>
    <w:rsid w:val="00C23A36"/>
    <w:rsid w:val="00C24BFB"/>
    <w:rsid w:val="00C252D0"/>
    <w:rsid w:val="00C25319"/>
    <w:rsid w:val="00C2559A"/>
    <w:rsid w:val="00C25AE4"/>
    <w:rsid w:val="00C2600F"/>
    <w:rsid w:val="00C267E4"/>
    <w:rsid w:val="00C26F8D"/>
    <w:rsid w:val="00C272BC"/>
    <w:rsid w:val="00C278A6"/>
    <w:rsid w:val="00C3072E"/>
    <w:rsid w:val="00C30F1B"/>
    <w:rsid w:val="00C31792"/>
    <w:rsid w:val="00C318A5"/>
    <w:rsid w:val="00C31C59"/>
    <w:rsid w:val="00C32929"/>
    <w:rsid w:val="00C33213"/>
    <w:rsid w:val="00C343FA"/>
    <w:rsid w:val="00C360E8"/>
    <w:rsid w:val="00C368CC"/>
    <w:rsid w:val="00C3726A"/>
    <w:rsid w:val="00C37A3F"/>
    <w:rsid w:val="00C37B96"/>
    <w:rsid w:val="00C37CCD"/>
    <w:rsid w:val="00C4058B"/>
    <w:rsid w:val="00C416C0"/>
    <w:rsid w:val="00C41840"/>
    <w:rsid w:val="00C41860"/>
    <w:rsid w:val="00C41A16"/>
    <w:rsid w:val="00C41BF8"/>
    <w:rsid w:val="00C42D7D"/>
    <w:rsid w:val="00C42D7E"/>
    <w:rsid w:val="00C42F5E"/>
    <w:rsid w:val="00C436CF"/>
    <w:rsid w:val="00C43799"/>
    <w:rsid w:val="00C43C4B"/>
    <w:rsid w:val="00C43EA2"/>
    <w:rsid w:val="00C43EE0"/>
    <w:rsid w:val="00C45774"/>
    <w:rsid w:val="00C4597A"/>
    <w:rsid w:val="00C45CFC"/>
    <w:rsid w:val="00C46544"/>
    <w:rsid w:val="00C46762"/>
    <w:rsid w:val="00C47359"/>
    <w:rsid w:val="00C47AB9"/>
    <w:rsid w:val="00C47FBC"/>
    <w:rsid w:val="00C504CE"/>
    <w:rsid w:val="00C50B77"/>
    <w:rsid w:val="00C50DE2"/>
    <w:rsid w:val="00C51AC9"/>
    <w:rsid w:val="00C51D00"/>
    <w:rsid w:val="00C51E1C"/>
    <w:rsid w:val="00C522D8"/>
    <w:rsid w:val="00C5290B"/>
    <w:rsid w:val="00C52CC4"/>
    <w:rsid w:val="00C53139"/>
    <w:rsid w:val="00C54311"/>
    <w:rsid w:val="00C549E5"/>
    <w:rsid w:val="00C54A14"/>
    <w:rsid w:val="00C54C8B"/>
    <w:rsid w:val="00C56331"/>
    <w:rsid w:val="00C56E0B"/>
    <w:rsid w:val="00C56EA6"/>
    <w:rsid w:val="00C57B1F"/>
    <w:rsid w:val="00C603DD"/>
    <w:rsid w:val="00C607D8"/>
    <w:rsid w:val="00C626F5"/>
    <w:rsid w:val="00C62EFF"/>
    <w:rsid w:val="00C635F7"/>
    <w:rsid w:val="00C63654"/>
    <w:rsid w:val="00C640BF"/>
    <w:rsid w:val="00C648EC"/>
    <w:rsid w:val="00C65742"/>
    <w:rsid w:val="00C65A63"/>
    <w:rsid w:val="00C661A8"/>
    <w:rsid w:val="00C6686E"/>
    <w:rsid w:val="00C66D0B"/>
    <w:rsid w:val="00C67DA8"/>
    <w:rsid w:val="00C700A3"/>
    <w:rsid w:val="00C7032B"/>
    <w:rsid w:val="00C7059F"/>
    <w:rsid w:val="00C70E86"/>
    <w:rsid w:val="00C717E8"/>
    <w:rsid w:val="00C71DDA"/>
    <w:rsid w:val="00C71FA9"/>
    <w:rsid w:val="00C72282"/>
    <w:rsid w:val="00C722C9"/>
    <w:rsid w:val="00C72327"/>
    <w:rsid w:val="00C7256B"/>
    <w:rsid w:val="00C72758"/>
    <w:rsid w:val="00C72B4B"/>
    <w:rsid w:val="00C72E3F"/>
    <w:rsid w:val="00C73817"/>
    <w:rsid w:val="00C738E2"/>
    <w:rsid w:val="00C7395A"/>
    <w:rsid w:val="00C73C92"/>
    <w:rsid w:val="00C74006"/>
    <w:rsid w:val="00C74657"/>
    <w:rsid w:val="00C75A72"/>
    <w:rsid w:val="00C75CC0"/>
    <w:rsid w:val="00C75FF9"/>
    <w:rsid w:val="00C760E1"/>
    <w:rsid w:val="00C7732D"/>
    <w:rsid w:val="00C779A2"/>
    <w:rsid w:val="00C779A4"/>
    <w:rsid w:val="00C80EB1"/>
    <w:rsid w:val="00C812DF"/>
    <w:rsid w:val="00C81943"/>
    <w:rsid w:val="00C8300F"/>
    <w:rsid w:val="00C83391"/>
    <w:rsid w:val="00C84575"/>
    <w:rsid w:val="00C8487E"/>
    <w:rsid w:val="00C84A3F"/>
    <w:rsid w:val="00C85A42"/>
    <w:rsid w:val="00C85BCB"/>
    <w:rsid w:val="00C85CD2"/>
    <w:rsid w:val="00C86A0A"/>
    <w:rsid w:val="00C86DC1"/>
    <w:rsid w:val="00C86F9E"/>
    <w:rsid w:val="00C87508"/>
    <w:rsid w:val="00C87518"/>
    <w:rsid w:val="00C87EF3"/>
    <w:rsid w:val="00C90E32"/>
    <w:rsid w:val="00C91231"/>
    <w:rsid w:val="00C92162"/>
    <w:rsid w:val="00C928A5"/>
    <w:rsid w:val="00C92E17"/>
    <w:rsid w:val="00C92F87"/>
    <w:rsid w:val="00C93AF6"/>
    <w:rsid w:val="00C947B9"/>
    <w:rsid w:val="00C94C9E"/>
    <w:rsid w:val="00C94E17"/>
    <w:rsid w:val="00C95196"/>
    <w:rsid w:val="00C951C3"/>
    <w:rsid w:val="00C96341"/>
    <w:rsid w:val="00C96A1C"/>
    <w:rsid w:val="00C97C6A"/>
    <w:rsid w:val="00C97EB5"/>
    <w:rsid w:val="00C97F2A"/>
    <w:rsid w:val="00CA084D"/>
    <w:rsid w:val="00CA092A"/>
    <w:rsid w:val="00CA0F54"/>
    <w:rsid w:val="00CA1444"/>
    <w:rsid w:val="00CA1FF5"/>
    <w:rsid w:val="00CA2A41"/>
    <w:rsid w:val="00CA2DD9"/>
    <w:rsid w:val="00CA2FF9"/>
    <w:rsid w:val="00CA30A7"/>
    <w:rsid w:val="00CA3203"/>
    <w:rsid w:val="00CA4ECF"/>
    <w:rsid w:val="00CA5F6C"/>
    <w:rsid w:val="00CA60B8"/>
    <w:rsid w:val="00CA678F"/>
    <w:rsid w:val="00CB0D44"/>
    <w:rsid w:val="00CB1696"/>
    <w:rsid w:val="00CB19C3"/>
    <w:rsid w:val="00CB3EAF"/>
    <w:rsid w:val="00CB4F5D"/>
    <w:rsid w:val="00CB5B2F"/>
    <w:rsid w:val="00CB5EE3"/>
    <w:rsid w:val="00CB6D06"/>
    <w:rsid w:val="00CB7279"/>
    <w:rsid w:val="00CB7B2C"/>
    <w:rsid w:val="00CC02C3"/>
    <w:rsid w:val="00CC06D3"/>
    <w:rsid w:val="00CC13B7"/>
    <w:rsid w:val="00CC234B"/>
    <w:rsid w:val="00CC3644"/>
    <w:rsid w:val="00CC3FAF"/>
    <w:rsid w:val="00CC40EA"/>
    <w:rsid w:val="00CC4A6E"/>
    <w:rsid w:val="00CC556B"/>
    <w:rsid w:val="00CC56EC"/>
    <w:rsid w:val="00CC6580"/>
    <w:rsid w:val="00CC6ED1"/>
    <w:rsid w:val="00CD0273"/>
    <w:rsid w:val="00CD0358"/>
    <w:rsid w:val="00CD0783"/>
    <w:rsid w:val="00CD13B7"/>
    <w:rsid w:val="00CD45D4"/>
    <w:rsid w:val="00CD5B01"/>
    <w:rsid w:val="00CD618B"/>
    <w:rsid w:val="00CD6C31"/>
    <w:rsid w:val="00CD7033"/>
    <w:rsid w:val="00CD70C8"/>
    <w:rsid w:val="00CD77A4"/>
    <w:rsid w:val="00CD77D3"/>
    <w:rsid w:val="00CE0730"/>
    <w:rsid w:val="00CE0A64"/>
    <w:rsid w:val="00CE0CE9"/>
    <w:rsid w:val="00CE3132"/>
    <w:rsid w:val="00CE33D1"/>
    <w:rsid w:val="00CE35AC"/>
    <w:rsid w:val="00CE35B9"/>
    <w:rsid w:val="00CE35EF"/>
    <w:rsid w:val="00CE3B00"/>
    <w:rsid w:val="00CE414A"/>
    <w:rsid w:val="00CE4214"/>
    <w:rsid w:val="00CE56DD"/>
    <w:rsid w:val="00CE6428"/>
    <w:rsid w:val="00CE74C1"/>
    <w:rsid w:val="00CF1175"/>
    <w:rsid w:val="00CF1784"/>
    <w:rsid w:val="00CF2220"/>
    <w:rsid w:val="00CF225A"/>
    <w:rsid w:val="00CF38D3"/>
    <w:rsid w:val="00CF39AC"/>
    <w:rsid w:val="00CF3C82"/>
    <w:rsid w:val="00CF3DFE"/>
    <w:rsid w:val="00CF3F22"/>
    <w:rsid w:val="00CF43BE"/>
    <w:rsid w:val="00CF628B"/>
    <w:rsid w:val="00CF7003"/>
    <w:rsid w:val="00CF7010"/>
    <w:rsid w:val="00D00A4B"/>
    <w:rsid w:val="00D00BA5"/>
    <w:rsid w:val="00D01995"/>
    <w:rsid w:val="00D01BDA"/>
    <w:rsid w:val="00D02AF8"/>
    <w:rsid w:val="00D02C91"/>
    <w:rsid w:val="00D03133"/>
    <w:rsid w:val="00D032E5"/>
    <w:rsid w:val="00D034C8"/>
    <w:rsid w:val="00D0357F"/>
    <w:rsid w:val="00D03932"/>
    <w:rsid w:val="00D03D0B"/>
    <w:rsid w:val="00D03F05"/>
    <w:rsid w:val="00D04482"/>
    <w:rsid w:val="00D0496A"/>
    <w:rsid w:val="00D05631"/>
    <w:rsid w:val="00D0606F"/>
    <w:rsid w:val="00D06435"/>
    <w:rsid w:val="00D071F9"/>
    <w:rsid w:val="00D07394"/>
    <w:rsid w:val="00D07881"/>
    <w:rsid w:val="00D07A6A"/>
    <w:rsid w:val="00D10326"/>
    <w:rsid w:val="00D10A99"/>
    <w:rsid w:val="00D10C63"/>
    <w:rsid w:val="00D10F3A"/>
    <w:rsid w:val="00D128C3"/>
    <w:rsid w:val="00D12A34"/>
    <w:rsid w:val="00D1343D"/>
    <w:rsid w:val="00D13C44"/>
    <w:rsid w:val="00D14576"/>
    <w:rsid w:val="00D1507F"/>
    <w:rsid w:val="00D153E6"/>
    <w:rsid w:val="00D16009"/>
    <w:rsid w:val="00D1703E"/>
    <w:rsid w:val="00D17879"/>
    <w:rsid w:val="00D17D2B"/>
    <w:rsid w:val="00D20978"/>
    <w:rsid w:val="00D20E98"/>
    <w:rsid w:val="00D217FB"/>
    <w:rsid w:val="00D22A23"/>
    <w:rsid w:val="00D22CBF"/>
    <w:rsid w:val="00D230DA"/>
    <w:rsid w:val="00D23201"/>
    <w:rsid w:val="00D23BAE"/>
    <w:rsid w:val="00D23C22"/>
    <w:rsid w:val="00D24364"/>
    <w:rsid w:val="00D24AEF"/>
    <w:rsid w:val="00D252C9"/>
    <w:rsid w:val="00D263BB"/>
    <w:rsid w:val="00D26523"/>
    <w:rsid w:val="00D273B2"/>
    <w:rsid w:val="00D30CD7"/>
    <w:rsid w:val="00D3115B"/>
    <w:rsid w:val="00D314DE"/>
    <w:rsid w:val="00D319E4"/>
    <w:rsid w:val="00D319F5"/>
    <w:rsid w:val="00D320B6"/>
    <w:rsid w:val="00D3215B"/>
    <w:rsid w:val="00D32BC2"/>
    <w:rsid w:val="00D32E15"/>
    <w:rsid w:val="00D32EB4"/>
    <w:rsid w:val="00D3371E"/>
    <w:rsid w:val="00D33BFD"/>
    <w:rsid w:val="00D33D21"/>
    <w:rsid w:val="00D34125"/>
    <w:rsid w:val="00D343F2"/>
    <w:rsid w:val="00D34740"/>
    <w:rsid w:val="00D347B2"/>
    <w:rsid w:val="00D35186"/>
    <w:rsid w:val="00D35AAA"/>
    <w:rsid w:val="00D35D72"/>
    <w:rsid w:val="00D35D8F"/>
    <w:rsid w:val="00D3703C"/>
    <w:rsid w:val="00D401A3"/>
    <w:rsid w:val="00D40909"/>
    <w:rsid w:val="00D412DF"/>
    <w:rsid w:val="00D4188A"/>
    <w:rsid w:val="00D4289E"/>
    <w:rsid w:val="00D42B7B"/>
    <w:rsid w:val="00D42EEC"/>
    <w:rsid w:val="00D43926"/>
    <w:rsid w:val="00D44C12"/>
    <w:rsid w:val="00D45A81"/>
    <w:rsid w:val="00D46064"/>
    <w:rsid w:val="00D461D9"/>
    <w:rsid w:val="00D46909"/>
    <w:rsid w:val="00D474CB"/>
    <w:rsid w:val="00D479BD"/>
    <w:rsid w:val="00D50F32"/>
    <w:rsid w:val="00D546D1"/>
    <w:rsid w:val="00D547AD"/>
    <w:rsid w:val="00D54D62"/>
    <w:rsid w:val="00D54DA5"/>
    <w:rsid w:val="00D5525D"/>
    <w:rsid w:val="00D55DB5"/>
    <w:rsid w:val="00D5622F"/>
    <w:rsid w:val="00D56396"/>
    <w:rsid w:val="00D56D49"/>
    <w:rsid w:val="00D5707D"/>
    <w:rsid w:val="00D57333"/>
    <w:rsid w:val="00D576B3"/>
    <w:rsid w:val="00D57AB6"/>
    <w:rsid w:val="00D57BB9"/>
    <w:rsid w:val="00D57DCF"/>
    <w:rsid w:val="00D618CC"/>
    <w:rsid w:val="00D61A67"/>
    <w:rsid w:val="00D61B76"/>
    <w:rsid w:val="00D622DE"/>
    <w:rsid w:val="00D62444"/>
    <w:rsid w:val="00D62878"/>
    <w:rsid w:val="00D62BAF"/>
    <w:rsid w:val="00D6328F"/>
    <w:rsid w:val="00D63300"/>
    <w:rsid w:val="00D6371D"/>
    <w:rsid w:val="00D63791"/>
    <w:rsid w:val="00D63C61"/>
    <w:rsid w:val="00D64256"/>
    <w:rsid w:val="00D64C6D"/>
    <w:rsid w:val="00D64CC4"/>
    <w:rsid w:val="00D656C9"/>
    <w:rsid w:val="00D657E2"/>
    <w:rsid w:val="00D65C65"/>
    <w:rsid w:val="00D665D5"/>
    <w:rsid w:val="00D666B1"/>
    <w:rsid w:val="00D66764"/>
    <w:rsid w:val="00D676F0"/>
    <w:rsid w:val="00D67719"/>
    <w:rsid w:val="00D67D42"/>
    <w:rsid w:val="00D70094"/>
    <w:rsid w:val="00D708FA"/>
    <w:rsid w:val="00D7211F"/>
    <w:rsid w:val="00D72A69"/>
    <w:rsid w:val="00D72C3C"/>
    <w:rsid w:val="00D72D65"/>
    <w:rsid w:val="00D72F7D"/>
    <w:rsid w:val="00D730D9"/>
    <w:rsid w:val="00D73757"/>
    <w:rsid w:val="00D73E33"/>
    <w:rsid w:val="00D74C3C"/>
    <w:rsid w:val="00D74C49"/>
    <w:rsid w:val="00D80A94"/>
    <w:rsid w:val="00D80D17"/>
    <w:rsid w:val="00D8113D"/>
    <w:rsid w:val="00D820BA"/>
    <w:rsid w:val="00D82928"/>
    <w:rsid w:val="00D82B3D"/>
    <w:rsid w:val="00D8322F"/>
    <w:rsid w:val="00D837F2"/>
    <w:rsid w:val="00D83C5B"/>
    <w:rsid w:val="00D84857"/>
    <w:rsid w:val="00D84BAD"/>
    <w:rsid w:val="00D856CE"/>
    <w:rsid w:val="00D86414"/>
    <w:rsid w:val="00D865CE"/>
    <w:rsid w:val="00D87CD6"/>
    <w:rsid w:val="00D908C4"/>
    <w:rsid w:val="00D90B1C"/>
    <w:rsid w:val="00D91D56"/>
    <w:rsid w:val="00D92517"/>
    <w:rsid w:val="00D9280A"/>
    <w:rsid w:val="00D9394E"/>
    <w:rsid w:val="00D94529"/>
    <w:rsid w:val="00D949A4"/>
    <w:rsid w:val="00D955D7"/>
    <w:rsid w:val="00DA0045"/>
    <w:rsid w:val="00DA0C64"/>
    <w:rsid w:val="00DA1563"/>
    <w:rsid w:val="00DA15D1"/>
    <w:rsid w:val="00DA1CF8"/>
    <w:rsid w:val="00DA3196"/>
    <w:rsid w:val="00DA377E"/>
    <w:rsid w:val="00DA423F"/>
    <w:rsid w:val="00DA43BA"/>
    <w:rsid w:val="00DA55E8"/>
    <w:rsid w:val="00DA6065"/>
    <w:rsid w:val="00DA60BB"/>
    <w:rsid w:val="00DA60FA"/>
    <w:rsid w:val="00DA6107"/>
    <w:rsid w:val="00DA6877"/>
    <w:rsid w:val="00DA734E"/>
    <w:rsid w:val="00DA7757"/>
    <w:rsid w:val="00DB0970"/>
    <w:rsid w:val="00DB098A"/>
    <w:rsid w:val="00DB0B5B"/>
    <w:rsid w:val="00DB1BBA"/>
    <w:rsid w:val="00DB1C79"/>
    <w:rsid w:val="00DB2208"/>
    <w:rsid w:val="00DB24D0"/>
    <w:rsid w:val="00DB24DF"/>
    <w:rsid w:val="00DB26C2"/>
    <w:rsid w:val="00DB27CA"/>
    <w:rsid w:val="00DB2897"/>
    <w:rsid w:val="00DB29E8"/>
    <w:rsid w:val="00DB3E13"/>
    <w:rsid w:val="00DB3E67"/>
    <w:rsid w:val="00DB5323"/>
    <w:rsid w:val="00DB59CA"/>
    <w:rsid w:val="00DB615B"/>
    <w:rsid w:val="00DB653D"/>
    <w:rsid w:val="00DC0033"/>
    <w:rsid w:val="00DC00CE"/>
    <w:rsid w:val="00DC0659"/>
    <w:rsid w:val="00DC0A5B"/>
    <w:rsid w:val="00DC19FD"/>
    <w:rsid w:val="00DC1DD8"/>
    <w:rsid w:val="00DC2F32"/>
    <w:rsid w:val="00DC3830"/>
    <w:rsid w:val="00DC383E"/>
    <w:rsid w:val="00DC4228"/>
    <w:rsid w:val="00DC4A85"/>
    <w:rsid w:val="00DC4BA4"/>
    <w:rsid w:val="00DC4F75"/>
    <w:rsid w:val="00DC54B6"/>
    <w:rsid w:val="00DC5C8D"/>
    <w:rsid w:val="00DC6012"/>
    <w:rsid w:val="00DC6A80"/>
    <w:rsid w:val="00DC7084"/>
    <w:rsid w:val="00DD01C0"/>
    <w:rsid w:val="00DD03F3"/>
    <w:rsid w:val="00DD10C9"/>
    <w:rsid w:val="00DD10F9"/>
    <w:rsid w:val="00DD2C3A"/>
    <w:rsid w:val="00DD2C77"/>
    <w:rsid w:val="00DD36C4"/>
    <w:rsid w:val="00DD3778"/>
    <w:rsid w:val="00DD42EA"/>
    <w:rsid w:val="00DD45D3"/>
    <w:rsid w:val="00DD489E"/>
    <w:rsid w:val="00DD49E9"/>
    <w:rsid w:val="00DD4D9F"/>
    <w:rsid w:val="00DD4E41"/>
    <w:rsid w:val="00DD58C5"/>
    <w:rsid w:val="00DD686F"/>
    <w:rsid w:val="00DD7636"/>
    <w:rsid w:val="00DD7964"/>
    <w:rsid w:val="00DD7987"/>
    <w:rsid w:val="00DE0F3F"/>
    <w:rsid w:val="00DE0FEF"/>
    <w:rsid w:val="00DE1323"/>
    <w:rsid w:val="00DE271C"/>
    <w:rsid w:val="00DE279F"/>
    <w:rsid w:val="00DE2B42"/>
    <w:rsid w:val="00DE375F"/>
    <w:rsid w:val="00DE512A"/>
    <w:rsid w:val="00DE534D"/>
    <w:rsid w:val="00DE5482"/>
    <w:rsid w:val="00DE6100"/>
    <w:rsid w:val="00DE763A"/>
    <w:rsid w:val="00DF0084"/>
    <w:rsid w:val="00DF041E"/>
    <w:rsid w:val="00DF05F1"/>
    <w:rsid w:val="00DF077A"/>
    <w:rsid w:val="00DF0C63"/>
    <w:rsid w:val="00DF0DB4"/>
    <w:rsid w:val="00DF0FAB"/>
    <w:rsid w:val="00DF1561"/>
    <w:rsid w:val="00DF1C40"/>
    <w:rsid w:val="00DF1E60"/>
    <w:rsid w:val="00DF208A"/>
    <w:rsid w:val="00DF23CA"/>
    <w:rsid w:val="00DF29DA"/>
    <w:rsid w:val="00DF2BB8"/>
    <w:rsid w:val="00DF33D7"/>
    <w:rsid w:val="00DF485D"/>
    <w:rsid w:val="00DF48E5"/>
    <w:rsid w:val="00DF4B92"/>
    <w:rsid w:val="00DF53BC"/>
    <w:rsid w:val="00DF5542"/>
    <w:rsid w:val="00DF5550"/>
    <w:rsid w:val="00DF5A7D"/>
    <w:rsid w:val="00DF645A"/>
    <w:rsid w:val="00DF6C09"/>
    <w:rsid w:val="00DF7B45"/>
    <w:rsid w:val="00E0096F"/>
    <w:rsid w:val="00E00FCE"/>
    <w:rsid w:val="00E016D4"/>
    <w:rsid w:val="00E02921"/>
    <w:rsid w:val="00E02ABD"/>
    <w:rsid w:val="00E03020"/>
    <w:rsid w:val="00E030BE"/>
    <w:rsid w:val="00E0411A"/>
    <w:rsid w:val="00E04466"/>
    <w:rsid w:val="00E049D8"/>
    <w:rsid w:val="00E06F2F"/>
    <w:rsid w:val="00E070CF"/>
    <w:rsid w:val="00E07976"/>
    <w:rsid w:val="00E07AFA"/>
    <w:rsid w:val="00E07B03"/>
    <w:rsid w:val="00E07C31"/>
    <w:rsid w:val="00E07E8C"/>
    <w:rsid w:val="00E10061"/>
    <w:rsid w:val="00E10263"/>
    <w:rsid w:val="00E12089"/>
    <w:rsid w:val="00E1253E"/>
    <w:rsid w:val="00E12966"/>
    <w:rsid w:val="00E12FEF"/>
    <w:rsid w:val="00E132C9"/>
    <w:rsid w:val="00E13ABC"/>
    <w:rsid w:val="00E13D7E"/>
    <w:rsid w:val="00E145AD"/>
    <w:rsid w:val="00E149D5"/>
    <w:rsid w:val="00E152D7"/>
    <w:rsid w:val="00E15C79"/>
    <w:rsid w:val="00E15D2F"/>
    <w:rsid w:val="00E15EBB"/>
    <w:rsid w:val="00E15F19"/>
    <w:rsid w:val="00E16742"/>
    <w:rsid w:val="00E16CC3"/>
    <w:rsid w:val="00E17F1A"/>
    <w:rsid w:val="00E20931"/>
    <w:rsid w:val="00E222EA"/>
    <w:rsid w:val="00E22DD9"/>
    <w:rsid w:val="00E25BEC"/>
    <w:rsid w:val="00E2620D"/>
    <w:rsid w:val="00E2653B"/>
    <w:rsid w:val="00E26D5E"/>
    <w:rsid w:val="00E275DE"/>
    <w:rsid w:val="00E27F20"/>
    <w:rsid w:val="00E30B38"/>
    <w:rsid w:val="00E31915"/>
    <w:rsid w:val="00E31DFE"/>
    <w:rsid w:val="00E31F50"/>
    <w:rsid w:val="00E31F54"/>
    <w:rsid w:val="00E3267D"/>
    <w:rsid w:val="00E3330F"/>
    <w:rsid w:val="00E33AB2"/>
    <w:rsid w:val="00E3446A"/>
    <w:rsid w:val="00E346D3"/>
    <w:rsid w:val="00E3566C"/>
    <w:rsid w:val="00E35C10"/>
    <w:rsid w:val="00E369D9"/>
    <w:rsid w:val="00E372C2"/>
    <w:rsid w:val="00E3754A"/>
    <w:rsid w:val="00E37B7F"/>
    <w:rsid w:val="00E37B96"/>
    <w:rsid w:val="00E40B79"/>
    <w:rsid w:val="00E415C3"/>
    <w:rsid w:val="00E41BFC"/>
    <w:rsid w:val="00E41F8F"/>
    <w:rsid w:val="00E42A63"/>
    <w:rsid w:val="00E42C7F"/>
    <w:rsid w:val="00E44395"/>
    <w:rsid w:val="00E44F47"/>
    <w:rsid w:val="00E45555"/>
    <w:rsid w:val="00E4664D"/>
    <w:rsid w:val="00E476E5"/>
    <w:rsid w:val="00E47C96"/>
    <w:rsid w:val="00E47ECA"/>
    <w:rsid w:val="00E47F0D"/>
    <w:rsid w:val="00E51D7B"/>
    <w:rsid w:val="00E5210B"/>
    <w:rsid w:val="00E523F6"/>
    <w:rsid w:val="00E52430"/>
    <w:rsid w:val="00E5279C"/>
    <w:rsid w:val="00E53088"/>
    <w:rsid w:val="00E5358A"/>
    <w:rsid w:val="00E54128"/>
    <w:rsid w:val="00E54343"/>
    <w:rsid w:val="00E54832"/>
    <w:rsid w:val="00E54A88"/>
    <w:rsid w:val="00E55484"/>
    <w:rsid w:val="00E55A0E"/>
    <w:rsid w:val="00E575BD"/>
    <w:rsid w:val="00E57739"/>
    <w:rsid w:val="00E5794B"/>
    <w:rsid w:val="00E6040B"/>
    <w:rsid w:val="00E606B1"/>
    <w:rsid w:val="00E612BC"/>
    <w:rsid w:val="00E6149A"/>
    <w:rsid w:val="00E615E2"/>
    <w:rsid w:val="00E62A3D"/>
    <w:rsid w:val="00E62D57"/>
    <w:rsid w:val="00E6329A"/>
    <w:rsid w:val="00E637C0"/>
    <w:rsid w:val="00E63857"/>
    <w:rsid w:val="00E63D8A"/>
    <w:rsid w:val="00E64087"/>
    <w:rsid w:val="00E649EB"/>
    <w:rsid w:val="00E64A26"/>
    <w:rsid w:val="00E64DCD"/>
    <w:rsid w:val="00E65A02"/>
    <w:rsid w:val="00E65CE8"/>
    <w:rsid w:val="00E6637E"/>
    <w:rsid w:val="00E66FAC"/>
    <w:rsid w:val="00E67DE1"/>
    <w:rsid w:val="00E70CF0"/>
    <w:rsid w:val="00E7158F"/>
    <w:rsid w:val="00E71707"/>
    <w:rsid w:val="00E71845"/>
    <w:rsid w:val="00E718D8"/>
    <w:rsid w:val="00E72163"/>
    <w:rsid w:val="00E72E21"/>
    <w:rsid w:val="00E72FFE"/>
    <w:rsid w:val="00E736C9"/>
    <w:rsid w:val="00E73972"/>
    <w:rsid w:val="00E74241"/>
    <w:rsid w:val="00E749AA"/>
    <w:rsid w:val="00E7569E"/>
    <w:rsid w:val="00E7601F"/>
    <w:rsid w:val="00E7718A"/>
    <w:rsid w:val="00E778C2"/>
    <w:rsid w:val="00E77AE5"/>
    <w:rsid w:val="00E77F55"/>
    <w:rsid w:val="00E81273"/>
    <w:rsid w:val="00E81AF5"/>
    <w:rsid w:val="00E825D1"/>
    <w:rsid w:val="00E82A53"/>
    <w:rsid w:val="00E830F0"/>
    <w:rsid w:val="00E832EC"/>
    <w:rsid w:val="00E835CA"/>
    <w:rsid w:val="00E84930"/>
    <w:rsid w:val="00E84A7F"/>
    <w:rsid w:val="00E85B0E"/>
    <w:rsid w:val="00E85BCF"/>
    <w:rsid w:val="00E8644A"/>
    <w:rsid w:val="00E87155"/>
    <w:rsid w:val="00E871FC"/>
    <w:rsid w:val="00E87476"/>
    <w:rsid w:val="00E87E2A"/>
    <w:rsid w:val="00E901BA"/>
    <w:rsid w:val="00E90CEA"/>
    <w:rsid w:val="00E9111C"/>
    <w:rsid w:val="00E91D1B"/>
    <w:rsid w:val="00E92057"/>
    <w:rsid w:val="00E921C6"/>
    <w:rsid w:val="00E92909"/>
    <w:rsid w:val="00E92AAC"/>
    <w:rsid w:val="00E94471"/>
    <w:rsid w:val="00E94E9B"/>
    <w:rsid w:val="00E9500C"/>
    <w:rsid w:val="00E95C80"/>
    <w:rsid w:val="00E9657D"/>
    <w:rsid w:val="00E9680A"/>
    <w:rsid w:val="00E97419"/>
    <w:rsid w:val="00E9787A"/>
    <w:rsid w:val="00EA03CB"/>
    <w:rsid w:val="00EA06C7"/>
    <w:rsid w:val="00EA0FFC"/>
    <w:rsid w:val="00EA1B87"/>
    <w:rsid w:val="00EA2FE3"/>
    <w:rsid w:val="00EA325E"/>
    <w:rsid w:val="00EA35D1"/>
    <w:rsid w:val="00EA371B"/>
    <w:rsid w:val="00EA3F5E"/>
    <w:rsid w:val="00EA516D"/>
    <w:rsid w:val="00EA5341"/>
    <w:rsid w:val="00EA61F4"/>
    <w:rsid w:val="00EA7656"/>
    <w:rsid w:val="00EB0EE0"/>
    <w:rsid w:val="00EB1275"/>
    <w:rsid w:val="00EB1905"/>
    <w:rsid w:val="00EB252E"/>
    <w:rsid w:val="00EB2576"/>
    <w:rsid w:val="00EB2AC0"/>
    <w:rsid w:val="00EB3835"/>
    <w:rsid w:val="00EB3AE9"/>
    <w:rsid w:val="00EB3DB7"/>
    <w:rsid w:val="00EB468D"/>
    <w:rsid w:val="00EB4819"/>
    <w:rsid w:val="00EB4A00"/>
    <w:rsid w:val="00EB4DE6"/>
    <w:rsid w:val="00EB5344"/>
    <w:rsid w:val="00EB5484"/>
    <w:rsid w:val="00EB590F"/>
    <w:rsid w:val="00EB599C"/>
    <w:rsid w:val="00EB5A0C"/>
    <w:rsid w:val="00EB5AB5"/>
    <w:rsid w:val="00EB60FE"/>
    <w:rsid w:val="00EB6A67"/>
    <w:rsid w:val="00EB7005"/>
    <w:rsid w:val="00EB782E"/>
    <w:rsid w:val="00EB7883"/>
    <w:rsid w:val="00EB7ED2"/>
    <w:rsid w:val="00EC05B0"/>
    <w:rsid w:val="00EC1827"/>
    <w:rsid w:val="00EC186F"/>
    <w:rsid w:val="00EC1BF2"/>
    <w:rsid w:val="00EC2453"/>
    <w:rsid w:val="00EC25E6"/>
    <w:rsid w:val="00EC2E8C"/>
    <w:rsid w:val="00EC3280"/>
    <w:rsid w:val="00EC3D01"/>
    <w:rsid w:val="00EC3DBF"/>
    <w:rsid w:val="00EC43D0"/>
    <w:rsid w:val="00EC548E"/>
    <w:rsid w:val="00EC6E9C"/>
    <w:rsid w:val="00EC74D2"/>
    <w:rsid w:val="00EC77F9"/>
    <w:rsid w:val="00ED13F1"/>
    <w:rsid w:val="00ED25F1"/>
    <w:rsid w:val="00ED2653"/>
    <w:rsid w:val="00ED2F2E"/>
    <w:rsid w:val="00ED3222"/>
    <w:rsid w:val="00ED3806"/>
    <w:rsid w:val="00ED41E6"/>
    <w:rsid w:val="00ED42BF"/>
    <w:rsid w:val="00ED45F2"/>
    <w:rsid w:val="00ED4601"/>
    <w:rsid w:val="00ED47CC"/>
    <w:rsid w:val="00ED4B00"/>
    <w:rsid w:val="00ED51BA"/>
    <w:rsid w:val="00ED52EA"/>
    <w:rsid w:val="00ED52FE"/>
    <w:rsid w:val="00ED6609"/>
    <w:rsid w:val="00ED690C"/>
    <w:rsid w:val="00ED71FB"/>
    <w:rsid w:val="00EE0018"/>
    <w:rsid w:val="00EE05B0"/>
    <w:rsid w:val="00EE11D4"/>
    <w:rsid w:val="00EE1AD3"/>
    <w:rsid w:val="00EE282C"/>
    <w:rsid w:val="00EE3498"/>
    <w:rsid w:val="00EE3705"/>
    <w:rsid w:val="00EE3918"/>
    <w:rsid w:val="00EE4889"/>
    <w:rsid w:val="00EE4CE1"/>
    <w:rsid w:val="00EE5916"/>
    <w:rsid w:val="00EE5C05"/>
    <w:rsid w:val="00EE7848"/>
    <w:rsid w:val="00EF0750"/>
    <w:rsid w:val="00EF0754"/>
    <w:rsid w:val="00EF1DE1"/>
    <w:rsid w:val="00EF1F9D"/>
    <w:rsid w:val="00EF2F2C"/>
    <w:rsid w:val="00EF5D8C"/>
    <w:rsid w:val="00EF627C"/>
    <w:rsid w:val="00EF6A37"/>
    <w:rsid w:val="00EF6F76"/>
    <w:rsid w:val="00EF6FAA"/>
    <w:rsid w:val="00EF70D8"/>
    <w:rsid w:val="00EF73BC"/>
    <w:rsid w:val="00EF7472"/>
    <w:rsid w:val="00EF76DD"/>
    <w:rsid w:val="00F00A26"/>
    <w:rsid w:val="00F00AEA"/>
    <w:rsid w:val="00F0102C"/>
    <w:rsid w:val="00F0108F"/>
    <w:rsid w:val="00F013DF"/>
    <w:rsid w:val="00F01C13"/>
    <w:rsid w:val="00F01DCF"/>
    <w:rsid w:val="00F0295A"/>
    <w:rsid w:val="00F02A53"/>
    <w:rsid w:val="00F02D22"/>
    <w:rsid w:val="00F03010"/>
    <w:rsid w:val="00F0343F"/>
    <w:rsid w:val="00F0381C"/>
    <w:rsid w:val="00F03D84"/>
    <w:rsid w:val="00F046F9"/>
    <w:rsid w:val="00F04C89"/>
    <w:rsid w:val="00F054DF"/>
    <w:rsid w:val="00F06439"/>
    <w:rsid w:val="00F0659E"/>
    <w:rsid w:val="00F07E93"/>
    <w:rsid w:val="00F104FE"/>
    <w:rsid w:val="00F10541"/>
    <w:rsid w:val="00F10B38"/>
    <w:rsid w:val="00F1131A"/>
    <w:rsid w:val="00F11F27"/>
    <w:rsid w:val="00F12A82"/>
    <w:rsid w:val="00F12E93"/>
    <w:rsid w:val="00F13FBA"/>
    <w:rsid w:val="00F14068"/>
    <w:rsid w:val="00F1413D"/>
    <w:rsid w:val="00F15511"/>
    <w:rsid w:val="00F16433"/>
    <w:rsid w:val="00F16D22"/>
    <w:rsid w:val="00F16F5D"/>
    <w:rsid w:val="00F17C94"/>
    <w:rsid w:val="00F17D21"/>
    <w:rsid w:val="00F2068E"/>
    <w:rsid w:val="00F207B4"/>
    <w:rsid w:val="00F21472"/>
    <w:rsid w:val="00F21BC7"/>
    <w:rsid w:val="00F21C85"/>
    <w:rsid w:val="00F2269D"/>
    <w:rsid w:val="00F228B2"/>
    <w:rsid w:val="00F22990"/>
    <w:rsid w:val="00F22EDB"/>
    <w:rsid w:val="00F24B12"/>
    <w:rsid w:val="00F251A8"/>
    <w:rsid w:val="00F25D63"/>
    <w:rsid w:val="00F26CC8"/>
    <w:rsid w:val="00F30273"/>
    <w:rsid w:val="00F30361"/>
    <w:rsid w:val="00F304FB"/>
    <w:rsid w:val="00F307ED"/>
    <w:rsid w:val="00F3165E"/>
    <w:rsid w:val="00F31703"/>
    <w:rsid w:val="00F31764"/>
    <w:rsid w:val="00F31AA1"/>
    <w:rsid w:val="00F31D1C"/>
    <w:rsid w:val="00F320EC"/>
    <w:rsid w:val="00F3293F"/>
    <w:rsid w:val="00F32F33"/>
    <w:rsid w:val="00F34676"/>
    <w:rsid w:val="00F34D65"/>
    <w:rsid w:val="00F34E4F"/>
    <w:rsid w:val="00F35959"/>
    <w:rsid w:val="00F359CE"/>
    <w:rsid w:val="00F360D3"/>
    <w:rsid w:val="00F3623F"/>
    <w:rsid w:val="00F3692A"/>
    <w:rsid w:val="00F36967"/>
    <w:rsid w:val="00F37135"/>
    <w:rsid w:val="00F373DC"/>
    <w:rsid w:val="00F374C5"/>
    <w:rsid w:val="00F375DD"/>
    <w:rsid w:val="00F411DB"/>
    <w:rsid w:val="00F41B6B"/>
    <w:rsid w:val="00F42248"/>
    <w:rsid w:val="00F437D2"/>
    <w:rsid w:val="00F43E46"/>
    <w:rsid w:val="00F442AC"/>
    <w:rsid w:val="00F44BDE"/>
    <w:rsid w:val="00F45522"/>
    <w:rsid w:val="00F45807"/>
    <w:rsid w:val="00F463ED"/>
    <w:rsid w:val="00F472F8"/>
    <w:rsid w:val="00F47841"/>
    <w:rsid w:val="00F479B9"/>
    <w:rsid w:val="00F47E82"/>
    <w:rsid w:val="00F509CD"/>
    <w:rsid w:val="00F50CF0"/>
    <w:rsid w:val="00F50D53"/>
    <w:rsid w:val="00F51337"/>
    <w:rsid w:val="00F5136C"/>
    <w:rsid w:val="00F52631"/>
    <w:rsid w:val="00F52A1B"/>
    <w:rsid w:val="00F53C02"/>
    <w:rsid w:val="00F5401A"/>
    <w:rsid w:val="00F5499D"/>
    <w:rsid w:val="00F54D8A"/>
    <w:rsid w:val="00F54E1A"/>
    <w:rsid w:val="00F54FC4"/>
    <w:rsid w:val="00F55026"/>
    <w:rsid w:val="00F55461"/>
    <w:rsid w:val="00F55625"/>
    <w:rsid w:val="00F569AB"/>
    <w:rsid w:val="00F569E0"/>
    <w:rsid w:val="00F60456"/>
    <w:rsid w:val="00F62171"/>
    <w:rsid w:val="00F633C2"/>
    <w:rsid w:val="00F63A09"/>
    <w:rsid w:val="00F63BCF"/>
    <w:rsid w:val="00F642D3"/>
    <w:rsid w:val="00F6442F"/>
    <w:rsid w:val="00F64485"/>
    <w:rsid w:val="00F64949"/>
    <w:rsid w:val="00F64A75"/>
    <w:rsid w:val="00F6522C"/>
    <w:rsid w:val="00F659F0"/>
    <w:rsid w:val="00F65BDC"/>
    <w:rsid w:val="00F65EEA"/>
    <w:rsid w:val="00F661F0"/>
    <w:rsid w:val="00F6635D"/>
    <w:rsid w:val="00F6743A"/>
    <w:rsid w:val="00F677B4"/>
    <w:rsid w:val="00F67EBC"/>
    <w:rsid w:val="00F70104"/>
    <w:rsid w:val="00F7068E"/>
    <w:rsid w:val="00F70D9D"/>
    <w:rsid w:val="00F70FA1"/>
    <w:rsid w:val="00F712CF"/>
    <w:rsid w:val="00F714A9"/>
    <w:rsid w:val="00F71529"/>
    <w:rsid w:val="00F71F61"/>
    <w:rsid w:val="00F7222A"/>
    <w:rsid w:val="00F72A31"/>
    <w:rsid w:val="00F7365B"/>
    <w:rsid w:val="00F7378A"/>
    <w:rsid w:val="00F74F5C"/>
    <w:rsid w:val="00F7526D"/>
    <w:rsid w:val="00F75488"/>
    <w:rsid w:val="00F7554E"/>
    <w:rsid w:val="00F7571A"/>
    <w:rsid w:val="00F757FF"/>
    <w:rsid w:val="00F76184"/>
    <w:rsid w:val="00F76763"/>
    <w:rsid w:val="00F77125"/>
    <w:rsid w:val="00F77132"/>
    <w:rsid w:val="00F77463"/>
    <w:rsid w:val="00F77B51"/>
    <w:rsid w:val="00F77F96"/>
    <w:rsid w:val="00F80532"/>
    <w:rsid w:val="00F80A9B"/>
    <w:rsid w:val="00F80EA7"/>
    <w:rsid w:val="00F80FC9"/>
    <w:rsid w:val="00F826EC"/>
    <w:rsid w:val="00F82B13"/>
    <w:rsid w:val="00F82E97"/>
    <w:rsid w:val="00F83899"/>
    <w:rsid w:val="00F84C88"/>
    <w:rsid w:val="00F84DB1"/>
    <w:rsid w:val="00F85434"/>
    <w:rsid w:val="00F854E8"/>
    <w:rsid w:val="00F85544"/>
    <w:rsid w:val="00F85DAB"/>
    <w:rsid w:val="00F86AFE"/>
    <w:rsid w:val="00F876E1"/>
    <w:rsid w:val="00F87EA4"/>
    <w:rsid w:val="00F90A30"/>
    <w:rsid w:val="00F90CCE"/>
    <w:rsid w:val="00F91475"/>
    <w:rsid w:val="00F918C2"/>
    <w:rsid w:val="00F924F1"/>
    <w:rsid w:val="00F92599"/>
    <w:rsid w:val="00F9281E"/>
    <w:rsid w:val="00F92C51"/>
    <w:rsid w:val="00F92E33"/>
    <w:rsid w:val="00F9345E"/>
    <w:rsid w:val="00F9355A"/>
    <w:rsid w:val="00F93EE1"/>
    <w:rsid w:val="00F95EF1"/>
    <w:rsid w:val="00F96202"/>
    <w:rsid w:val="00F9644B"/>
    <w:rsid w:val="00F96550"/>
    <w:rsid w:val="00F96C89"/>
    <w:rsid w:val="00F972B7"/>
    <w:rsid w:val="00F97596"/>
    <w:rsid w:val="00F97780"/>
    <w:rsid w:val="00F978DA"/>
    <w:rsid w:val="00F97CB3"/>
    <w:rsid w:val="00F97F78"/>
    <w:rsid w:val="00FA0109"/>
    <w:rsid w:val="00FA077C"/>
    <w:rsid w:val="00FA3319"/>
    <w:rsid w:val="00FA3B18"/>
    <w:rsid w:val="00FA3C06"/>
    <w:rsid w:val="00FA416C"/>
    <w:rsid w:val="00FA446A"/>
    <w:rsid w:val="00FA49F2"/>
    <w:rsid w:val="00FA5186"/>
    <w:rsid w:val="00FA5274"/>
    <w:rsid w:val="00FA55A2"/>
    <w:rsid w:val="00FA5B8B"/>
    <w:rsid w:val="00FA5CC7"/>
    <w:rsid w:val="00FA69AC"/>
    <w:rsid w:val="00FA741E"/>
    <w:rsid w:val="00FA7982"/>
    <w:rsid w:val="00FB05EB"/>
    <w:rsid w:val="00FB0803"/>
    <w:rsid w:val="00FB0EB7"/>
    <w:rsid w:val="00FB1AC9"/>
    <w:rsid w:val="00FB1DC0"/>
    <w:rsid w:val="00FB30AD"/>
    <w:rsid w:val="00FB40C2"/>
    <w:rsid w:val="00FB4B7D"/>
    <w:rsid w:val="00FB4BA2"/>
    <w:rsid w:val="00FB531E"/>
    <w:rsid w:val="00FB5357"/>
    <w:rsid w:val="00FB6FBC"/>
    <w:rsid w:val="00FC021E"/>
    <w:rsid w:val="00FC037A"/>
    <w:rsid w:val="00FC038D"/>
    <w:rsid w:val="00FC04F5"/>
    <w:rsid w:val="00FC1435"/>
    <w:rsid w:val="00FC2371"/>
    <w:rsid w:val="00FC2784"/>
    <w:rsid w:val="00FC2A35"/>
    <w:rsid w:val="00FC2AC1"/>
    <w:rsid w:val="00FC2E04"/>
    <w:rsid w:val="00FC329E"/>
    <w:rsid w:val="00FC3BFC"/>
    <w:rsid w:val="00FC51DE"/>
    <w:rsid w:val="00FC638B"/>
    <w:rsid w:val="00FC6DCC"/>
    <w:rsid w:val="00FC7569"/>
    <w:rsid w:val="00FD01EB"/>
    <w:rsid w:val="00FD01F1"/>
    <w:rsid w:val="00FD0C5B"/>
    <w:rsid w:val="00FD0F34"/>
    <w:rsid w:val="00FD151A"/>
    <w:rsid w:val="00FD1563"/>
    <w:rsid w:val="00FD2BBA"/>
    <w:rsid w:val="00FD331F"/>
    <w:rsid w:val="00FD4111"/>
    <w:rsid w:val="00FD4602"/>
    <w:rsid w:val="00FD4DBD"/>
    <w:rsid w:val="00FD5E46"/>
    <w:rsid w:val="00FD6525"/>
    <w:rsid w:val="00FD68E5"/>
    <w:rsid w:val="00FD6B0A"/>
    <w:rsid w:val="00FD6D8E"/>
    <w:rsid w:val="00FD7341"/>
    <w:rsid w:val="00FD759F"/>
    <w:rsid w:val="00FE0B7D"/>
    <w:rsid w:val="00FE0C2A"/>
    <w:rsid w:val="00FE0CAA"/>
    <w:rsid w:val="00FE1845"/>
    <w:rsid w:val="00FE2187"/>
    <w:rsid w:val="00FE2308"/>
    <w:rsid w:val="00FE3154"/>
    <w:rsid w:val="00FE38EE"/>
    <w:rsid w:val="00FE3EB8"/>
    <w:rsid w:val="00FE449F"/>
    <w:rsid w:val="00FE49C1"/>
    <w:rsid w:val="00FE4D0F"/>
    <w:rsid w:val="00FE4EF1"/>
    <w:rsid w:val="00FE51FE"/>
    <w:rsid w:val="00FE645F"/>
    <w:rsid w:val="00FE656E"/>
    <w:rsid w:val="00FE6627"/>
    <w:rsid w:val="00FE66CA"/>
    <w:rsid w:val="00FE7E19"/>
    <w:rsid w:val="00FE7E98"/>
    <w:rsid w:val="00FF0030"/>
    <w:rsid w:val="00FF05E3"/>
    <w:rsid w:val="00FF0A67"/>
    <w:rsid w:val="00FF16D3"/>
    <w:rsid w:val="00FF2557"/>
    <w:rsid w:val="00FF274D"/>
    <w:rsid w:val="00FF2A5F"/>
    <w:rsid w:val="00FF31CA"/>
    <w:rsid w:val="00FF3753"/>
    <w:rsid w:val="00FF524E"/>
    <w:rsid w:val="00FF5B99"/>
    <w:rsid w:val="00FF6046"/>
    <w:rsid w:val="00FF6A04"/>
    <w:rsid w:val="00FF7201"/>
    <w:rsid w:val="00FF7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6F7113B"/>
  <w15:docId w15:val="{DA29AAB1-938E-44CE-B040-CFB6FC24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845"/>
    <w:pPr>
      <w:spacing w:after="200" w:line="276" w:lineRule="auto"/>
      <w:jc w:val="left"/>
    </w:pPr>
    <w:rPr>
      <w:lang w:val="uk-UA"/>
    </w:rPr>
  </w:style>
  <w:style w:type="paragraph" w:styleId="1">
    <w:name w:val="heading 1"/>
    <w:basedOn w:val="a"/>
    <w:next w:val="a"/>
    <w:link w:val="10"/>
    <w:uiPriority w:val="9"/>
    <w:qFormat/>
    <w:rsid w:val="00CE74C1"/>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US" w:eastAsia="ru-RU"/>
    </w:rPr>
  </w:style>
  <w:style w:type="paragraph" w:styleId="2">
    <w:name w:val="heading 2"/>
    <w:basedOn w:val="a"/>
    <w:link w:val="20"/>
    <w:uiPriority w:val="9"/>
    <w:qFormat/>
    <w:rsid w:val="00CE74C1"/>
    <w:pPr>
      <w:spacing w:before="100" w:beforeAutospacing="1" w:after="100" w:afterAutospacing="1" w:line="240" w:lineRule="auto"/>
      <w:outlineLvl w:val="1"/>
    </w:pPr>
    <w:rPr>
      <w:rFonts w:ascii="Times New Roman" w:eastAsiaTheme="minorEastAsia" w:hAnsi="Times New Roman" w:cs="Times New Roman"/>
      <w:b/>
      <w:bCs/>
      <w:sz w:val="36"/>
      <w:szCs w:val="36"/>
      <w:lang w:val="ru-RU" w:eastAsia="ru-RU"/>
    </w:rPr>
  </w:style>
  <w:style w:type="paragraph" w:styleId="4">
    <w:name w:val="heading 4"/>
    <w:basedOn w:val="a"/>
    <w:next w:val="a"/>
    <w:link w:val="40"/>
    <w:uiPriority w:val="9"/>
    <w:semiHidden/>
    <w:unhideWhenUsed/>
    <w:qFormat/>
    <w:rsid w:val="009D6DD2"/>
    <w:pPr>
      <w:keepNext/>
      <w:keepLines/>
      <w:spacing w:before="200" w:after="0" w:line="240" w:lineRule="auto"/>
      <w:jc w:val="both"/>
      <w:outlineLvl w:val="3"/>
    </w:pPr>
    <w:rPr>
      <w:rFonts w:asciiTheme="majorHAnsi" w:eastAsiaTheme="majorEastAsia" w:hAnsiTheme="majorHAnsi" w:cstheme="majorBidi"/>
      <w:b/>
      <w:bCs/>
      <w:i/>
      <w:iCs/>
      <w:color w:val="4F81BD" w:themeColor="accent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74C1"/>
    <w:rPr>
      <w:rFonts w:asciiTheme="majorHAnsi" w:eastAsiaTheme="majorEastAsia" w:hAnsiTheme="majorHAnsi" w:cstheme="majorBidi"/>
      <w:b/>
      <w:bCs/>
      <w:color w:val="345A8A" w:themeColor="accent1" w:themeShade="B5"/>
      <w:sz w:val="32"/>
      <w:szCs w:val="32"/>
      <w:lang w:val="en-US" w:eastAsia="ru-RU"/>
    </w:rPr>
  </w:style>
  <w:style w:type="character" w:customStyle="1" w:styleId="20">
    <w:name w:val="Заголовок 2 Знак"/>
    <w:basedOn w:val="a0"/>
    <w:link w:val="2"/>
    <w:uiPriority w:val="9"/>
    <w:rsid w:val="00CE74C1"/>
    <w:rPr>
      <w:rFonts w:ascii="Times New Roman" w:eastAsiaTheme="minorEastAsia" w:hAnsi="Times New Roman" w:cs="Times New Roman"/>
      <w:b/>
      <w:bCs/>
      <w:sz w:val="36"/>
      <w:szCs w:val="36"/>
      <w:lang w:eastAsia="ru-RU"/>
    </w:rPr>
  </w:style>
  <w:style w:type="character" w:styleId="a3">
    <w:name w:val="Strong"/>
    <w:uiPriority w:val="22"/>
    <w:qFormat/>
    <w:rsid w:val="00E71845"/>
    <w:rPr>
      <w:b/>
      <w:bCs/>
    </w:rPr>
  </w:style>
  <w:style w:type="paragraph" w:styleId="a4">
    <w:name w:val="header"/>
    <w:basedOn w:val="a"/>
    <w:link w:val="a5"/>
    <w:uiPriority w:val="99"/>
    <w:unhideWhenUsed/>
    <w:rsid w:val="00851F4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1F45"/>
    <w:rPr>
      <w:lang w:val="uk-UA"/>
    </w:rPr>
  </w:style>
  <w:style w:type="paragraph" w:styleId="a6">
    <w:name w:val="footer"/>
    <w:basedOn w:val="a"/>
    <w:link w:val="a7"/>
    <w:uiPriority w:val="99"/>
    <w:unhideWhenUsed/>
    <w:rsid w:val="00851F4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1F45"/>
    <w:rPr>
      <w:lang w:val="uk-UA"/>
    </w:rPr>
  </w:style>
  <w:style w:type="paragraph" w:styleId="a8">
    <w:name w:val="List Paragraph"/>
    <w:basedOn w:val="a"/>
    <w:uiPriority w:val="34"/>
    <w:qFormat/>
    <w:rsid w:val="006C52A0"/>
    <w:pPr>
      <w:ind w:left="720"/>
      <w:contextualSpacing/>
    </w:pPr>
  </w:style>
  <w:style w:type="table" w:styleId="a9">
    <w:name w:val="Table Grid"/>
    <w:basedOn w:val="a1"/>
    <w:uiPriority w:val="59"/>
    <w:rsid w:val="0051297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B060B0"/>
    <w:rPr>
      <w:color w:val="0000FF"/>
      <w:u w:val="single"/>
    </w:rPr>
  </w:style>
  <w:style w:type="character" w:customStyle="1" w:styleId="rvts6">
    <w:name w:val="rvts6"/>
    <w:basedOn w:val="a0"/>
    <w:rsid w:val="00391CF7"/>
  </w:style>
  <w:style w:type="character" w:customStyle="1" w:styleId="Absatz-Standardschriftart">
    <w:name w:val="Absatz-Standardschriftart"/>
    <w:rsid w:val="00391CF7"/>
  </w:style>
  <w:style w:type="character" w:customStyle="1" w:styleId="apple-converted-space">
    <w:name w:val="apple-converted-space"/>
    <w:basedOn w:val="a0"/>
    <w:rsid w:val="00391CF7"/>
  </w:style>
  <w:style w:type="character" w:customStyle="1" w:styleId="ab">
    <w:name w:val="Обычный (веб) Знак"/>
    <w:link w:val="ac"/>
    <w:locked/>
    <w:rsid w:val="00CE74C1"/>
    <w:rPr>
      <w:sz w:val="24"/>
      <w:szCs w:val="24"/>
      <w:lang w:val="uk-UA"/>
    </w:rPr>
  </w:style>
  <w:style w:type="paragraph" w:styleId="ac">
    <w:name w:val="Normal (Web)"/>
    <w:basedOn w:val="a"/>
    <w:link w:val="ab"/>
    <w:unhideWhenUsed/>
    <w:rsid w:val="00CE74C1"/>
    <w:pPr>
      <w:spacing w:before="100" w:beforeAutospacing="1" w:after="100" w:afterAutospacing="1" w:line="240" w:lineRule="auto"/>
    </w:pPr>
    <w:rPr>
      <w:sz w:val="24"/>
      <w:szCs w:val="24"/>
    </w:rPr>
  </w:style>
  <w:style w:type="character" w:customStyle="1" w:styleId="ad">
    <w:name w:val="Текст выноски Знак"/>
    <w:basedOn w:val="a0"/>
    <w:link w:val="ae"/>
    <w:uiPriority w:val="99"/>
    <w:semiHidden/>
    <w:rsid w:val="00CE74C1"/>
    <w:rPr>
      <w:rFonts w:ascii="Lucida Grande" w:hAnsi="Lucida Grande"/>
      <w:sz w:val="18"/>
      <w:szCs w:val="18"/>
      <w:lang w:val="uk-UA"/>
    </w:rPr>
  </w:style>
  <w:style w:type="paragraph" w:styleId="ae">
    <w:name w:val="Balloon Text"/>
    <w:basedOn w:val="a"/>
    <w:link w:val="ad"/>
    <w:uiPriority w:val="99"/>
    <w:semiHidden/>
    <w:unhideWhenUsed/>
    <w:rsid w:val="00CE74C1"/>
    <w:pPr>
      <w:spacing w:after="0" w:line="240" w:lineRule="auto"/>
    </w:pPr>
    <w:rPr>
      <w:rFonts w:ascii="Lucida Grande" w:hAnsi="Lucida Grande"/>
      <w:sz w:val="18"/>
      <w:szCs w:val="18"/>
    </w:rPr>
  </w:style>
  <w:style w:type="character" w:customStyle="1" w:styleId="element-citation">
    <w:name w:val="element-citation"/>
    <w:basedOn w:val="a0"/>
    <w:rsid w:val="00CE74C1"/>
  </w:style>
  <w:style w:type="character" w:customStyle="1" w:styleId="ref-journal">
    <w:name w:val="ref-journal"/>
    <w:basedOn w:val="a0"/>
    <w:rsid w:val="00CE74C1"/>
  </w:style>
  <w:style w:type="character" w:customStyle="1" w:styleId="ref-vol">
    <w:name w:val="ref-vol"/>
    <w:basedOn w:val="a0"/>
    <w:rsid w:val="00CE74C1"/>
  </w:style>
  <w:style w:type="character" w:customStyle="1" w:styleId="nowrap">
    <w:name w:val="nowrap"/>
    <w:basedOn w:val="a0"/>
    <w:rsid w:val="00CE74C1"/>
  </w:style>
  <w:style w:type="character" w:customStyle="1" w:styleId="mixed-citation">
    <w:name w:val="mixed-citation"/>
    <w:basedOn w:val="a0"/>
    <w:rsid w:val="00CE74C1"/>
  </w:style>
  <w:style w:type="character" w:customStyle="1" w:styleId="cit">
    <w:name w:val="cit"/>
    <w:basedOn w:val="a0"/>
    <w:rsid w:val="00CE74C1"/>
  </w:style>
  <w:style w:type="character" w:customStyle="1" w:styleId="fm-vol-iss-date">
    <w:name w:val="fm-vol-iss-date"/>
    <w:basedOn w:val="a0"/>
    <w:rsid w:val="00CE74C1"/>
  </w:style>
  <w:style w:type="character" w:customStyle="1" w:styleId="doi">
    <w:name w:val="doi"/>
    <w:basedOn w:val="a0"/>
    <w:rsid w:val="00CE74C1"/>
  </w:style>
  <w:style w:type="character" w:styleId="HTML">
    <w:name w:val="HTML Cite"/>
    <w:basedOn w:val="a0"/>
    <w:uiPriority w:val="99"/>
    <w:semiHidden/>
    <w:unhideWhenUsed/>
    <w:rsid w:val="00CE74C1"/>
    <w:rPr>
      <w:i/>
      <w:iCs/>
    </w:rPr>
  </w:style>
  <w:style w:type="character" w:customStyle="1" w:styleId="cit-auth">
    <w:name w:val="cit-auth"/>
    <w:basedOn w:val="a0"/>
    <w:rsid w:val="00CE74C1"/>
  </w:style>
  <w:style w:type="character" w:customStyle="1" w:styleId="cit-name-surname">
    <w:name w:val="cit-name-surname"/>
    <w:basedOn w:val="a0"/>
    <w:rsid w:val="00CE74C1"/>
  </w:style>
  <w:style w:type="character" w:customStyle="1" w:styleId="cit-name-given-names">
    <w:name w:val="cit-name-given-names"/>
    <w:basedOn w:val="a0"/>
    <w:rsid w:val="00CE74C1"/>
  </w:style>
  <w:style w:type="character" w:customStyle="1" w:styleId="cit-article-title">
    <w:name w:val="cit-article-title"/>
    <w:basedOn w:val="a0"/>
    <w:rsid w:val="00CE74C1"/>
  </w:style>
  <w:style w:type="character" w:customStyle="1" w:styleId="cit-pub-date">
    <w:name w:val="cit-pub-date"/>
    <w:basedOn w:val="a0"/>
    <w:rsid w:val="00CE74C1"/>
  </w:style>
  <w:style w:type="character" w:customStyle="1" w:styleId="cit-vol">
    <w:name w:val="cit-vol"/>
    <w:basedOn w:val="a0"/>
    <w:rsid w:val="00CE74C1"/>
  </w:style>
  <w:style w:type="character" w:customStyle="1" w:styleId="cit-fpage">
    <w:name w:val="cit-fpage"/>
    <w:basedOn w:val="a0"/>
    <w:rsid w:val="00CE74C1"/>
  </w:style>
  <w:style w:type="character" w:customStyle="1" w:styleId="cit-lpage">
    <w:name w:val="cit-lpage"/>
    <w:basedOn w:val="a0"/>
    <w:rsid w:val="00CE74C1"/>
  </w:style>
  <w:style w:type="character" w:customStyle="1" w:styleId="cit-reflinks-full-text">
    <w:name w:val="cit-reflinks-full-text"/>
    <w:basedOn w:val="a0"/>
    <w:rsid w:val="00CE74C1"/>
  </w:style>
  <w:style w:type="character" w:customStyle="1" w:styleId="free-full-text">
    <w:name w:val="free-full-text"/>
    <w:basedOn w:val="a0"/>
    <w:rsid w:val="00CE74C1"/>
  </w:style>
  <w:style w:type="character" w:customStyle="1" w:styleId="cit-name-suffix">
    <w:name w:val="cit-name-suffix"/>
    <w:basedOn w:val="a0"/>
    <w:rsid w:val="00CE74C1"/>
  </w:style>
  <w:style w:type="character" w:customStyle="1" w:styleId="cit-reflinks-abstract">
    <w:name w:val="cit-reflinks-abstract"/>
    <w:basedOn w:val="a0"/>
    <w:rsid w:val="00CE74C1"/>
  </w:style>
  <w:style w:type="character" w:customStyle="1" w:styleId="cit-sep">
    <w:name w:val="cit-sep"/>
    <w:basedOn w:val="a0"/>
    <w:rsid w:val="00CE74C1"/>
  </w:style>
  <w:style w:type="character" w:customStyle="1" w:styleId="highwire-journal-article-marker-end">
    <w:name w:val="highwire-journal-article-marker-end"/>
    <w:basedOn w:val="a0"/>
    <w:rsid w:val="00CE74C1"/>
  </w:style>
  <w:style w:type="character" w:customStyle="1" w:styleId="highwire-citation-authors">
    <w:name w:val="highwire-citation-authors"/>
    <w:basedOn w:val="a0"/>
    <w:rsid w:val="00CE74C1"/>
  </w:style>
  <w:style w:type="character" w:customStyle="1" w:styleId="highwire-citation-author">
    <w:name w:val="highwire-citation-author"/>
    <w:basedOn w:val="a0"/>
    <w:rsid w:val="00CE74C1"/>
  </w:style>
  <w:style w:type="character" w:customStyle="1" w:styleId="highwire-cite-metadata-doi">
    <w:name w:val="highwire-cite-metadata-doi"/>
    <w:basedOn w:val="a0"/>
    <w:rsid w:val="00CE74C1"/>
  </w:style>
  <w:style w:type="character" w:customStyle="1" w:styleId="highwire-cite-metadata-journal">
    <w:name w:val="highwire-cite-metadata-journal"/>
    <w:basedOn w:val="a0"/>
    <w:rsid w:val="00CE74C1"/>
  </w:style>
  <w:style w:type="character" w:customStyle="1" w:styleId="highwire-cite-metadata-date">
    <w:name w:val="highwire-cite-metadata-date"/>
    <w:basedOn w:val="a0"/>
    <w:rsid w:val="00CE74C1"/>
  </w:style>
  <w:style w:type="character" w:customStyle="1" w:styleId="highwire-cite-metadata-volume">
    <w:name w:val="highwire-cite-metadata-volume"/>
    <w:basedOn w:val="a0"/>
    <w:rsid w:val="00CE74C1"/>
  </w:style>
  <w:style w:type="character" w:customStyle="1" w:styleId="highwire-cite-metadata-pages">
    <w:name w:val="highwire-cite-metadata-pages"/>
    <w:basedOn w:val="a0"/>
    <w:rsid w:val="00CE74C1"/>
  </w:style>
  <w:style w:type="character" w:customStyle="1" w:styleId="highwire-cite-metadata-pubdate">
    <w:name w:val="highwire-cite-metadata-pubdate"/>
    <w:basedOn w:val="a0"/>
    <w:rsid w:val="00CE74C1"/>
  </w:style>
  <w:style w:type="character" w:customStyle="1" w:styleId="indented-counter">
    <w:name w:val="indented-counter"/>
    <w:basedOn w:val="a0"/>
    <w:rsid w:val="00CE74C1"/>
  </w:style>
  <w:style w:type="paragraph" w:customStyle="1" w:styleId="tiny-space-below">
    <w:name w:val="tiny-space-below"/>
    <w:basedOn w:val="a"/>
    <w:rsid w:val="00CE74C1"/>
    <w:pPr>
      <w:spacing w:before="100" w:beforeAutospacing="1" w:after="100" w:afterAutospacing="1" w:line="240" w:lineRule="auto"/>
    </w:pPr>
    <w:rPr>
      <w:rFonts w:ascii="Times New Roman" w:eastAsiaTheme="minorEastAsia" w:hAnsi="Times New Roman" w:cs="Times New Roman"/>
      <w:sz w:val="20"/>
      <w:szCs w:val="20"/>
      <w:lang w:val="ru-RU" w:eastAsia="ru-RU"/>
    </w:rPr>
  </w:style>
  <w:style w:type="character" w:customStyle="1" w:styleId="show-context-button">
    <w:name w:val="show-context-button"/>
    <w:basedOn w:val="a0"/>
    <w:rsid w:val="00CE74C1"/>
  </w:style>
  <w:style w:type="character" w:styleId="af">
    <w:name w:val="Emphasis"/>
    <w:uiPriority w:val="20"/>
    <w:qFormat/>
    <w:rsid w:val="00CE74C1"/>
    <w:rPr>
      <w:i/>
      <w:iCs/>
    </w:rPr>
  </w:style>
  <w:style w:type="character" w:customStyle="1" w:styleId="newsshorttext2">
    <w:name w:val="newsshorttext2"/>
    <w:basedOn w:val="a0"/>
    <w:rsid w:val="00CE74C1"/>
  </w:style>
  <w:style w:type="character" w:customStyle="1" w:styleId="ref-title">
    <w:name w:val="ref-title"/>
    <w:rsid w:val="00CE74C1"/>
  </w:style>
  <w:style w:type="paragraph" w:customStyle="1" w:styleId="osnova">
    <w:name w:val="osnova"/>
    <w:rsid w:val="00CE74C1"/>
    <w:pPr>
      <w:autoSpaceDE w:val="0"/>
      <w:autoSpaceDN w:val="0"/>
      <w:adjustRightInd w:val="0"/>
      <w:ind w:firstLine="397"/>
    </w:pPr>
    <w:rPr>
      <w:rFonts w:ascii="PragmaticaC" w:eastAsia="Times New Roman" w:hAnsi="PragmaticaC" w:cs="PragmaticaC"/>
      <w:color w:val="000000"/>
      <w:sz w:val="24"/>
      <w:szCs w:val="24"/>
      <w:lang w:eastAsia="ru-RU"/>
    </w:rPr>
  </w:style>
  <w:style w:type="character" w:customStyle="1" w:styleId="longtext">
    <w:name w:val="long_text"/>
    <w:basedOn w:val="a0"/>
    <w:rsid w:val="00174A5B"/>
  </w:style>
  <w:style w:type="paragraph" w:styleId="af0">
    <w:name w:val="Body Text"/>
    <w:basedOn w:val="a"/>
    <w:link w:val="af1"/>
    <w:uiPriority w:val="99"/>
    <w:unhideWhenUsed/>
    <w:rsid w:val="001D4C94"/>
    <w:pPr>
      <w:spacing w:after="0" w:line="360" w:lineRule="auto"/>
      <w:jc w:val="center"/>
    </w:pPr>
    <w:rPr>
      <w:rFonts w:ascii="Arial" w:eastAsia="Times New Roman" w:hAnsi="Arial" w:cs="Arial"/>
      <w:sz w:val="36"/>
      <w:szCs w:val="24"/>
      <w:lang w:eastAsia="ru-RU"/>
    </w:rPr>
  </w:style>
  <w:style w:type="character" w:customStyle="1" w:styleId="af1">
    <w:name w:val="Основной текст Знак"/>
    <w:basedOn w:val="a0"/>
    <w:link w:val="af0"/>
    <w:uiPriority w:val="99"/>
    <w:rsid w:val="001D4C94"/>
    <w:rPr>
      <w:rFonts w:ascii="Arial" w:eastAsia="Times New Roman" w:hAnsi="Arial" w:cs="Arial"/>
      <w:sz w:val="36"/>
      <w:szCs w:val="24"/>
      <w:lang w:val="uk-UA" w:eastAsia="ru-RU"/>
    </w:rPr>
  </w:style>
  <w:style w:type="paragraph" w:styleId="af2">
    <w:name w:val="caption"/>
    <w:basedOn w:val="a"/>
    <w:next w:val="a"/>
    <w:uiPriority w:val="35"/>
    <w:unhideWhenUsed/>
    <w:qFormat/>
    <w:rsid w:val="00F251A8"/>
    <w:pPr>
      <w:spacing w:line="240" w:lineRule="auto"/>
    </w:pPr>
    <w:rPr>
      <w:b/>
      <w:bCs/>
      <w:color w:val="4F81BD" w:themeColor="accent1"/>
      <w:sz w:val="18"/>
      <w:szCs w:val="18"/>
    </w:rPr>
  </w:style>
  <w:style w:type="paragraph" w:customStyle="1" w:styleId="Default">
    <w:name w:val="Default"/>
    <w:rsid w:val="003A1552"/>
    <w:pPr>
      <w:autoSpaceDE w:val="0"/>
      <w:autoSpaceDN w:val="0"/>
      <w:adjustRightInd w:val="0"/>
      <w:jc w:val="left"/>
    </w:pPr>
    <w:rPr>
      <w:rFonts w:ascii="Newton" w:eastAsia="Times New Roman" w:hAnsi="Newton" w:cs="Newton"/>
      <w:color w:val="000000"/>
      <w:sz w:val="24"/>
      <w:szCs w:val="24"/>
      <w:lang w:eastAsia="ru-RU"/>
    </w:rPr>
  </w:style>
  <w:style w:type="character" w:customStyle="1" w:styleId="40">
    <w:name w:val="Заголовок 4 Знак"/>
    <w:basedOn w:val="a0"/>
    <w:link w:val="4"/>
    <w:uiPriority w:val="9"/>
    <w:semiHidden/>
    <w:rsid w:val="009D6DD2"/>
    <w:rPr>
      <w:rFonts w:asciiTheme="majorHAnsi" w:eastAsiaTheme="majorEastAsia" w:hAnsiTheme="majorHAnsi" w:cstheme="majorBidi"/>
      <w:b/>
      <w:bCs/>
      <w:i/>
      <w:iCs/>
      <w:color w:val="4F81BD" w:themeColor="accent1"/>
    </w:rPr>
  </w:style>
  <w:style w:type="character" w:styleId="af3">
    <w:name w:val="FollowedHyperlink"/>
    <w:basedOn w:val="a0"/>
    <w:uiPriority w:val="99"/>
    <w:semiHidden/>
    <w:unhideWhenUsed/>
    <w:rsid w:val="009D6DD2"/>
    <w:rPr>
      <w:color w:val="800080" w:themeColor="followedHyperlink"/>
      <w:u w:val="single"/>
    </w:rPr>
  </w:style>
  <w:style w:type="paragraph" w:styleId="HTML0">
    <w:name w:val="HTML Preformatted"/>
    <w:basedOn w:val="a"/>
    <w:link w:val="HTML1"/>
    <w:uiPriority w:val="99"/>
    <w:semiHidden/>
    <w:unhideWhenUsed/>
    <w:rsid w:val="009D6DD2"/>
    <w:pPr>
      <w:spacing w:after="0" w:line="240" w:lineRule="auto"/>
      <w:jc w:val="both"/>
    </w:pPr>
    <w:rPr>
      <w:rFonts w:ascii="Consolas" w:hAnsi="Consolas"/>
      <w:sz w:val="20"/>
      <w:szCs w:val="20"/>
      <w:lang w:val="ru-RU"/>
    </w:rPr>
  </w:style>
  <w:style w:type="character" w:customStyle="1" w:styleId="HTML1">
    <w:name w:val="Стандартный HTML Знак"/>
    <w:basedOn w:val="a0"/>
    <w:link w:val="HTML0"/>
    <w:uiPriority w:val="99"/>
    <w:semiHidden/>
    <w:rsid w:val="009D6DD2"/>
    <w:rPr>
      <w:rFonts w:ascii="Consolas" w:hAnsi="Consolas"/>
      <w:sz w:val="20"/>
      <w:szCs w:val="20"/>
    </w:rPr>
  </w:style>
  <w:style w:type="character" w:customStyle="1" w:styleId="referencesnote">
    <w:name w:val="references__note"/>
    <w:basedOn w:val="a0"/>
    <w:rsid w:val="009D6DD2"/>
  </w:style>
  <w:style w:type="character" w:customStyle="1" w:styleId="label">
    <w:name w:val="label"/>
    <w:basedOn w:val="a0"/>
    <w:rsid w:val="009D6DD2"/>
  </w:style>
  <w:style w:type="character" w:customStyle="1" w:styleId="referencesarticle-title">
    <w:name w:val="references__article-title"/>
    <w:basedOn w:val="a0"/>
    <w:rsid w:val="009D6DD2"/>
  </w:style>
  <w:style w:type="character" w:customStyle="1" w:styleId="referencessource">
    <w:name w:val="references__source"/>
    <w:basedOn w:val="a0"/>
    <w:rsid w:val="009D6DD2"/>
  </w:style>
  <w:style w:type="character" w:customStyle="1" w:styleId="referencesyear">
    <w:name w:val="references__year"/>
    <w:basedOn w:val="a0"/>
    <w:rsid w:val="009D6DD2"/>
  </w:style>
  <w:style w:type="character" w:customStyle="1" w:styleId="referencessuffix">
    <w:name w:val="references__suffix"/>
    <w:basedOn w:val="a0"/>
    <w:rsid w:val="009D6DD2"/>
  </w:style>
  <w:style w:type="character" w:customStyle="1" w:styleId="referencesauthorsothers">
    <w:name w:val="references__authors__others"/>
    <w:basedOn w:val="a0"/>
    <w:rsid w:val="009D6DD2"/>
  </w:style>
  <w:style w:type="character" w:customStyle="1" w:styleId="epub-sectionitem">
    <w:name w:val="epub-section__item"/>
    <w:basedOn w:val="a0"/>
    <w:rsid w:val="009D6DD2"/>
  </w:style>
  <w:style w:type="character" w:customStyle="1" w:styleId="epub-sectionstate">
    <w:name w:val="epub-section__state"/>
    <w:basedOn w:val="a0"/>
    <w:rsid w:val="009D6DD2"/>
  </w:style>
  <w:style w:type="character" w:customStyle="1" w:styleId="epub-sectiondate">
    <w:name w:val="epub-section__date"/>
    <w:basedOn w:val="a0"/>
    <w:rsid w:val="009D6DD2"/>
  </w:style>
  <w:style w:type="character" w:customStyle="1" w:styleId="11">
    <w:name w:val="Текст выноски Знак1"/>
    <w:basedOn w:val="a0"/>
    <w:uiPriority w:val="99"/>
    <w:semiHidden/>
    <w:rsid w:val="007F5722"/>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48957">
      <w:bodyDiv w:val="1"/>
      <w:marLeft w:val="0"/>
      <w:marRight w:val="0"/>
      <w:marTop w:val="0"/>
      <w:marBottom w:val="0"/>
      <w:divBdr>
        <w:top w:val="none" w:sz="0" w:space="0" w:color="auto"/>
        <w:left w:val="none" w:sz="0" w:space="0" w:color="auto"/>
        <w:bottom w:val="none" w:sz="0" w:space="0" w:color="auto"/>
        <w:right w:val="none" w:sz="0" w:space="0" w:color="auto"/>
      </w:divBdr>
    </w:div>
    <w:div w:id="476335132">
      <w:bodyDiv w:val="1"/>
      <w:marLeft w:val="0"/>
      <w:marRight w:val="0"/>
      <w:marTop w:val="0"/>
      <w:marBottom w:val="0"/>
      <w:divBdr>
        <w:top w:val="none" w:sz="0" w:space="0" w:color="auto"/>
        <w:left w:val="none" w:sz="0" w:space="0" w:color="auto"/>
        <w:bottom w:val="none" w:sz="0" w:space="0" w:color="auto"/>
        <w:right w:val="none" w:sz="0" w:space="0" w:color="auto"/>
      </w:divBdr>
    </w:div>
    <w:div w:id="601186549">
      <w:bodyDiv w:val="1"/>
      <w:marLeft w:val="0"/>
      <w:marRight w:val="0"/>
      <w:marTop w:val="0"/>
      <w:marBottom w:val="0"/>
      <w:divBdr>
        <w:top w:val="none" w:sz="0" w:space="0" w:color="auto"/>
        <w:left w:val="none" w:sz="0" w:space="0" w:color="auto"/>
        <w:bottom w:val="none" w:sz="0" w:space="0" w:color="auto"/>
        <w:right w:val="none" w:sz="0" w:space="0" w:color="auto"/>
      </w:divBdr>
    </w:div>
    <w:div w:id="744839791">
      <w:bodyDiv w:val="1"/>
      <w:marLeft w:val="0"/>
      <w:marRight w:val="0"/>
      <w:marTop w:val="0"/>
      <w:marBottom w:val="0"/>
      <w:divBdr>
        <w:top w:val="none" w:sz="0" w:space="0" w:color="auto"/>
        <w:left w:val="none" w:sz="0" w:space="0" w:color="auto"/>
        <w:bottom w:val="none" w:sz="0" w:space="0" w:color="auto"/>
        <w:right w:val="none" w:sz="0" w:space="0" w:color="auto"/>
      </w:divBdr>
    </w:div>
    <w:div w:id="960190557">
      <w:bodyDiv w:val="1"/>
      <w:marLeft w:val="0"/>
      <w:marRight w:val="0"/>
      <w:marTop w:val="0"/>
      <w:marBottom w:val="0"/>
      <w:divBdr>
        <w:top w:val="none" w:sz="0" w:space="0" w:color="auto"/>
        <w:left w:val="none" w:sz="0" w:space="0" w:color="auto"/>
        <w:bottom w:val="none" w:sz="0" w:space="0" w:color="auto"/>
        <w:right w:val="none" w:sz="0" w:space="0" w:color="auto"/>
      </w:divBdr>
    </w:div>
    <w:div w:id="978345932">
      <w:bodyDiv w:val="1"/>
      <w:marLeft w:val="0"/>
      <w:marRight w:val="0"/>
      <w:marTop w:val="0"/>
      <w:marBottom w:val="0"/>
      <w:divBdr>
        <w:top w:val="none" w:sz="0" w:space="0" w:color="auto"/>
        <w:left w:val="none" w:sz="0" w:space="0" w:color="auto"/>
        <w:bottom w:val="none" w:sz="0" w:space="0" w:color="auto"/>
        <w:right w:val="none" w:sz="0" w:space="0" w:color="auto"/>
      </w:divBdr>
    </w:div>
    <w:div w:id="1051147353">
      <w:bodyDiv w:val="1"/>
      <w:marLeft w:val="0"/>
      <w:marRight w:val="0"/>
      <w:marTop w:val="0"/>
      <w:marBottom w:val="0"/>
      <w:divBdr>
        <w:top w:val="none" w:sz="0" w:space="0" w:color="auto"/>
        <w:left w:val="none" w:sz="0" w:space="0" w:color="auto"/>
        <w:bottom w:val="none" w:sz="0" w:space="0" w:color="auto"/>
        <w:right w:val="none" w:sz="0" w:space="0" w:color="auto"/>
      </w:divBdr>
    </w:div>
    <w:div w:id="1181049089">
      <w:bodyDiv w:val="1"/>
      <w:marLeft w:val="0"/>
      <w:marRight w:val="0"/>
      <w:marTop w:val="0"/>
      <w:marBottom w:val="0"/>
      <w:divBdr>
        <w:top w:val="none" w:sz="0" w:space="0" w:color="auto"/>
        <w:left w:val="none" w:sz="0" w:space="0" w:color="auto"/>
        <w:bottom w:val="none" w:sz="0" w:space="0" w:color="auto"/>
        <w:right w:val="none" w:sz="0" w:space="0" w:color="auto"/>
      </w:divBdr>
    </w:div>
    <w:div w:id="1267618782">
      <w:bodyDiv w:val="1"/>
      <w:marLeft w:val="0"/>
      <w:marRight w:val="0"/>
      <w:marTop w:val="0"/>
      <w:marBottom w:val="0"/>
      <w:divBdr>
        <w:top w:val="none" w:sz="0" w:space="0" w:color="auto"/>
        <w:left w:val="none" w:sz="0" w:space="0" w:color="auto"/>
        <w:bottom w:val="none" w:sz="0" w:space="0" w:color="auto"/>
        <w:right w:val="none" w:sz="0" w:space="0" w:color="auto"/>
      </w:divBdr>
    </w:div>
    <w:div w:id="1735662186">
      <w:bodyDiv w:val="1"/>
      <w:marLeft w:val="0"/>
      <w:marRight w:val="0"/>
      <w:marTop w:val="0"/>
      <w:marBottom w:val="0"/>
      <w:divBdr>
        <w:top w:val="none" w:sz="0" w:space="0" w:color="auto"/>
        <w:left w:val="none" w:sz="0" w:space="0" w:color="auto"/>
        <w:bottom w:val="none" w:sz="0" w:space="0" w:color="auto"/>
        <w:right w:val="none" w:sz="0" w:space="0" w:color="auto"/>
      </w:divBdr>
    </w:div>
    <w:div w:id="1880389320">
      <w:bodyDiv w:val="1"/>
      <w:marLeft w:val="0"/>
      <w:marRight w:val="0"/>
      <w:marTop w:val="0"/>
      <w:marBottom w:val="0"/>
      <w:divBdr>
        <w:top w:val="none" w:sz="0" w:space="0" w:color="auto"/>
        <w:left w:val="none" w:sz="0" w:space="0" w:color="auto"/>
        <w:bottom w:val="none" w:sz="0" w:space="0" w:color="auto"/>
        <w:right w:val="none" w:sz="0" w:space="0" w:color="auto"/>
      </w:divBdr>
    </w:div>
    <w:div w:id="1917549775">
      <w:bodyDiv w:val="1"/>
      <w:marLeft w:val="0"/>
      <w:marRight w:val="0"/>
      <w:marTop w:val="0"/>
      <w:marBottom w:val="0"/>
      <w:divBdr>
        <w:top w:val="none" w:sz="0" w:space="0" w:color="auto"/>
        <w:left w:val="none" w:sz="0" w:space="0" w:color="auto"/>
        <w:bottom w:val="none" w:sz="0" w:space="0" w:color="auto"/>
        <w:right w:val="none" w:sz="0" w:space="0" w:color="auto"/>
      </w:divBdr>
    </w:div>
    <w:div w:id="1977685275">
      <w:bodyDiv w:val="1"/>
      <w:marLeft w:val="0"/>
      <w:marRight w:val="0"/>
      <w:marTop w:val="0"/>
      <w:marBottom w:val="0"/>
      <w:divBdr>
        <w:top w:val="none" w:sz="0" w:space="0" w:color="auto"/>
        <w:left w:val="none" w:sz="0" w:space="0" w:color="auto"/>
        <w:bottom w:val="none" w:sz="0" w:space="0" w:color="auto"/>
        <w:right w:val="none" w:sz="0" w:space="0" w:color="auto"/>
      </w:divBdr>
    </w:div>
    <w:div w:id="21372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image" Target="media/image3.wmf"/><Relationship Id="rId26" Type="http://schemas.openxmlformats.org/officeDocument/2006/relationships/image" Target="media/image7.emf"/><Relationship Id="rId39" Type="http://schemas.openxmlformats.org/officeDocument/2006/relationships/chart" Target="charts/chart11.xml"/><Relationship Id="rId21" Type="http://schemas.openxmlformats.org/officeDocument/2006/relationships/oleObject" Target="embeddings/oleObject4.bin"/><Relationship Id="rId34" Type="http://schemas.openxmlformats.org/officeDocument/2006/relationships/image" Target="media/image15.emf"/><Relationship Id="rId42" Type="http://schemas.openxmlformats.org/officeDocument/2006/relationships/chart" Target="charts/chart13.xml"/><Relationship Id="rId47" Type="http://schemas.openxmlformats.org/officeDocument/2006/relationships/chart" Target="charts/chart18.xml"/><Relationship Id="rId50" Type="http://schemas.openxmlformats.org/officeDocument/2006/relationships/chart" Target="charts/chart21.xml"/><Relationship Id="rId55" Type="http://schemas.openxmlformats.org/officeDocument/2006/relationships/hyperlink" Target="https://www.ncbi.nlm.nih.gov/pubmed/?term=M%C3%B6hlenkamp%20S%5BAuthor%5D&amp;cauthor=true&amp;cauthor_uid=23701995" TargetMode="External"/><Relationship Id="rId63" Type="http://schemas.openxmlformats.org/officeDocument/2006/relationships/hyperlink" Target="https://www.ahajournals.org/doi/full/10.1161/01.HYP.0000137982.10191.0a?url_ver=Z39.88-2003&amp;rfr_id=ori%3Arid%3Acrossref.org&amp;rfr_dat=cr_pub%3Dpubmed" TargetMode="External"/><Relationship Id="rId68" Type="http://schemas.openxmlformats.org/officeDocument/2006/relationships/hyperlink" Target="https://www.ncbi.nlm.nih.gov/pubmed/?term=Mizoue%20T%5BAuthor%5D&amp;cauthor=true&amp;cauthor_uid=23408393" TargetMode="External"/><Relationship Id="rId76" Type="http://schemas.openxmlformats.org/officeDocument/2006/relationships/hyperlink" Target="https://www.ncbi.nlm.nih.gov/pubmed/?term=Ahlman%20MA%5BAuthor%5D&amp;cauthor=true&amp;cauthor_uid=27413040" TargetMode="External"/><Relationship Id="rId84" Type="http://schemas.openxmlformats.org/officeDocument/2006/relationships/hyperlink" Target="https://www.ncbi.nlm.nih.gov/pubmed/?term=Giannattasio%20C%5BAuthor%5D&amp;cauthor=true&amp;cauthor_uid=17000623" TargetMode="External"/><Relationship Id="rId89"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hyperlink" Target="https://www.ncbi.nlm.nih.gov/pubmed/?term=Fan%20F%5BAuthor%5D&amp;cauthor=true&amp;cauthor_uid=20452699" TargetMode="Externa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image" Target="media/image10.emf"/><Relationship Id="rId11" Type="http://schemas.openxmlformats.org/officeDocument/2006/relationships/chart" Target="charts/chart3.xml"/><Relationship Id="rId24" Type="http://schemas.openxmlformats.org/officeDocument/2006/relationships/image" Target="media/image6.emf"/><Relationship Id="rId32" Type="http://schemas.openxmlformats.org/officeDocument/2006/relationships/image" Target="media/image13.emf"/><Relationship Id="rId37" Type="http://schemas.openxmlformats.org/officeDocument/2006/relationships/chart" Target="charts/chart9.xml"/><Relationship Id="rId40" Type="http://schemas.openxmlformats.org/officeDocument/2006/relationships/image" Target="media/image16.png"/><Relationship Id="rId45" Type="http://schemas.openxmlformats.org/officeDocument/2006/relationships/chart" Target="charts/chart16.xml"/><Relationship Id="rId53" Type="http://schemas.openxmlformats.org/officeDocument/2006/relationships/hyperlink" Target="https://www.ncbi.nlm.nih.gov/pubmed/?term=Lehmann%20N%5BAuthor%5D&amp;cauthor=true&amp;cauthor_uid=23701995" TargetMode="External"/><Relationship Id="rId58" Type="http://schemas.openxmlformats.org/officeDocument/2006/relationships/hyperlink" Target="https://www.ncbi.nlm.nih.gov/pubmed/?term=Hyson%20D%5BAuthor%5D&amp;cauthor=true&amp;cauthor_uid=14525676" TargetMode="External"/><Relationship Id="rId66" Type="http://schemas.openxmlformats.org/officeDocument/2006/relationships/hyperlink" Target="https://www.ncbi.nlm.nih.gov/pubmed/?term=Takahashi%20Y%5BAuthor%5D&amp;cauthor=true&amp;cauthor_uid=23408393" TargetMode="External"/><Relationship Id="rId74" Type="http://schemas.openxmlformats.org/officeDocument/2006/relationships/hyperlink" Target="https://www.ncbi.nlm.nih.gov/pubmed/?term=Sandfort%20V%5BAuthor%5D&amp;cauthor=true&amp;cauthor_uid=27413040" TargetMode="External"/><Relationship Id="rId79" Type="http://schemas.openxmlformats.org/officeDocument/2006/relationships/hyperlink" Target="https://dx.doi.org/10.1155%2F2013%2F808353" TargetMode="External"/><Relationship Id="rId87" Type="http://schemas.openxmlformats.org/officeDocument/2006/relationships/hyperlink" Target="http://doi.org/10.1155/2017/5635929" TargetMode="External"/><Relationship Id="rId5" Type="http://schemas.openxmlformats.org/officeDocument/2006/relationships/webSettings" Target="webSettings.xml"/><Relationship Id="rId61" Type="http://schemas.openxmlformats.org/officeDocument/2006/relationships/hyperlink" Target="https://dx.doi.org/10.1155%2F2012%2F476380" TargetMode="External"/><Relationship Id="rId82" Type="http://schemas.openxmlformats.org/officeDocument/2006/relationships/hyperlink" Target="https://www.ncbi.nlm.nih.gov/pubmed/?term=Van%20Bortel%20L%5BAuthor%5D&amp;cauthor=true&amp;cauthor_uid=17000623" TargetMode="External"/><Relationship Id="rId90" Type="http://schemas.openxmlformats.org/officeDocument/2006/relationships/theme" Target="theme/theme1.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chart" Target="charts/chart7.xml"/><Relationship Id="rId43" Type="http://schemas.openxmlformats.org/officeDocument/2006/relationships/chart" Target="charts/chart14.xml"/><Relationship Id="rId48" Type="http://schemas.openxmlformats.org/officeDocument/2006/relationships/chart" Target="charts/chart19.xml"/><Relationship Id="rId56" Type="http://schemas.openxmlformats.org/officeDocument/2006/relationships/hyperlink" Target="https://www.ncbi.nlm.nih.gov/pubmed/?term=Moebus%20S%5BAuthor%5D&amp;cauthor=true&amp;cauthor_uid=23701995" TargetMode="External"/><Relationship Id="rId64" Type="http://schemas.openxmlformats.org/officeDocument/2006/relationships/hyperlink" Target="https://www.ahajournals.org/doi/full/10.1161/01.HYP.0000137982.10191.0a?url_ver=Z39.88-2003&amp;rfr_id=ori%3Arid%3Acrossref.org&amp;rfr_dat=cr_pub%3Dpubmed" TargetMode="External"/><Relationship Id="rId69" Type="http://schemas.openxmlformats.org/officeDocument/2006/relationships/hyperlink" Target="https://www.ncbi.nlm.nih.gov/pubmed/?term=Warszawska%20K%5BAuthor%5D&amp;cauthor=true&amp;cauthor_uid=20127093" TargetMode="External"/><Relationship Id="rId77" Type="http://schemas.openxmlformats.org/officeDocument/2006/relationships/hyperlink" Target="https://www.ncbi.nlm.nih.gov/pubmed/27413040" TargetMode="External"/><Relationship Id="rId8" Type="http://schemas.openxmlformats.org/officeDocument/2006/relationships/header" Target="header1.xml"/><Relationship Id="rId51" Type="http://schemas.openxmlformats.org/officeDocument/2006/relationships/hyperlink" Target="https://www.who.int/news-room/fact-sheets/detail/obesity-and-overweight" TargetMode="External"/><Relationship Id="rId72" Type="http://schemas.openxmlformats.org/officeDocument/2006/relationships/hyperlink" Target="https://www.ncbi.nlm.nih.gov/pubmed/?term=Zhu%20L%5BAuthor%5D&amp;cauthor=true&amp;cauthor_uid=20452699" TargetMode="External"/><Relationship Id="rId80" Type="http://schemas.openxmlformats.org/officeDocument/2006/relationships/hyperlink" Target="https://www.ncbi.nlm.nih.gov/pubmed/?term=Laurent%20S%5BAuthor%5D&amp;cauthor=true&amp;cauthor_uid=17000623" TargetMode="External"/><Relationship Id="rId85" Type="http://schemas.openxmlformats.org/officeDocument/2006/relationships/hyperlink" Target="https://www.ncbi.nlm.nih.gov/pubmed/?term=Hayoz%20D%5BAuthor%5D&amp;cauthor=true&amp;cauthor_uid=17000623" TargetMode="Externa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oleObject" Target="embeddings/oleObject2.bin"/><Relationship Id="rId25" Type="http://schemas.openxmlformats.org/officeDocument/2006/relationships/chart" Target="charts/chart6.xml"/><Relationship Id="rId33" Type="http://schemas.openxmlformats.org/officeDocument/2006/relationships/image" Target="media/image14.emf"/><Relationship Id="rId38" Type="http://schemas.openxmlformats.org/officeDocument/2006/relationships/chart" Target="charts/chart10.xml"/><Relationship Id="rId46" Type="http://schemas.openxmlformats.org/officeDocument/2006/relationships/chart" Target="charts/chart17.xml"/><Relationship Id="rId59" Type="http://schemas.openxmlformats.org/officeDocument/2006/relationships/hyperlink" Target="https://www.ncbi.nlm.nih.gov/pubmed/?term=Rutledge%20JC%5BAuthor%5D&amp;cauthor=true&amp;cauthor_uid=14525676" TargetMode="External"/><Relationship Id="rId67" Type="http://schemas.openxmlformats.org/officeDocument/2006/relationships/hyperlink" Target="https://www.ncbi.nlm.nih.gov/pubmed/?term=Yokoyama%20T%5BAuthor%5D&amp;cauthor=true&amp;cauthor_uid=23408393" TargetMode="External"/><Relationship Id="rId20" Type="http://schemas.openxmlformats.org/officeDocument/2006/relationships/image" Target="media/image4.wmf"/><Relationship Id="rId41" Type="http://schemas.openxmlformats.org/officeDocument/2006/relationships/chart" Target="charts/chart12.xml"/><Relationship Id="rId54" Type="http://schemas.openxmlformats.org/officeDocument/2006/relationships/hyperlink" Target="https://www.ncbi.nlm.nih.gov/pubmed/?term=Churzidse%20S%5BAuthor%5D&amp;cauthor=true&amp;cauthor_uid=23701995" TargetMode="External"/><Relationship Id="rId6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6999" TargetMode="External"/><Relationship Id="rId70" Type="http://schemas.openxmlformats.org/officeDocument/2006/relationships/hyperlink" Target="https://www.ncbi.nlm.nih.gov/pubmed/?term=Sabat%20R%5BAuthor%5D&amp;cauthor=true&amp;cauthor_uid=20127093" TargetMode="External"/><Relationship Id="rId75" Type="http://schemas.openxmlformats.org/officeDocument/2006/relationships/hyperlink" Target="https://www.ncbi.nlm.nih.gov/pubmed/?term=Lai%20S%5BAuthor%5D&amp;cauthor=true&amp;cauthor_uid=27413040" TargetMode="External"/><Relationship Id="rId83" Type="http://schemas.openxmlformats.org/officeDocument/2006/relationships/hyperlink" Target="https://www.ncbi.nlm.nih.gov/pubmed/?term=Boutouyrie%20P%5BAuthor%5D&amp;cauthor=true&amp;cauthor_uid=17000623"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emf"/><Relationship Id="rId36" Type="http://schemas.openxmlformats.org/officeDocument/2006/relationships/chart" Target="charts/chart8.xml"/><Relationship Id="rId49" Type="http://schemas.openxmlformats.org/officeDocument/2006/relationships/chart" Target="charts/chart20.xml"/><Relationship Id="rId57" Type="http://schemas.openxmlformats.org/officeDocument/2006/relationships/hyperlink" Target="https://www.ncbi.nlm.nih.gov/pubmed/?term=Mahabadi%20AA%5BAuthor%5D&amp;cauthor=true&amp;cauthor_uid=23701995" TargetMode="External"/><Relationship Id="rId10" Type="http://schemas.openxmlformats.org/officeDocument/2006/relationships/chart" Target="charts/chart2.xml"/><Relationship Id="rId31" Type="http://schemas.openxmlformats.org/officeDocument/2006/relationships/image" Target="media/image12.emf"/><Relationship Id="rId44" Type="http://schemas.openxmlformats.org/officeDocument/2006/relationships/chart" Target="charts/chart15.xml"/><Relationship Id="rId52" Type="http://schemas.openxmlformats.org/officeDocument/2006/relationships/hyperlink" Target="https://www.ncbi.nlm.nih.gov/pubmed/?term=Erbel%20R%5BAuthor%5D&amp;cauthor=true&amp;cauthor_uid=23701995" TargetMode="External"/><Relationship Id="rId60" Type="http://schemas.openxmlformats.org/officeDocument/2006/relationships/hyperlink" Target="https://www.ncbi.nlm.nih.gov/pubmed/?term=Berglund%20L%5BAuthor%5D&amp;cauthor=true&amp;cauthor_uid=14525676" TargetMode="External"/><Relationship Id="rId65" Type="http://schemas.openxmlformats.org/officeDocument/2006/relationships/hyperlink" Target="https://www.ahajournals.org/doi/full/10.1161/01.HYP.0000137982.10191.0a?url_ver=Z39.88-2003&amp;rfr_id=ori%3Arid%3Acrossref.org&amp;rfr_dat=cr_pub%3Dpubmed" TargetMode="External"/><Relationship Id="rId73" Type="http://schemas.openxmlformats.org/officeDocument/2006/relationships/hyperlink" Target="https://www.ncbi.nlm.nih.gov/pubmed/?term=Li%20Z%5BAuthor%5D&amp;cauthor=true&amp;cauthor_uid=20452699" TargetMode="External"/><Relationship Id="rId78" Type="http://schemas.openxmlformats.org/officeDocument/2006/relationships/hyperlink" Target="http://athero.ru/www.cardiosource.com" TargetMode="External"/><Relationship Id="rId81" Type="http://schemas.openxmlformats.org/officeDocument/2006/relationships/hyperlink" Target="https://www.ncbi.nlm.nih.gov/pubmed/?term=Cockcroft%20J%5BAuthor%5D&amp;cauthor=true&amp;cauthor_uid=17000623" TargetMode="External"/><Relationship Id="rId86" Type="http://schemas.openxmlformats.org/officeDocument/2006/relationships/hyperlink" Target="https://www.ncbi.nlm.nih.gov/pubmed/?term=Struijker-Boudier%20H%5BAuthor%5D&amp;cauthor=true&amp;cauthor_uid=1700062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Smurfs\&#1050;&#1085;&#1080;&#1075;&#1072;1%20(&#1040;&#1074;&#1090;&#1086;&#1089;&#1086;&#1093;&#1088;&#1072;&#1085;&#1077;&#1085;&#1085;&#1099;&#1081;).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_____Microsoft_Excel4.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1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dmin\AppData\Roaming\Microsoft\Excel\&#1050;&#1085;&#1080;&#1075;&#1072;1%20(version%201).xlsb"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dmin\Desktop\Smurfs\&#1050;&#1085;&#1080;&#1075;&#1072;1%20(&#1040;&#1074;&#1090;&#1086;&#1089;&#1086;&#1093;&#1088;&#1072;&#1085;&#1077;&#1085;&#1085;&#1099;&#108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dmin\Desktop\Smurfs\&#1050;&#1085;&#1080;&#1075;&#1072;1%20(&#1040;&#1074;&#1090;&#1086;&#1089;&#1086;&#1093;&#1088;&#1072;&#1085;&#1077;&#1085;&#1085;&#1099;&#108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admin\Desktop\Smurfs\&#1050;&#1085;&#1080;&#1075;&#1072;1%20(&#1040;&#1074;&#1090;&#1086;&#1089;&#1086;&#1093;&#1088;&#1072;&#1085;&#1077;&#1085;&#1085;&#1099;&#108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admin\Desktop\Smurfs\&#1050;&#1085;&#1080;&#1075;&#1072;1%20(&#1040;&#1074;&#1090;&#1086;&#1089;&#1086;&#1093;&#1088;&#1072;&#1085;&#1077;&#1085;&#1085;&#1099;&#108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admin\Desktop\Smurfs\&#1050;&#1085;&#1080;&#1075;&#1072;1%20(&#1040;&#1074;&#1090;&#1086;&#1089;&#1086;&#1093;&#1088;&#1072;&#1085;&#1077;&#1085;&#1085;&#1099;&#108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admin\Desktop\Smurfs\&#1050;&#1085;&#1080;&#1075;&#1072;1%20(&#1040;&#1074;&#1090;&#1086;&#1089;&#1086;&#1093;&#1088;&#1072;&#1085;&#1077;&#1085;&#1085;&#1099;&#108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Smurfs\&#1050;&#1085;&#1080;&#1075;&#1072;1%20(&#1040;&#1074;&#1090;&#1086;&#1089;&#1086;&#1093;&#1088;&#1072;&#1085;&#1077;&#1085;&#1085;&#1099;&#108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admin\Desktop\Smurfs\&#1050;&#1085;&#1080;&#1075;&#1072;1%20(&#1040;&#1074;&#1090;&#1086;&#1089;&#1086;&#1093;&#1088;&#1072;&#1085;&#1077;&#1085;&#1085;&#1099;&#1081;).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admin\Desktop\Smurfs\&#1050;&#1085;&#1080;&#1075;&#1072;1%20(&#1040;&#1074;&#1090;&#1086;&#1089;&#1086;&#1093;&#1088;&#1072;&#1085;&#1077;&#1085;&#1085;&#1099;&#108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Smurfs\&#1050;&#1085;&#1080;&#1075;&#1072;1%20(&#1040;&#1074;&#1090;&#1086;&#1089;&#1086;&#1093;&#1088;&#1072;&#1085;&#1077;&#1085;&#1085;&#1099;&#108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esktop\Smurfs\&#1050;&#1085;&#1080;&#1075;&#1072;1%20(&#1040;&#1074;&#1090;&#1086;&#1089;&#1086;&#1093;&#1088;&#1072;&#1085;&#1077;&#1085;&#1085;&#1099;&#108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esktop\Smurfs\&#1050;&#1085;&#1080;&#1075;&#1072;1%20(&#1040;&#1074;&#1090;&#1086;&#1089;&#1086;&#1093;&#1088;&#1072;&#1085;&#1077;&#1085;&#1085;&#1099;&#1081;).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2.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tx1">
                  <a:lumMod val="65000"/>
                  <a:lumOff val="3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0-498A-477B-B198-B0DD08B32130}"/>
              </c:ext>
            </c:extLst>
          </c:dPt>
          <c:dPt>
            <c:idx val="1"/>
            <c:bubble3D val="0"/>
            <c:spPr>
              <a:solidFill>
                <a:schemeClr val="tx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98A-477B-B198-B0DD08B32130}"/>
              </c:ext>
            </c:extLst>
          </c:dPt>
          <c:dPt>
            <c:idx val="2"/>
            <c:bubble3D val="0"/>
            <c:spPr>
              <a:solidFill>
                <a:schemeClr val="bg1">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2-498A-477B-B198-B0DD08B32130}"/>
              </c:ext>
            </c:extLst>
          </c:dPt>
          <c:dLbls>
            <c:dLbl>
              <c:idx val="0"/>
              <c:layout>
                <c:manualLayout>
                  <c:x val="1.3951006124234475E-2"/>
                  <c:y val="-1.9065689705453501E-2"/>
                </c:manualLayout>
              </c:layout>
              <c:tx>
                <c:rich>
                  <a:bodyPr/>
                  <a:lstStyle/>
                  <a:p>
                    <a:r>
                      <a:rPr lang="en-US" baseline="0">
                        <a:latin typeface="Times New Roman" pitchFamily="18" charset="0"/>
                      </a:rPr>
                      <a:t>n=12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98A-477B-B198-B0DD08B32130}"/>
                </c:ext>
              </c:extLst>
            </c:dLbl>
            <c:dLbl>
              <c:idx val="1"/>
              <c:layout>
                <c:manualLayout>
                  <c:x val="4.4417322834645688E-2"/>
                  <c:y val="2.9154272382618852E-2"/>
                </c:manualLayout>
              </c:layout>
              <c:tx>
                <c:rich>
                  <a:bodyPr/>
                  <a:lstStyle/>
                  <a:p>
                    <a:r>
                      <a:rPr lang="en-US" baseline="0">
                        <a:latin typeface="Times New Roman" pitchFamily="18" charset="0"/>
                      </a:rPr>
                      <a:t>n=25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98A-477B-B198-B0DD08B32130}"/>
                </c:ext>
              </c:extLst>
            </c:dLbl>
            <c:dLbl>
              <c:idx val="2"/>
              <c:layout>
                <c:manualLayout>
                  <c:x val="-4.1412948381452305E-2"/>
                  <c:y val="-1.1874088655584729E-2"/>
                </c:manualLayout>
              </c:layout>
              <c:tx>
                <c:rich>
                  <a:bodyPr/>
                  <a:lstStyle/>
                  <a:p>
                    <a:r>
                      <a:rPr lang="en-US" baseline="0">
                        <a:latin typeface="Times New Roman" pitchFamily="18" charset="0"/>
                      </a:rPr>
                      <a:t>n=96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98A-477B-B198-B0DD08B32130}"/>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itchFamily="18" charset="0"/>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Лист6!$A$3:$A$5</c:f>
              <c:strCache>
                <c:ptCount val="3"/>
                <c:pt idx="0">
                  <c:v>КГ</c:v>
                </c:pt>
                <c:pt idx="1">
                  <c:v>ГХ</c:v>
                </c:pt>
                <c:pt idx="2">
                  <c:v>ГХ+ОЖ</c:v>
                </c:pt>
              </c:strCache>
            </c:strRef>
          </c:cat>
          <c:val>
            <c:numRef>
              <c:f>Лист6!$B$3:$B$5</c:f>
              <c:numCache>
                <c:formatCode>General</c:formatCode>
                <c:ptCount val="3"/>
                <c:pt idx="0">
                  <c:v>12</c:v>
                </c:pt>
                <c:pt idx="1">
                  <c:v>25</c:v>
                </c:pt>
                <c:pt idx="2">
                  <c:v>96</c:v>
                </c:pt>
              </c:numCache>
            </c:numRef>
          </c:val>
          <c:extLst>
            <c:ext xmlns:c16="http://schemas.microsoft.com/office/drawing/2014/chart" uri="{C3380CC4-5D6E-409C-BE32-E72D297353CC}">
              <c16:uniqueId val="{00000003-498A-477B-B198-B0DD08B32130}"/>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5.2569444444444516E-2"/>
          <c:y val="3.4305711786026795E-2"/>
          <c:w val="0.63727763196267162"/>
          <c:h val="0.84494063242094875"/>
        </c:manualLayout>
      </c:layout>
      <c:barChart>
        <c:barDir val="col"/>
        <c:grouping val="clustered"/>
        <c:varyColors val="0"/>
        <c:ser>
          <c:idx val="0"/>
          <c:order val="0"/>
          <c:tx>
            <c:strRef>
              <c:f>Лист1!$B$1</c:f>
              <c:strCache>
                <c:ptCount val="1"/>
                <c:pt idx="0">
                  <c:v>ХС ЛПНЩ (натще)</c:v>
                </c:pt>
              </c:strCache>
            </c:strRef>
          </c:tx>
          <c:invertIfNegative val="0"/>
          <c:cat>
            <c:strRef>
              <c:f>Лист1!$A$2:$A$4</c:f>
              <c:strCache>
                <c:ptCount val="3"/>
                <c:pt idx="0">
                  <c:v>КГ</c:v>
                </c:pt>
                <c:pt idx="1">
                  <c:v>ГХ</c:v>
                </c:pt>
                <c:pt idx="2">
                  <c:v>ГХ+ОЖ</c:v>
                </c:pt>
              </c:strCache>
            </c:strRef>
          </c:cat>
          <c:val>
            <c:numRef>
              <c:f>Лист1!$B$2:$B$4</c:f>
              <c:numCache>
                <c:formatCode>General</c:formatCode>
                <c:ptCount val="3"/>
                <c:pt idx="0">
                  <c:v>1.53</c:v>
                </c:pt>
                <c:pt idx="1">
                  <c:v>3.1</c:v>
                </c:pt>
                <c:pt idx="2">
                  <c:v>4.5</c:v>
                </c:pt>
              </c:numCache>
            </c:numRef>
          </c:val>
          <c:extLst>
            <c:ext xmlns:c16="http://schemas.microsoft.com/office/drawing/2014/chart" uri="{C3380CC4-5D6E-409C-BE32-E72D297353CC}">
              <c16:uniqueId val="{00000000-6907-4683-8378-4FAA7779828B}"/>
            </c:ext>
          </c:extLst>
        </c:ser>
        <c:ser>
          <c:idx val="1"/>
          <c:order val="1"/>
          <c:tx>
            <c:strRef>
              <c:f>Лист1!$C$1</c:f>
              <c:strCache>
                <c:ptCount val="1"/>
                <c:pt idx="0">
                  <c:v>ХС ЛПНЩ (постпрандіально)</c:v>
                </c:pt>
              </c:strCache>
            </c:strRef>
          </c:tx>
          <c:invertIfNegative val="0"/>
          <c:cat>
            <c:strRef>
              <c:f>Лист1!$A$2:$A$4</c:f>
              <c:strCache>
                <c:ptCount val="3"/>
                <c:pt idx="0">
                  <c:v>КГ</c:v>
                </c:pt>
                <c:pt idx="1">
                  <c:v>ГХ</c:v>
                </c:pt>
                <c:pt idx="2">
                  <c:v>ГХ+ОЖ</c:v>
                </c:pt>
              </c:strCache>
            </c:strRef>
          </c:cat>
          <c:val>
            <c:numRef>
              <c:f>Лист1!$C$2:$C$4</c:f>
              <c:numCache>
                <c:formatCode>General</c:formatCode>
                <c:ptCount val="3"/>
                <c:pt idx="0">
                  <c:v>1.1900000000000015</c:v>
                </c:pt>
                <c:pt idx="1">
                  <c:v>3.9</c:v>
                </c:pt>
                <c:pt idx="2">
                  <c:v>5.3</c:v>
                </c:pt>
              </c:numCache>
            </c:numRef>
          </c:val>
          <c:extLst>
            <c:ext xmlns:c16="http://schemas.microsoft.com/office/drawing/2014/chart" uri="{C3380CC4-5D6E-409C-BE32-E72D297353CC}">
              <c16:uniqueId val="{00000001-6907-4683-8378-4FAA7779828B}"/>
            </c:ext>
          </c:extLst>
        </c:ser>
        <c:dLbls>
          <c:showLegendKey val="0"/>
          <c:showVal val="0"/>
          <c:showCatName val="0"/>
          <c:showSerName val="0"/>
          <c:showPercent val="0"/>
          <c:showBubbleSize val="0"/>
        </c:dLbls>
        <c:gapWidth val="150"/>
        <c:axId val="70653056"/>
        <c:axId val="70654592"/>
      </c:barChart>
      <c:catAx>
        <c:axId val="70653056"/>
        <c:scaling>
          <c:orientation val="minMax"/>
        </c:scaling>
        <c:delete val="0"/>
        <c:axPos val="b"/>
        <c:numFmt formatCode="General" sourceLinked="0"/>
        <c:majorTickMark val="out"/>
        <c:minorTickMark val="none"/>
        <c:tickLblPos val="nextTo"/>
        <c:crossAx val="70654592"/>
        <c:crosses val="autoZero"/>
        <c:auto val="1"/>
        <c:lblAlgn val="ctr"/>
        <c:lblOffset val="100"/>
        <c:noMultiLvlLbl val="0"/>
      </c:catAx>
      <c:valAx>
        <c:axId val="70654592"/>
        <c:scaling>
          <c:orientation val="minMax"/>
        </c:scaling>
        <c:delete val="0"/>
        <c:axPos val="l"/>
        <c:majorGridlines/>
        <c:numFmt formatCode="General" sourceLinked="1"/>
        <c:majorTickMark val="out"/>
        <c:minorTickMark val="none"/>
        <c:tickLblPos val="nextTo"/>
        <c:crossAx val="70653056"/>
        <c:crosses val="autoZero"/>
        <c:crossBetween val="between"/>
      </c:valAx>
    </c:plotArea>
    <c:legend>
      <c:legendPos val="r"/>
      <c:layout/>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8.3333333333333343E-2"/>
          <c:y val="0.1149335744796607"/>
          <c:w val="0.82407407407407496"/>
          <c:h val="0.69160825485049715"/>
        </c:manualLayout>
      </c:layout>
      <c:pie3DChart>
        <c:varyColors val="1"/>
        <c:ser>
          <c:idx val="0"/>
          <c:order val="0"/>
          <c:tx>
            <c:strRef>
              <c:f>Лист1!$B$1</c:f>
              <c:strCache>
                <c:ptCount val="1"/>
                <c:pt idx="0">
                  <c:v>Столбец1</c:v>
                </c:pt>
              </c:strCache>
            </c:strRef>
          </c:tx>
          <c:explosion val="27"/>
          <c:dLbls>
            <c:dLbl>
              <c:idx val="1"/>
              <c:layout>
                <c:manualLayout>
                  <c:x val="-0.10636646981627304"/>
                  <c:y val="-0.27599608872420395"/>
                </c:manualLayout>
              </c:layout>
              <c:tx>
                <c:rich>
                  <a:bodyPr/>
                  <a:lstStyle/>
                  <a:p>
                    <a:r>
                      <a:rPr lang="ru-RU" baseline="0"/>
                      <a:t>КГ
</a:t>
                    </a:r>
                    <a:fld id="{AF0BB67D-30A6-4138-BC9E-D4500D166A4D}" type="PERCENTAGE">
                      <a:rPr lang="en-US" baseline="0"/>
                      <a:pPr/>
                      <a:t>[ПРОЦЕНТ]</a:t>
                    </a:fld>
                    <a:endParaRPr lang="ru-RU"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C642-4DD8-B1BF-E1049D0ECED6}"/>
                </c:ext>
              </c:extLst>
            </c:dLbl>
            <c:dLbl>
              <c:idx val="2"/>
              <c:layout>
                <c:manualLayout>
                  <c:x val="9.131340413843618E-2"/>
                  <c:y val="1.4782211212364645E-4"/>
                </c:manualLayout>
              </c:layout>
              <c:tx>
                <c:rich>
                  <a:bodyPr/>
                  <a:lstStyle/>
                  <a:p>
                    <a:r>
                      <a:rPr lang="ru-RU"/>
                      <a:t>КР</a:t>
                    </a:r>
                    <a:r>
                      <a:rPr lang="ru-RU" baseline="0"/>
                      <a:t>
</a:t>
                    </a:r>
                    <a:fld id="{7695D468-FD18-46CB-9D26-5494CD4F4BD1}" type="PERCENTAGE">
                      <a:rPr lang="en-US" baseline="0"/>
                      <a:pPr/>
                      <a:t>[ПРОЦЕНТ]</a:t>
                    </a:fld>
                    <a:endParaRPr lang="ru-RU"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C642-4DD8-B1BF-E1049D0ECED6}"/>
                </c:ext>
              </c:extLst>
            </c:dLbl>
            <c:dLbl>
              <c:idx val="3"/>
              <c:layout>
                <c:manualLayout>
                  <c:x val="8.6122810230116587E-2"/>
                  <c:y val="4.6940799066783306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C642-4DD8-B1BF-E1049D0ECED6}"/>
                </c:ext>
              </c:extLst>
            </c:dLbl>
            <c:spPr>
              <a:noFill/>
              <a:ln>
                <a:noFill/>
              </a:ln>
              <a:effectLst/>
            </c:spPr>
            <c:txPr>
              <a:bodyPr/>
              <a:lstStyle/>
              <a:p>
                <a:pPr>
                  <a:defRPr sz="1400">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Лист1!$A$2:$A$5</c:f>
              <c:strCache>
                <c:ptCount val="4"/>
                <c:pt idx="0">
                  <c:v>НГ</c:v>
                </c:pt>
                <c:pt idx="1">
                  <c:v>КР</c:v>
                </c:pt>
                <c:pt idx="2">
                  <c:v>КГ</c:v>
                </c:pt>
                <c:pt idx="3">
                  <c:v>ЕГ</c:v>
                </c:pt>
              </c:strCache>
            </c:strRef>
          </c:cat>
          <c:val>
            <c:numRef>
              <c:f>Лист1!$B$2:$B$5</c:f>
              <c:numCache>
                <c:formatCode>0.00%</c:formatCode>
                <c:ptCount val="4"/>
                <c:pt idx="0">
                  <c:v>0.23300000000000001</c:v>
                </c:pt>
                <c:pt idx="1">
                  <c:v>0.47700000000000026</c:v>
                </c:pt>
                <c:pt idx="2">
                  <c:v>0.17400000000000004</c:v>
                </c:pt>
                <c:pt idx="3">
                  <c:v>0.11600000000000002</c:v>
                </c:pt>
              </c:numCache>
            </c:numRef>
          </c:val>
          <c:extLst>
            <c:ext xmlns:c16="http://schemas.microsoft.com/office/drawing/2014/chart" uri="{C3380CC4-5D6E-409C-BE32-E72D297353CC}">
              <c16:uniqueId val="{00000003-C642-4DD8-B1BF-E1049D0ECED6}"/>
            </c:ext>
          </c:extLst>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bg1">
                <a:lumMod val="85000"/>
              </a:schemeClr>
            </a:solidFill>
            <a:ln>
              <a:noFill/>
            </a:ln>
            <a:effectLst>
              <a:innerShdw blurRad="114300">
                <a:scrgbClr r="0" g="0" b="0"/>
              </a:innerShdw>
            </a:effectLst>
            <a:sp3d/>
          </c:spPr>
          <c:invertIfNegative val="0"/>
          <c:dPt>
            <c:idx val="1"/>
            <c:invertIfNegative val="0"/>
            <c:bubble3D val="0"/>
            <c:spPr>
              <a:solidFill>
                <a:schemeClr val="tx1">
                  <a:lumMod val="65000"/>
                  <a:lumOff val="35000"/>
                </a:schemeClr>
              </a:solidFill>
              <a:ln>
                <a:noFill/>
              </a:ln>
              <a:effectLst>
                <a:innerShdw blurRad="114300">
                  <a:scrgbClr r="0" g="0" b="0"/>
                </a:innerShdw>
              </a:effectLst>
              <a:sp3d/>
            </c:spPr>
            <c:extLst>
              <c:ext xmlns:c16="http://schemas.microsoft.com/office/drawing/2014/chart" uri="{C3380CC4-5D6E-409C-BE32-E72D297353CC}">
                <c16:uniqueId val="{00000000-5DE5-4BCA-A1CC-5A271B4B0902}"/>
              </c:ext>
            </c:extLst>
          </c:dPt>
          <c:dLbls>
            <c:dLbl>
              <c:idx val="0"/>
              <c:layout>
                <c:manualLayout>
                  <c:x val="0.13827160493827154"/>
                  <c:y val="-6.3424194451549565E-2"/>
                </c:manualLayout>
              </c:layout>
              <c:tx>
                <c:rich>
                  <a:bodyPr/>
                  <a:lstStyle/>
                  <a:p>
                    <a:fld id="{7CDB4820-6B51-4121-935B-9F421C13A02B}" type="VALUE">
                      <a:rPr lang="ru-RU" sz="1200" b="1"/>
                      <a:pPr/>
                      <a:t>[ЗНАЧЕНИЕ]</a:t>
                    </a:fld>
                    <a:r>
                      <a:rPr lang="ru-RU" sz="1200" b="1"/>
                      <a:t> </a:t>
                    </a:r>
                  </a:p>
                  <a:p>
                    <a:r>
                      <a:rPr lang="ru-RU"/>
                      <a:t>(18,77; 20,15) пг/мл</a:t>
                    </a:r>
                  </a:p>
                </c:rich>
              </c:tx>
              <c:showLegendKey val="0"/>
              <c:showVal val="1"/>
              <c:showCatName val="0"/>
              <c:showSerName val="0"/>
              <c:showPercent val="0"/>
              <c:showBubbleSize val="0"/>
              <c:extLst>
                <c:ext xmlns:c15="http://schemas.microsoft.com/office/drawing/2012/chart" uri="{CE6537A1-D6FC-4f65-9D91-7224C49458BB}">
                  <c15:layout>
                    <c:manualLayout>
                      <c:w val="0.2561344415281423"/>
                      <c:h val="0.18342605272167067"/>
                    </c:manualLayout>
                  </c15:layout>
                  <c15:dlblFieldTable/>
                  <c15:showDataLabelsRange val="0"/>
                </c:ext>
                <c:ext xmlns:c16="http://schemas.microsoft.com/office/drawing/2014/chart" uri="{C3380CC4-5D6E-409C-BE32-E72D297353CC}">
                  <c16:uniqueId val="{00000001-5DE5-4BCA-A1CC-5A271B4B0902}"/>
                </c:ext>
              </c:extLst>
            </c:dLbl>
            <c:dLbl>
              <c:idx val="1"/>
              <c:layout>
                <c:manualLayout>
                  <c:x val="0.21593212306794973"/>
                  <c:y val="3.9452575012846838E-2"/>
                </c:manualLayout>
              </c:layout>
              <c:tx>
                <c:rich>
                  <a:bodyPr rot="0" spcFirstLastPara="1" vertOverflow="ellipsis" vert="horz" wrap="square" lIns="38100" tIns="19050" rIns="38100" bIns="19050" anchor="ctr" anchorCtr="0">
                    <a:noAutofit/>
                  </a:bodyPr>
                  <a:lstStyle/>
                  <a:p>
                    <a:pPr algn="l">
                      <a:defRPr sz="900" b="0" i="0" u="none" strike="noStrike" kern="1200" baseline="0">
                        <a:solidFill>
                          <a:schemeClr val="tx1">
                            <a:lumMod val="75000"/>
                            <a:lumOff val="25000"/>
                          </a:schemeClr>
                        </a:solidFill>
                        <a:latin typeface="+mn-lt"/>
                        <a:ea typeface="+mn-ea"/>
                        <a:cs typeface="+mn-cs"/>
                      </a:defRPr>
                    </a:pPr>
                    <a:fld id="{CE801057-18BA-43A2-BFB4-76FA5925550C}" type="VALUE">
                      <a:rPr lang="ru-RU" sz="1200" b="1"/>
                      <a:pPr algn="l">
                        <a:defRPr sz="900" b="0" i="0" u="none" strike="noStrike" kern="1200" baseline="0">
                          <a:solidFill>
                            <a:schemeClr val="tx1">
                              <a:lumMod val="75000"/>
                              <a:lumOff val="25000"/>
                            </a:schemeClr>
                          </a:solidFill>
                          <a:latin typeface="+mn-lt"/>
                          <a:ea typeface="+mn-ea"/>
                          <a:cs typeface="+mn-cs"/>
                        </a:defRPr>
                      </a:pPr>
                      <a:t>[ЗНАЧЕНИЕ]</a:t>
                    </a:fld>
                    <a:endParaRPr lang="ru-RU" sz="1200" b="1"/>
                  </a:p>
                  <a:p>
                    <a:pPr algn="l">
                      <a:defRPr sz="900" b="0" i="0" u="none" strike="noStrike" kern="1200" baseline="0">
                        <a:solidFill>
                          <a:schemeClr val="tx1">
                            <a:lumMod val="75000"/>
                            <a:lumOff val="25000"/>
                          </a:schemeClr>
                        </a:solidFill>
                        <a:latin typeface="+mn-lt"/>
                        <a:ea typeface="+mn-ea"/>
                        <a:cs typeface="+mn-cs"/>
                      </a:defRPr>
                    </a:pPr>
                    <a:r>
                      <a:rPr lang="ru-RU"/>
                      <a:t>(25,50;</a:t>
                    </a:r>
                    <a:r>
                      <a:rPr lang="ru-RU" baseline="0"/>
                      <a:t> 87,68)</a:t>
                    </a:r>
                  </a:p>
                  <a:p>
                    <a:pPr algn="l">
                      <a:defRPr sz="900" b="0" i="0" u="none" strike="noStrike" kern="1200" baseline="0">
                        <a:solidFill>
                          <a:schemeClr val="tx1">
                            <a:lumMod val="75000"/>
                            <a:lumOff val="25000"/>
                          </a:schemeClr>
                        </a:solidFill>
                        <a:latin typeface="+mn-lt"/>
                        <a:ea typeface="+mn-ea"/>
                        <a:cs typeface="+mn-cs"/>
                      </a:defRPr>
                    </a:pPr>
                    <a:r>
                      <a:rPr lang="ru-RU" baseline="0"/>
                      <a:t>пг/мл</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23182511908233691"/>
                      <c:h val="0.27958263338241629"/>
                    </c:manualLayout>
                  </c15:layout>
                  <c15:dlblFieldTable/>
                  <c15:showDataLabelsRange val="0"/>
                </c:ext>
                <c:ext xmlns:c16="http://schemas.microsoft.com/office/drawing/2014/chart" uri="{C3380CC4-5D6E-409C-BE32-E72D297353CC}">
                  <c16:uniqueId val="{00000000-5DE5-4BCA-A1CC-5A271B4B090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Лист1!$A$1:$A$2</c:f>
              <c:strCache>
                <c:ptCount val="2"/>
                <c:pt idx="0">
                  <c:v>Контрольна група</c:v>
                </c:pt>
                <c:pt idx="1">
                  <c:v>Пацієнти на ГХ</c:v>
                </c:pt>
              </c:strCache>
            </c:strRef>
          </c:cat>
          <c:val>
            <c:numRef>
              <c:f>Лист1!$B$1:$B$2</c:f>
              <c:numCache>
                <c:formatCode>General</c:formatCode>
                <c:ptCount val="2"/>
                <c:pt idx="0">
                  <c:v>19.809999999999999</c:v>
                </c:pt>
                <c:pt idx="1">
                  <c:v>28.88</c:v>
                </c:pt>
              </c:numCache>
            </c:numRef>
          </c:val>
          <c:shape val="cylinder"/>
          <c:extLst>
            <c:ext xmlns:c16="http://schemas.microsoft.com/office/drawing/2014/chart" uri="{C3380CC4-5D6E-409C-BE32-E72D297353CC}">
              <c16:uniqueId val="{00000002-5DE5-4BCA-A1CC-5A271B4B0902}"/>
            </c:ext>
          </c:extLst>
        </c:ser>
        <c:dLbls>
          <c:showLegendKey val="0"/>
          <c:showVal val="0"/>
          <c:showCatName val="0"/>
          <c:showSerName val="0"/>
          <c:showPercent val="0"/>
          <c:showBubbleSize val="0"/>
        </c:dLbls>
        <c:gapWidth val="164"/>
        <c:shape val="box"/>
        <c:axId val="71058176"/>
        <c:axId val="71059712"/>
        <c:axId val="0"/>
      </c:bar3DChart>
      <c:catAx>
        <c:axId val="7105817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059712"/>
        <c:crosses val="autoZero"/>
        <c:auto val="1"/>
        <c:lblAlgn val="ctr"/>
        <c:lblOffset val="100"/>
        <c:noMultiLvlLbl val="0"/>
      </c:catAx>
      <c:valAx>
        <c:axId val="7105971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058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0"/>
            <c:invertIfNegative val="0"/>
            <c:bubble3D val="0"/>
            <c:spPr>
              <a:solidFill>
                <a:schemeClr val="bg1">
                  <a:lumMod val="75000"/>
                </a:schemeClr>
              </a:solidFill>
              <a:ln>
                <a:noFill/>
              </a:ln>
              <a:effectLst/>
              <a:sp3d/>
            </c:spPr>
            <c:extLst>
              <c:ext xmlns:c16="http://schemas.microsoft.com/office/drawing/2014/chart" uri="{C3380CC4-5D6E-409C-BE32-E72D297353CC}">
                <c16:uniqueId val="{00000000-2ED1-4D58-A4E6-1F588F5EBD95}"/>
              </c:ext>
            </c:extLst>
          </c:dPt>
          <c:dPt>
            <c:idx val="1"/>
            <c:invertIfNegative val="0"/>
            <c:bubble3D val="0"/>
            <c:spPr>
              <a:solidFill>
                <a:schemeClr val="bg2">
                  <a:lumMod val="50000"/>
                </a:schemeClr>
              </a:solidFill>
              <a:ln>
                <a:noFill/>
              </a:ln>
              <a:effectLst/>
              <a:sp3d/>
            </c:spPr>
            <c:extLst>
              <c:ext xmlns:c16="http://schemas.microsoft.com/office/drawing/2014/chart" uri="{C3380CC4-5D6E-409C-BE32-E72D297353CC}">
                <c16:uniqueId val="{00000001-2ED1-4D58-A4E6-1F588F5EBD95}"/>
              </c:ext>
            </c:extLst>
          </c:dPt>
          <c:dPt>
            <c:idx val="2"/>
            <c:invertIfNegative val="0"/>
            <c:bubble3D val="0"/>
            <c:spPr>
              <a:solidFill>
                <a:schemeClr val="tx1">
                  <a:lumMod val="85000"/>
                  <a:lumOff val="15000"/>
                </a:schemeClr>
              </a:solidFill>
              <a:ln>
                <a:noFill/>
              </a:ln>
              <a:effectLst/>
              <a:sp3d/>
            </c:spPr>
            <c:extLst>
              <c:ext xmlns:c16="http://schemas.microsoft.com/office/drawing/2014/chart" uri="{C3380CC4-5D6E-409C-BE32-E72D297353CC}">
                <c16:uniqueId val="{00000002-2ED1-4D58-A4E6-1F588F5EBD95}"/>
              </c:ext>
            </c:extLst>
          </c:dPt>
          <c:dLbls>
            <c:dLbl>
              <c:idx val="0"/>
              <c:layout>
                <c:manualLayout>
                  <c:x val="-3.0555555555555582E-2"/>
                  <c:y val="-3.2407407407407447E-2"/>
                </c:manualLayout>
              </c:layout>
              <c:tx>
                <c:rich>
                  <a:bodyPr/>
                  <a:lstStyle/>
                  <a:p>
                    <a:fld id="{19F1678C-F2BA-4EE1-9EE4-55E217272372}" type="VALUE">
                      <a:rPr lang="ru-RU" sz="1200" b="1"/>
                      <a:pPr/>
                      <a:t>[ЗНАЧЕНИЕ]</a:t>
                    </a:fld>
                    <a:r>
                      <a:rPr lang="ru-RU" sz="1200" b="1"/>
                      <a:t> </a:t>
                    </a:r>
                    <a:r>
                      <a:rPr lang="ru-RU"/>
                      <a:t>(22,47;23,76)</a:t>
                    </a:r>
                  </a:p>
                  <a:p>
                    <a:r>
                      <a:rPr lang="ru-RU"/>
                      <a:t>пг/мл</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2ED1-4D58-A4E6-1F588F5EBD95}"/>
                </c:ext>
              </c:extLst>
            </c:dLbl>
            <c:dLbl>
              <c:idx val="1"/>
              <c:layout>
                <c:manualLayout>
                  <c:x val="-1.9373079166386302E-2"/>
                  <c:y val="-3.2407407407407447E-2"/>
                </c:manualLayout>
              </c:layout>
              <c:tx>
                <c:rich>
                  <a:bodyPr/>
                  <a:lstStyle/>
                  <a:p>
                    <a:fld id="{92F966D1-45BE-496F-9F2A-219231C97AE9}" type="VALUE">
                      <a:rPr lang="ru-RU" sz="1200" b="1"/>
                      <a:pPr/>
                      <a:t>[ЗНАЧЕНИЕ]</a:t>
                    </a:fld>
                    <a:r>
                      <a:rPr lang="ru-RU"/>
                      <a:t> </a:t>
                    </a:r>
                  </a:p>
                  <a:p>
                    <a:r>
                      <a:rPr lang="ru-RU"/>
                      <a:t>(27,49; 28,94)</a:t>
                    </a:r>
                  </a:p>
                  <a:p>
                    <a:r>
                      <a:rPr lang="ru-RU"/>
                      <a:t>пг/мл)</a:t>
                    </a:r>
                  </a:p>
                </c:rich>
              </c:tx>
              <c:showLegendKey val="0"/>
              <c:showVal val="1"/>
              <c:showCatName val="0"/>
              <c:showSerName val="0"/>
              <c:showPercent val="0"/>
              <c:showBubbleSize val="0"/>
              <c:extLst>
                <c:ext xmlns:c15="http://schemas.microsoft.com/office/drawing/2012/chart" uri="{CE6537A1-D6FC-4f65-9D91-7224C49458BB}">
                  <c15:layout>
                    <c:manualLayout>
                      <c:w val="0.2080307669874599"/>
                      <c:h val="0.34566283722731378"/>
                    </c:manualLayout>
                  </c15:layout>
                  <c15:dlblFieldTable/>
                  <c15:showDataLabelsRange val="0"/>
                </c:ext>
                <c:ext xmlns:c16="http://schemas.microsoft.com/office/drawing/2014/chart" uri="{C3380CC4-5D6E-409C-BE32-E72D297353CC}">
                  <c16:uniqueId val="{00000001-2ED1-4D58-A4E6-1F588F5EBD95}"/>
                </c:ext>
              </c:extLst>
            </c:dLbl>
            <c:dLbl>
              <c:idx val="2"/>
              <c:layout>
                <c:manualLayout>
                  <c:x val="4.5584045584045586E-2"/>
                  <c:y val="-7.0860763306226067E-3"/>
                </c:manualLayout>
              </c:layout>
              <c:tx>
                <c:rich>
                  <a:bodyPr/>
                  <a:lstStyle/>
                  <a:p>
                    <a:fld id="{5CD87C15-B27A-4BD6-88C2-D00FCFAD8258}" type="VALUE">
                      <a:rPr lang="ru-RU" sz="1200" b="1"/>
                      <a:pPr/>
                      <a:t>[ЗНАЧЕНИЕ]</a:t>
                    </a:fld>
                    <a:r>
                      <a:rPr lang="ru-RU" sz="1200" b="1"/>
                      <a:t> </a:t>
                    </a:r>
                    <a:r>
                      <a:rPr lang="ru-RU"/>
                      <a:t>(35,23;53,02)</a:t>
                    </a:r>
                  </a:p>
                  <a:p>
                    <a:r>
                      <a:rPr lang="ru-RU"/>
                      <a:t>пг/мл)</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2ED1-4D58-A4E6-1F588F5EBD9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Лист2!$A$1:$A$3</c:f>
              <c:strCache>
                <c:ptCount val="3"/>
                <c:pt idx="0">
                  <c:v>ГХ</c:v>
                </c:pt>
                <c:pt idx="1">
                  <c:v>ГХ + НМТ</c:v>
                </c:pt>
                <c:pt idx="2">
                  <c:v>ГХ + ОЖ</c:v>
                </c:pt>
              </c:strCache>
            </c:strRef>
          </c:cat>
          <c:val>
            <c:numRef>
              <c:f>Лист2!$B$1:$B$3</c:f>
              <c:numCache>
                <c:formatCode>General</c:formatCode>
                <c:ptCount val="3"/>
                <c:pt idx="0">
                  <c:v>23.14</c:v>
                </c:pt>
                <c:pt idx="1">
                  <c:v>28.64</c:v>
                </c:pt>
                <c:pt idx="2">
                  <c:v>40.050000000000004</c:v>
                </c:pt>
              </c:numCache>
            </c:numRef>
          </c:val>
          <c:shape val="cylinder"/>
          <c:extLst>
            <c:ext xmlns:c16="http://schemas.microsoft.com/office/drawing/2014/chart" uri="{C3380CC4-5D6E-409C-BE32-E72D297353CC}">
              <c16:uniqueId val="{00000003-2ED1-4D58-A4E6-1F588F5EBD95}"/>
            </c:ext>
          </c:extLst>
        </c:ser>
        <c:dLbls>
          <c:showLegendKey val="0"/>
          <c:showVal val="0"/>
          <c:showCatName val="0"/>
          <c:showSerName val="0"/>
          <c:showPercent val="0"/>
          <c:showBubbleSize val="0"/>
        </c:dLbls>
        <c:gapWidth val="150"/>
        <c:shape val="box"/>
        <c:axId val="71080960"/>
        <c:axId val="71086848"/>
        <c:axId val="0"/>
      </c:bar3DChart>
      <c:catAx>
        <c:axId val="710809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086848"/>
        <c:crosses val="autoZero"/>
        <c:auto val="1"/>
        <c:lblAlgn val="ctr"/>
        <c:lblOffset val="100"/>
        <c:noMultiLvlLbl val="0"/>
      </c:catAx>
      <c:valAx>
        <c:axId val="71086848"/>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080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Лист2!$B$24</c:f>
              <c:strCache>
                <c:ptCount val="1"/>
                <c:pt idx="0">
                  <c:v>САТ мм рт.ст.</c:v>
                </c:pt>
              </c:strCache>
            </c:strRef>
          </c:tx>
          <c:spPr>
            <a:solidFill>
              <a:schemeClr val="bg1">
                <a:lumMod val="75000"/>
              </a:schemeClr>
            </a:solidFill>
            <a:ln>
              <a:noFill/>
            </a:ln>
            <a:effectLst/>
            <a:sp3d/>
          </c:spPr>
          <c:invertIfNegative val="0"/>
          <c:dLbls>
            <c:dLbl>
              <c:idx val="0"/>
              <c:layout>
                <c:manualLayout>
                  <c:x val="-1.8724279835390947E-2"/>
                  <c:y val="8.4196206243450332E-3"/>
                </c:manualLayout>
              </c:layout>
              <c:tx>
                <c:rich>
                  <a:bodyPr rot="0" spcFirstLastPara="1" vertOverflow="ellipsis" vert="horz" wrap="square" lIns="38100" tIns="19050" rIns="38100" bIns="19050" anchor="ctr" anchorCtr="1">
                    <a:noAutofit/>
                  </a:bodyPr>
                  <a:lstStyle/>
                  <a:p>
                    <a:pPr>
                      <a:defRPr sz="1200" b="1" i="0" u="none" strike="noStrike" kern="1200" baseline="0">
                        <a:solidFill>
                          <a:schemeClr val="tx1">
                            <a:lumMod val="75000"/>
                            <a:lumOff val="25000"/>
                          </a:schemeClr>
                        </a:solidFill>
                        <a:latin typeface="+mn-lt"/>
                        <a:ea typeface="+mn-ea"/>
                        <a:cs typeface="+mn-cs"/>
                      </a:defRPr>
                    </a:pPr>
                    <a:fld id="{29D8F001-FDDC-434A-AE9A-B9BBA912301E}" type="VALUE">
                      <a:rPr lang="en-US"/>
                      <a:pPr>
                        <a:defRPr sz="1200" b="1" i="0" u="none" strike="noStrike" kern="1200" baseline="0">
                          <a:solidFill>
                            <a:schemeClr val="tx1">
                              <a:lumMod val="75000"/>
                              <a:lumOff val="25000"/>
                            </a:schemeClr>
                          </a:solidFill>
                          <a:latin typeface="+mn-lt"/>
                          <a:ea typeface="+mn-ea"/>
                          <a:cs typeface="+mn-cs"/>
                        </a:defRPr>
                      </a:pPr>
                      <a:t>[ЗНАЧЕНИЕ]</a:t>
                    </a:fld>
                    <a:r>
                      <a:rPr lang="en-US"/>
                      <a:t> </a:t>
                    </a:r>
                  </a:p>
                  <a:p>
                    <a:pPr>
                      <a:defRPr sz="1200" b="1" i="0" u="none" strike="noStrike" kern="1200" baseline="0">
                        <a:solidFill>
                          <a:schemeClr val="tx1">
                            <a:lumMod val="75000"/>
                            <a:lumOff val="25000"/>
                          </a:schemeClr>
                        </a:solidFill>
                        <a:latin typeface="+mn-lt"/>
                        <a:ea typeface="+mn-ea"/>
                        <a:cs typeface="+mn-cs"/>
                      </a:defRPr>
                    </a:pPr>
                    <a:r>
                      <a:rPr lang="en-US" sz="1000"/>
                      <a:t>(</a:t>
                    </a:r>
                    <a:r>
                      <a:rPr lang="en-US" sz="1000" b="0"/>
                      <a:t>130;150)</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26646819610511652"/>
                      <c:h val="0.22336486785305684"/>
                    </c:manualLayout>
                  </c15:layout>
                  <c15:dlblFieldTable/>
                  <c15:showDataLabelsRange val="0"/>
                </c:ext>
                <c:ext xmlns:c16="http://schemas.microsoft.com/office/drawing/2014/chart" uri="{C3380CC4-5D6E-409C-BE32-E72D297353CC}">
                  <c16:uniqueId val="{00000000-2F7B-40F1-92F7-625717FEE6E0}"/>
                </c:ext>
              </c:extLst>
            </c:dLbl>
            <c:dLbl>
              <c:idx val="1"/>
              <c:layout>
                <c:manualLayout>
                  <c:x val="-6.666666666666668E-2"/>
                  <c:y val="-1.0609445340016716E-17"/>
                </c:manualLayout>
              </c:layout>
              <c:tx>
                <c:rich>
                  <a:bodyPr/>
                  <a:lstStyle/>
                  <a:p>
                    <a:fld id="{8C200E10-4C0A-4635-8556-6877CDDEB49E}" type="VALUE">
                      <a:rPr lang="en-US"/>
                      <a:pPr/>
                      <a:t>[ЗНАЧЕНИЕ]</a:t>
                    </a:fld>
                    <a:endParaRPr lang="en-US"/>
                  </a:p>
                  <a:p>
                    <a:r>
                      <a:rPr lang="en-US" sz="1000" b="0"/>
                      <a:t>(140;160)</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2F7B-40F1-92F7-625717FEE6E0}"/>
                </c:ext>
              </c:extLst>
            </c:dLbl>
            <c:dLbl>
              <c:idx val="2"/>
              <c:layout>
                <c:manualLayout>
                  <c:x val="-7.5000000000000108E-2"/>
                  <c:y val="3.2407407407407447E-2"/>
                </c:manualLayout>
              </c:layout>
              <c:tx>
                <c:rich>
                  <a:bodyPr/>
                  <a:lstStyle/>
                  <a:p>
                    <a:fld id="{A7FDAEAD-4D8F-4914-BC6E-A630DA77013B}" type="VALUE">
                      <a:rPr lang="en-US"/>
                      <a:pPr/>
                      <a:t>[ЗНАЧЕНИЕ]</a:t>
                    </a:fld>
                    <a:endParaRPr lang="en-US"/>
                  </a:p>
                  <a:p>
                    <a:r>
                      <a:rPr lang="en-US" sz="1000" b="0"/>
                      <a:t>(160;170)</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2F7B-40F1-92F7-625717FEE6E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Лист2!$A$25:$A$27</c:f>
              <c:strCache>
                <c:ptCount val="3"/>
                <c:pt idx="0">
                  <c:v>1 тертіль ІЛ-22: 20,23-27,40 пг/мл</c:v>
                </c:pt>
                <c:pt idx="1">
                  <c:v>2 тертіль ІЛ-22: 27,49-31,51 пг/мл</c:v>
                </c:pt>
                <c:pt idx="2">
                  <c:v>3 тертіль ІЛ-22: 31,62-54,93 пг/мл</c:v>
                </c:pt>
              </c:strCache>
            </c:strRef>
          </c:cat>
          <c:val>
            <c:numRef>
              <c:f>Лист2!$B$25:$B$27</c:f>
              <c:numCache>
                <c:formatCode>General</c:formatCode>
                <c:ptCount val="3"/>
                <c:pt idx="0">
                  <c:v>140</c:v>
                </c:pt>
                <c:pt idx="1">
                  <c:v>150</c:v>
                </c:pt>
                <c:pt idx="2">
                  <c:v>170</c:v>
                </c:pt>
              </c:numCache>
            </c:numRef>
          </c:val>
          <c:shape val="cylinder"/>
          <c:extLst>
            <c:ext xmlns:c16="http://schemas.microsoft.com/office/drawing/2014/chart" uri="{C3380CC4-5D6E-409C-BE32-E72D297353CC}">
              <c16:uniqueId val="{00000003-2F7B-40F1-92F7-625717FEE6E0}"/>
            </c:ext>
          </c:extLst>
        </c:ser>
        <c:ser>
          <c:idx val="1"/>
          <c:order val="1"/>
          <c:tx>
            <c:strRef>
              <c:f>Лист2!$C$24</c:f>
              <c:strCache>
                <c:ptCount val="1"/>
                <c:pt idx="0">
                  <c:v>ПАТ мм рт.ст.</c:v>
                </c:pt>
              </c:strCache>
            </c:strRef>
          </c:tx>
          <c:spPr>
            <a:solidFill>
              <a:schemeClr val="tx1">
                <a:lumMod val="75000"/>
                <a:lumOff val="25000"/>
              </a:schemeClr>
            </a:solidFill>
            <a:ln>
              <a:noFill/>
            </a:ln>
            <a:effectLst/>
            <a:sp3d/>
          </c:spPr>
          <c:invertIfNegative val="0"/>
          <c:dLbls>
            <c:dLbl>
              <c:idx val="0"/>
              <c:layout>
                <c:manualLayout>
                  <c:x val="4.1666666666666664E-2"/>
                  <c:y val="0"/>
                </c:manualLayout>
              </c:layout>
              <c:tx>
                <c:rich>
                  <a:bodyPr/>
                  <a:lstStyle/>
                  <a:p>
                    <a:fld id="{4B054A52-6998-46EF-B1A3-0BD9E365EBF8}" type="VALUE">
                      <a:rPr lang="en-US" sz="1200" b="1"/>
                      <a:pPr/>
                      <a:t>[ЗНАЧЕНИЕ]</a:t>
                    </a:fld>
                    <a:r>
                      <a:rPr lang="en-US"/>
                      <a:t> (40;60)</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2F7B-40F1-92F7-625717FEE6E0}"/>
                </c:ext>
              </c:extLst>
            </c:dLbl>
            <c:dLbl>
              <c:idx val="1"/>
              <c:layout>
                <c:manualLayout>
                  <c:x val="5.2777777777777674E-2"/>
                  <c:y val="-9.2592592592592778E-3"/>
                </c:manualLayout>
              </c:layout>
              <c:tx>
                <c:rich>
                  <a:bodyPr/>
                  <a:lstStyle/>
                  <a:p>
                    <a:fld id="{ACDC7BFB-C478-422D-A7B4-5C557ED0BFED}" type="VALUE">
                      <a:rPr lang="en-US" sz="1200" b="1"/>
                      <a:pPr/>
                      <a:t>[ЗНАЧЕНИЕ]</a:t>
                    </a:fld>
                    <a:r>
                      <a:rPr lang="en-US" sz="1200" b="1"/>
                      <a:t> </a:t>
                    </a:r>
                    <a:r>
                      <a:rPr lang="en-US" sz="1000" b="0"/>
                      <a:t>(50;60)</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2F7B-40F1-92F7-625717FEE6E0}"/>
                </c:ext>
              </c:extLst>
            </c:dLbl>
            <c:dLbl>
              <c:idx val="2"/>
              <c:layout>
                <c:manualLayout>
                  <c:x val="5.8333333333333327E-2"/>
                  <c:y val="-4.243778136006687E-17"/>
                </c:manualLayout>
              </c:layout>
              <c:tx>
                <c:rich>
                  <a:bodyPr/>
                  <a:lstStyle/>
                  <a:p>
                    <a:fld id="{85686D3C-3BEA-4DF0-B7C3-C8B9B207F0E8}" type="VALUE">
                      <a:rPr lang="en-US" sz="1200" b="1"/>
                      <a:pPr/>
                      <a:t>[ЗНАЧЕНИЕ]</a:t>
                    </a:fld>
                    <a:r>
                      <a:rPr lang="en-US" sz="1000" b="1"/>
                      <a:t> </a:t>
                    </a:r>
                    <a:r>
                      <a:rPr lang="en-US" sz="1000" b="0"/>
                      <a:t>(70;80)</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6-2F7B-40F1-92F7-625717FEE6E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Лист2!$A$25:$A$27</c:f>
              <c:strCache>
                <c:ptCount val="3"/>
                <c:pt idx="0">
                  <c:v>1 тертіль ІЛ-22: 20,23-27,40 пг/мл</c:v>
                </c:pt>
                <c:pt idx="1">
                  <c:v>2 тертіль ІЛ-22: 27,49-31,51 пг/мл</c:v>
                </c:pt>
                <c:pt idx="2">
                  <c:v>3 тертіль ІЛ-22: 31,62-54,93 пг/мл</c:v>
                </c:pt>
              </c:strCache>
            </c:strRef>
          </c:cat>
          <c:val>
            <c:numRef>
              <c:f>Лист2!$C$25:$C$27</c:f>
              <c:numCache>
                <c:formatCode>General</c:formatCode>
                <c:ptCount val="3"/>
                <c:pt idx="0">
                  <c:v>55</c:v>
                </c:pt>
                <c:pt idx="1">
                  <c:v>60</c:v>
                </c:pt>
                <c:pt idx="2">
                  <c:v>70</c:v>
                </c:pt>
              </c:numCache>
            </c:numRef>
          </c:val>
          <c:shape val="cone"/>
          <c:extLst>
            <c:ext xmlns:c16="http://schemas.microsoft.com/office/drawing/2014/chart" uri="{C3380CC4-5D6E-409C-BE32-E72D297353CC}">
              <c16:uniqueId val="{00000007-2F7B-40F1-92F7-625717FEE6E0}"/>
            </c:ext>
          </c:extLst>
        </c:ser>
        <c:dLbls>
          <c:showLegendKey val="0"/>
          <c:showVal val="0"/>
          <c:showCatName val="0"/>
          <c:showSerName val="0"/>
          <c:showPercent val="0"/>
          <c:showBubbleSize val="0"/>
        </c:dLbls>
        <c:gapWidth val="150"/>
        <c:shape val="box"/>
        <c:axId val="71022464"/>
        <c:axId val="71024000"/>
        <c:axId val="0"/>
      </c:bar3DChart>
      <c:catAx>
        <c:axId val="710224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024000"/>
        <c:crosses val="autoZero"/>
        <c:auto val="1"/>
        <c:lblAlgn val="ctr"/>
        <c:lblOffset val="100"/>
        <c:noMultiLvlLbl val="0"/>
      </c:catAx>
      <c:valAx>
        <c:axId val="71024000"/>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0224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Лист2!$E$40</c:f>
              <c:strCache>
                <c:ptCount val="1"/>
                <c:pt idx="0">
                  <c:v>ІМТ, кг/м2</c:v>
                </c:pt>
              </c:strCache>
            </c:strRef>
          </c:tx>
          <c:spPr>
            <a:solidFill>
              <a:schemeClr val="bg2">
                <a:lumMod val="50000"/>
              </a:schemeClr>
            </a:solidFill>
            <a:ln>
              <a:noFill/>
            </a:ln>
            <a:effectLst/>
            <a:sp3d/>
          </c:spPr>
          <c:invertIfNegative val="0"/>
          <c:dLbls>
            <c:dLbl>
              <c:idx val="0"/>
              <c:layout>
                <c:manualLayout>
                  <c:x val="-5.2777777777777812E-2"/>
                  <c:y val="-7.4074074074074112E-2"/>
                </c:manualLayout>
              </c:layout>
              <c:tx>
                <c:rich>
                  <a:bodyPr/>
                  <a:lstStyle/>
                  <a:p>
                    <a:fld id="{C8D48FB8-FD39-4141-AA63-2B70C350198F}" type="VALUE">
                      <a:rPr lang="en-US" sz="1200" b="1"/>
                      <a:pPr/>
                      <a:t>[ЗНАЧЕНИЕ]</a:t>
                    </a:fld>
                    <a:r>
                      <a:rPr lang="en-US"/>
                      <a:t> </a:t>
                    </a:r>
                  </a:p>
                  <a:p>
                    <a:r>
                      <a:rPr lang="en-US"/>
                      <a:t>(21,9;27,5)</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43FF-4A28-87E3-E2EE07FBAA9F}"/>
                </c:ext>
              </c:extLst>
            </c:dLbl>
            <c:dLbl>
              <c:idx val="1"/>
              <c:layout>
                <c:manualLayout>
                  <c:x val="-5.8333333333333473E-2"/>
                  <c:y val="-6.9444444444444503E-2"/>
                </c:manualLayout>
              </c:layout>
              <c:tx>
                <c:rich>
                  <a:bodyPr/>
                  <a:lstStyle/>
                  <a:p>
                    <a:fld id="{90BA226C-C065-4355-8F57-5E29307C9DD7}" type="VALUE">
                      <a:rPr lang="en-US" sz="1200" b="1"/>
                      <a:pPr/>
                      <a:t>[ЗНАЧЕНИЕ]</a:t>
                    </a:fld>
                    <a:r>
                      <a:rPr lang="en-US"/>
                      <a:t> </a:t>
                    </a:r>
                  </a:p>
                  <a:p>
                    <a:r>
                      <a:rPr lang="en-US"/>
                      <a:t>(27,5;29,1)</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43FF-4A28-87E3-E2EE07FBAA9F}"/>
                </c:ext>
              </c:extLst>
            </c:dLbl>
            <c:dLbl>
              <c:idx val="2"/>
              <c:layout>
                <c:manualLayout>
                  <c:x val="-3.333333333333334E-2"/>
                  <c:y val="-4.6296296296296398E-2"/>
                </c:manualLayout>
              </c:layout>
              <c:tx>
                <c:rich>
                  <a:bodyPr/>
                  <a:lstStyle/>
                  <a:p>
                    <a:fld id="{E6119BFF-2265-4325-A05C-74A8CA48C64C}" type="VALUE">
                      <a:rPr lang="en-US" sz="1200" b="1"/>
                      <a:pPr/>
                      <a:t>[ЗНАЧЕНИЕ]</a:t>
                    </a:fld>
                    <a:endParaRPr lang="en-US" sz="1200" b="1"/>
                  </a:p>
                  <a:p>
                    <a:r>
                      <a:rPr lang="en-US" sz="900" b="0"/>
                      <a:t>(31,9;37,0)</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43FF-4A28-87E3-E2EE07FBAA9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Лист2!$A$41:$D$43</c:f>
              <c:strCache>
                <c:ptCount val="3"/>
                <c:pt idx="0">
                  <c:v>1 тертіль ІЛ-22: 20,23-27,40 пг/мл</c:v>
                </c:pt>
                <c:pt idx="1">
                  <c:v>2 тертіль ІЛ-22: 27,49-31,51 пг/мл</c:v>
                </c:pt>
                <c:pt idx="2">
                  <c:v>3 тертіль ІЛ-22: 31,62-54,93 пг/мл</c:v>
                </c:pt>
              </c:strCache>
            </c:strRef>
          </c:cat>
          <c:val>
            <c:numRef>
              <c:f>Лист2!$E$41:$E$43</c:f>
              <c:numCache>
                <c:formatCode>General</c:formatCode>
                <c:ptCount val="3"/>
                <c:pt idx="0">
                  <c:v>23.8</c:v>
                </c:pt>
                <c:pt idx="1">
                  <c:v>28.1</c:v>
                </c:pt>
                <c:pt idx="2">
                  <c:v>35.4</c:v>
                </c:pt>
              </c:numCache>
            </c:numRef>
          </c:val>
          <c:shape val="cylinder"/>
          <c:extLst>
            <c:ext xmlns:c16="http://schemas.microsoft.com/office/drawing/2014/chart" uri="{C3380CC4-5D6E-409C-BE32-E72D297353CC}">
              <c16:uniqueId val="{00000003-43FF-4A28-87E3-E2EE07FBAA9F}"/>
            </c:ext>
          </c:extLst>
        </c:ser>
        <c:dLbls>
          <c:showLegendKey val="0"/>
          <c:showVal val="0"/>
          <c:showCatName val="0"/>
          <c:showSerName val="0"/>
          <c:showPercent val="0"/>
          <c:showBubbleSize val="0"/>
        </c:dLbls>
        <c:gapWidth val="150"/>
        <c:shape val="box"/>
        <c:axId val="71200128"/>
        <c:axId val="71222400"/>
        <c:axId val="0"/>
      </c:bar3DChart>
      <c:catAx>
        <c:axId val="712001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222400"/>
        <c:crosses val="autoZero"/>
        <c:auto val="1"/>
        <c:lblAlgn val="ctr"/>
        <c:lblOffset val="100"/>
        <c:noMultiLvlLbl val="0"/>
      </c:catAx>
      <c:valAx>
        <c:axId val="71222400"/>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200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0"/>
            </a:pPr>
            <a:r>
              <a:rPr lang="ru-RU" sz="900" b="0">
                <a:solidFill>
                  <a:schemeClr val="tx1">
                    <a:lumMod val="50000"/>
                    <a:lumOff val="50000"/>
                  </a:schemeClr>
                </a:solidFill>
              </a:rPr>
              <a:t>1-ий тертіль </a:t>
            </a:r>
            <a:endParaRPr lang="en-US" sz="900" b="0">
              <a:solidFill>
                <a:schemeClr val="tx1">
                  <a:lumMod val="50000"/>
                  <a:lumOff val="50000"/>
                </a:schemeClr>
              </a:solidFill>
            </a:endParaRPr>
          </a:p>
          <a:p>
            <a:pPr>
              <a:defRPr sz="900" b="0"/>
            </a:pPr>
            <a:r>
              <a:rPr lang="ru-RU" sz="900" b="0">
                <a:solidFill>
                  <a:schemeClr val="tx1">
                    <a:lumMod val="50000"/>
                    <a:lumOff val="50000"/>
                  </a:schemeClr>
                </a:solidFill>
              </a:rPr>
              <a:t>ІЛ-22: 20,23-27,40 пг/мл</a:t>
            </a:r>
          </a:p>
        </c:rich>
      </c:tx>
      <c:layout>
        <c:manualLayout>
          <c:xMode val="edge"/>
          <c:yMode val="edge"/>
          <c:x val="0.48703441984281881"/>
          <c:y val="2.2222222222222223E-2"/>
        </c:manualLayout>
      </c:layout>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6944494841370638E-2"/>
          <c:y val="0.34250558232459749"/>
          <c:w val="0.81388888888888944"/>
          <c:h val="0.59822980460775732"/>
        </c:manualLayout>
      </c:layout>
      <c:pie3DChart>
        <c:varyColors val="1"/>
        <c:ser>
          <c:idx val="0"/>
          <c:order val="0"/>
          <c:tx>
            <c:strRef>
              <c:f>Лист3!$C$4</c:f>
              <c:strCache>
                <c:ptCount val="1"/>
                <c:pt idx="0">
                  <c:v>1-ий тертіль ІЛ-22: 20,23-27,40 пг/мл</c:v>
                </c:pt>
              </c:strCache>
            </c:strRef>
          </c:tx>
          <c:dPt>
            <c:idx val="0"/>
            <c:bubble3D val="0"/>
            <c:spPr>
              <a:solidFill>
                <a:schemeClr val="bg1">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0-EDAB-49D7-8E22-E871EA04D0A3}"/>
              </c:ext>
            </c:extLst>
          </c:dPt>
          <c:dPt>
            <c:idx val="1"/>
            <c:bubble3D val="0"/>
            <c:spPr>
              <a:solidFill>
                <a:schemeClr val="bg1">
                  <a:lumMod val="5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EDAB-49D7-8E22-E871EA04D0A3}"/>
              </c:ext>
            </c:extLst>
          </c:dPt>
          <c:dPt>
            <c:idx val="2"/>
            <c:bubble3D val="0"/>
            <c:spPr>
              <a:solidFill>
                <a:schemeClr val="bg1">
                  <a:lumMod val="8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2-EDAB-49D7-8E22-E871EA04D0A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EDAB-49D7-8E22-E871EA04D0A3}"/>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4-EDAB-49D7-8E22-E871EA04D0A3}"/>
              </c:ext>
            </c:extLst>
          </c:dPt>
          <c:dLbls>
            <c:dLbl>
              <c:idx val="0"/>
              <c:layout>
                <c:manualLayout>
                  <c:x val="-0.17194293021064683"/>
                  <c:y val="-0.20421609798775159"/>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768F0F19-1D03-4192-9EE0-4EF737F53EED}" type="VALUE">
                      <a:rPr lang="ru-RU" sz="1000" b="1"/>
                      <a:pPr>
                        <a:defRPr sz="900" b="0" i="0" u="none" strike="noStrike" kern="1200" baseline="0">
                          <a:solidFill>
                            <a:schemeClr val="tx1">
                              <a:lumMod val="75000"/>
                              <a:lumOff val="25000"/>
                            </a:schemeClr>
                          </a:solidFill>
                          <a:latin typeface="+mn-lt"/>
                          <a:ea typeface="+mn-ea"/>
                          <a:cs typeface="+mn-cs"/>
                        </a:defRPr>
                      </a:pPr>
                      <a:t>[ЗНАЧЕНИЕ]</a:t>
                    </a:fld>
                    <a:r>
                      <a:rPr lang="ru-RU" sz="1000" b="1"/>
                      <a:t> %</a:t>
                    </a:r>
                  </a:p>
                  <a:p>
                    <a:pPr>
                      <a:defRPr sz="900" b="0" i="0" u="none" strike="noStrike" kern="1200" baseline="0">
                        <a:solidFill>
                          <a:schemeClr val="tx1">
                            <a:lumMod val="75000"/>
                            <a:lumOff val="25000"/>
                          </a:schemeClr>
                        </a:solidFill>
                        <a:latin typeface="+mn-lt"/>
                        <a:ea typeface="+mn-ea"/>
                        <a:cs typeface="+mn-cs"/>
                      </a:defRPr>
                    </a:pPr>
                    <a:r>
                      <a:rPr lang="ru-RU" sz="1000" b="0"/>
                      <a:t>Нормальна маса тіла</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31646821586326102"/>
                      <c:h val="0.30309711286089236"/>
                    </c:manualLayout>
                  </c15:layout>
                  <c15:dlblFieldTable/>
                  <c15:showDataLabelsRange val="0"/>
                </c:ext>
                <c:ext xmlns:c16="http://schemas.microsoft.com/office/drawing/2014/chart" uri="{C3380CC4-5D6E-409C-BE32-E72D297353CC}">
                  <c16:uniqueId val="{00000000-EDAB-49D7-8E22-E871EA04D0A3}"/>
                </c:ext>
              </c:extLst>
            </c:dLbl>
            <c:dLbl>
              <c:idx val="1"/>
              <c:layout>
                <c:manualLayout>
                  <c:x val="0.12121903207221049"/>
                  <c:y val="3.5214931466899968E-2"/>
                </c:manualLayout>
              </c:layout>
              <c:tx>
                <c:rich>
                  <a:bodyPr/>
                  <a:lstStyle/>
                  <a:p>
                    <a:fld id="{6369D13A-9646-4467-8129-0B88B08B569B}" type="VALUE">
                      <a:rPr lang="ru-RU" sz="1000" b="1"/>
                      <a:pPr/>
                      <a:t>[ЗНАЧЕНИЕ]</a:t>
                    </a:fld>
                    <a:r>
                      <a:rPr lang="ru-RU" sz="1000" b="1"/>
                      <a:t> %</a:t>
                    </a:r>
                  </a:p>
                  <a:p>
                    <a:r>
                      <a:rPr lang="ru-RU" sz="1000" b="0">
                        <a:solidFill>
                          <a:schemeClr val="tx1"/>
                        </a:solidFill>
                      </a:rPr>
                      <a:t>Надмірна маса тіла</a:t>
                    </a:r>
                  </a:p>
                </c:rich>
              </c:tx>
              <c:showLegendKey val="0"/>
              <c:showVal val="1"/>
              <c:showCatName val="0"/>
              <c:showSerName val="0"/>
              <c:showPercent val="0"/>
              <c:showBubbleSize val="0"/>
              <c:extLst>
                <c:ext xmlns:c15="http://schemas.microsoft.com/office/drawing/2012/chart" uri="{CE6537A1-D6FC-4f65-9D91-7224C49458BB}">
                  <c15:layout>
                    <c:manualLayout>
                      <c:w val="0.26407520325203254"/>
                      <c:h val="0.38385185185185183"/>
                    </c:manualLayout>
                  </c15:layout>
                  <c15:dlblFieldTable/>
                  <c15:showDataLabelsRange val="0"/>
                </c:ext>
                <c:ext xmlns:c16="http://schemas.microsoft.com/office/drawing/2014/chart" uri="{C3380CC4-5D6E-409C-BE32-E72D297353CC}">
                  <c16:uniqueId val="{00000001-EDAB-49D7-8E22-E871EA04D0A3}"/>
                </c:ext>
              </c:extLst>
            </c:dLbl>
            <c:dLbl>
              <c:idx val="2"/>
              <c:layout>
                <c:manualLayout>
                  <c:x val="2.96692614277916E-2"/>
                  <c:y val="-5.9866141732283475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539957C2-572A-4196-B701-975ADD7C6991}" type="VALUE">
                      <a:rPr lang="ru-RU" sz="1000" b="1"/>
                      <a:pPr>
                        <a:defRPr sz="900" b="0" i="0" u="none" strike="noStrike" kern="1200" baseline="0">
                          <a:solidFill>
                            <a:schemeClr val="tx1">
                              <a:lumMod val="75000"/>
                              <a:lumOff val="25000"/>
                            </a:schemeClr>
                          </a:solidFill>
                          <a:latin typeface="+mn-lt"/>
                          <a:ea typeface="+mn-ea"/>
                          <a:cs typeface="+mn-cs"/>
                        </a:defRPr>
                      </a:pPr>
                      <a:t>[ЗНАЧЕНИЕ]</a:t>
                    </a:fld>
                    <a:r>
                      <a:rPr lang="ru-RU" sz="1000" b="1"/>
                      <a:t> %</a:t>
                    </a:r>
                  </a:p>
                  <a:p>
                    <a:pPr>
                      <a:defRPr sz="900" b="0" i="0" u="none" strike="noStrike" kern="1200" baseline="0">
                        <a:solidFill>
                          <a:schemeClr val="tx1">
                            <a:lumMod val="75000"/>
                            <a:lumOff val="25000"/>
                          </a:schemeClr>
                        </a:solidFill>
                        <a:latin typeface="+mn-lt"/>
                        <a:ea typeface="+mn-ea"/>
                        <a:cs typeface="+mn-cs"/>
                      </a:defRPr>
                    </a:pPr>
                    <a:r>
                      <a:rPr lang="ru-RU" sz="1000" b="0"/>
                      <a:t>Ожиріння 1 ступеня</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52522043615515801"/>
                      <c:h val="0.23590316135856151"/>
                    </c:manualLayout>
                  </c15:layout>
                  <c15:dlblFieldTable/>
                  <c15:showDataLabelsRange val="0"/>
                </c:ext>
                <c:ext xmlns:c16="http://schemas.microsoft.com/office/drawing/2014/chart" uri="{C3380CC4-5D6E-409C-BE32-E72D297353CC}">
                  <c16:uniqueId val="{00000002-EDAB-49D7-8E22-E871EA04D0A3}"/>
                </c:ext>
              </c:extLst>
            </c:dLbl>
            <c:dLbl>
              <c:idx val="3"/>
              <c:delete val="1"/>
              <c:extLst>
                <c:ext xmlns:c15="http://schemas.microsoft.com/office/drawing/2012/chart" uri="{CE6537A1-D6FC-4f65-9D91-7224C49458BB}"/>
                <c:ext xmlns:c16="http://schemas.microsoft.com/office/drawing/2014/chart" uri="{C3380CC4-5D6E-409C-BE32-E72D297353CC}">
                  <c16:uniqueId val="{00000003-EDAB-49D7-8E22-E871EA04D0A3}"/>
                </c:ext>
              </c:extLst>
            </c:dLbl>
            <c:dLbl>
              <c:idx val="4"/>
              <c:delete val="1"/>
              <c:extLst>
                <c:ext xmlns:c15="http://schemas.microsoft.com/office/drawing/2012/chart" uri="{CE6537A1-D6FC-4f65-9D91-7224C49458BB}"/>
                <c:ext xmlns:c16="http://schemas.microsoft.com/office/drawing/2014/chart" uri="{C3380CC4-5D6E-409C-BE32-E72D297353CC}">
                  <c16:uniqueId val="{00000004-EDAB-49D7-8E22-E871EA04D0A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a:solidFill>
                    <a:schemeClr val="tx1">
                      <a:lumMod val="50000"/>
                      <a:lumOff val="50000"/>
                    </a:schemeClr>
                  </a:solidFill>
                </a:ln>
              </c:spPr>
            </c:leaderLines>
            <c:extLst>
              <c:ext xmlns:c15="http://schemas.microsoft.com/office/drawing/2012/chart" uri="{CE6537A1-D6FC-4f65-9D91-7224C49458BB}"/>
            </c:extLst>
          </c:dLbls>
          <c:cat>
            <c:strRef>
              <c:f>Лист3!$A$5:$B$9</c:f>
              <c:strCache>
                <c:ptCount val="5"/>
                <c:pt idx="0">
                  <c:v>Нормальна маса тіла </c:v>
                </c:pt>
                <c:pt idx="1">
                  <c:v>Надмірна маса тіла</c:v>
                </c:pt>
                <c:pt idx="2">
                  <c:v>Ожиріння 1 ступеня</c:v>
                </c:pt>
                <c:pt idx="3">
                  <c:v>Ожиріння 2 ступеня</c:v>
                </c:pt>
                <c:pt idx="4">
                  <c:v>Ожиріння 3 ступеня </c:v>
                </c:pt>
              </c:strCache>
            </c:strRef>
          </c:cat>
          <c:val>
            <c:numRef>
              <c:f>Лист3!$C$5:$C$9</c:f>
              <c:numCache>
                <c:formatCode>General</c:formatCode>
                <c:ptCount val="5"/>
                <c:pt idx="0">
                  <c:v>62.96</c:v>
                </c:pt>
                <c:pt idx="1">
                  <c:v>29.630000000000017</c:v>
                </c:pt>
                <c:pt idx="2">
                  <c:v>7.41</c:v>
                </c:pt>
              </c:numCache>
            </c:numRef>
          </c:val>
          <c:extLst>
            <c:ext xmlns:c16="http://schemas.microsoft.com/office/drawing/2014/chart" uri="{C3380CC4-5D6E-409C-BE32-E72D297353CC}">
              <c16:uniqueId val="{00000005-EDAB-49D7-8E22-E871EA04D0A3}"/>
            </c:ext>
          </c:extLst>
        </c:ser>
        <c:ser>
          <c:idx val="1"/>
          <c:order val="1"/>
          <c:tx>
            <c:strRef>
              <c:f>Лист3!$D$4</c:f>
              <c:strCache>
                <c:ptCount val="1"/>
                <c:pt idx="0">
                  <c:v>2-ий тертіль ІЛ-22: 27,49-31,51 пг/мл</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6-EDAB-49D7-8E22-E871EA04D0A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7-EDAB-49D7-8E22-E871EA04D0A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8-EDAB-49D7-8E22-E871EA04D0A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9-EDAB-49D7-8E22-E871EA04D0A3}"/>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A-EDAB-49D7-8E22-E871EA04D0A3}"/>
              </c:ext>
            </c:extLst>
          </c:dPt>
          <c:cat>
            <c:strRef>
              <c:f>Лист3!$A$5:$B$9</c:f>
              <c:strCache>
                <c:ptCount val="5"/>
                <c:pt idx="0">
                  <c:v>Нормальна маса тіла </c:v>
                </c:pt>
                <c:pt idx="1">
                  <c:v>Надмірна маса тіла</c:v>
                </c:pt>
                <c:pt idx="2">
                  <c:v>Ожиріння 1 ступеня</c:v>
                </c:pt>
                <c:pt idx="3">
                  <c:v>Ожиріння 2 ступеня</c:v>
                </c:pt>
                <c:pt idx="4">
                  <c:v>Ожиріння 3 ступеня </c:v>
                </c:pt>
              </c:strCache>
            </c:strRef>
          </c:cat>
          <c:val>
            <c:numRef>
              <c:f>Лист3!$D$5:$D$9</c:f>
              <c:numCache>
                <c:formatCode>General</c:formatCode>
                <c:ptCount val="5"/>
                <c:pt idx="1">
                  <c:v>85.2</c:v>
                </c:pt>
                <c:pt idx="2">
                  <c:v>14.8</c:v>
                </c:pt>
              </c:numCache>
            </c:numRef>
          </c:val>
          <c:extLst>
            <c:ext xmlns:c16="http://schemas.microsoft.com/office/drawing/2014/chart" uri="{C3380CC4-5D6E-409C-BE32-E72D297353CC}">
              <c16:uniqueId val="{0000000B-EDAB-49D7-8E22-E871EA04D0A3}"/>
            </c:ext>
          </c:extLst>
        </c:ser>
        <c:ser>
          <c:idx val="2"/>
          <c:order val="2"/>
          <c:tx>
            <c:strRef>
              <c:f>Лист3!$E$4</c:f>
              <c:strCache>
                <c:ptCount val="1"/>
                <c:pt idx="0">
                  <c:v>3-ій тертіль</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EDAB-49D7-8E22-E871EA04D0A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D-EDAB-49D7-8E22-E871EA04D0A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E-EDAB-49D7-8E22-E871EA04D0A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F-EDAB-49D7-8E22-E871EA04D0A3}"/>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0-EDAB-49D7-8E22-E871EA04D0A3}"/>
              </c:ext>
            </c:extLst>
          </c:dPt>
          <c:cat>
            <c:strRef>
              <c:f>Лист3!$A$5:$B$9</c:f>
              <c:strCache>
                <c:ptCount val="5"/>
                <c:pt idx="0">
                  <c:v>Нормальна маса тіла </c:v>
                </c:pt>
                <c:pt idx="1">
                  <c:v>Надмірна маса тіла</c:v>
                </c:pt>
                <c:pt idx="2">
                  <c:v>Ожиріння 1 ступеня</c:v>
                </c:pt>
                <c:pt idx="3">
                  <c:v>Ожиріння 2 ступеня</c:v>
                </c:pt>
                <c:pt idx="4">
                  <c:v>Ожиріння 3 ступеня </c:v>
                </c:pt>
              </c:strCache>
            </c:strRef>
          </c:cat>
          <c:val>
            <c:numRef>
              <c:f>Лист3!$E$5:$E$9</c:f>
              <c:numCache>
                <c:formatCode>General</c:formatCode>
                <c:ptCount val="5"/>
                <c:pt idx="2">
                  <c:v>44.5</c:v>
                </c:pt>
                <c:pt idx="3">
                  <c:v>44.5</c:v>
                </c:pt>
                <c:pt idx="4">
                  <c:v>11</c:v>
                </c:pt>
              </c:numCache>
            </c:numRef>
          </c:val>
          <c:extLst>
            <c:ext xmlns:c16="http://schemas.microsoft.com/office/drawing/2014/chart" uri="{C3380CC4-5D6E-409C-BE32-E72D297353CC}">
              <c16:uniqueId val="{00000011-EDAB-49D7-8E22-E871EA04D0A3}"/>
            </c:ext>
          </c:extLst>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ru-RU" sz="900"/>
              <a:t>2-ий тертіль </a:t>
            </a:r>
          </a:p>
          <a:p>
            <a:pPr>
              <a:defRPr sz="900" b="0" i="0" u="none" strike="noStrike" kern="1200" spc="0" baseline="0">
                <a:solidFill>
                  <a:schemeClr val="tx1">
                    <a:lumMod val="65000"/>
                    <a:lumOff val="35000"/>
                  </a:schemeClr>
                </a:solidFill>
                <a:latin typeface="+mn-lt"/>
                <a:ea typeface="+mn-ea"/>
                <a:cs typeface="+mn-cs"/>
              </a:defRPr>
            </a:pPr>
            <a:r>
              <a:rPr lang="ru-RU" sz="900"/>
              <a:t>ІЛ-22: 27,49-31,51 пг/мл</a:t>
            </a:r>
          </a:p>
        </c:rich>
      </c:tx>
      <c:layout>
        <c:manualLayout>
          <c:xMode val="edge"/>
          <c:yMode val="edge"/>
          <c:x val="0.50095366808323649"/>
          <c:y val="1.1461499563789546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876331276103123E-2"/>
          <c:y val="0.37235314710572981"/>
          <c:w val="0.79801944555458326"/>
          <c:h val="0.55381170155424286"/>
        </c:manualLayout>
      </c:layout>
      <c:pie3DChart>
        <c:varyColors val="1"/>
        <c:ser>
          <c:idx val="0"/>
          <c:order val="0"/>
          <c:tx>
            <c:strRef>
              <c:f>Лист3!$C$23</c:f>
              <c:strCache>
                <c:ptCount val="1"/>
                <c:pt idx="0">
                  <c:v>2-ий тертіль ІЛ-22: 27,49-31,51 пг/мл</c:v>
                </c:pt>
              </c:strCache>
            </c:strRef>
          </c:tx>
          <c:dPt>
            <c:idx val="0"/>
            <c:bubble3D val="0"/>
            <c:spPr>
              <a:solidFill>
                <a:schemeClr val="bg1">
                  <a:lumMod val="5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0-473C-468A-804A-DEA1ADED7B65}"/>
              </c:ext>
            </c:extLst>
          </c:dPt>
          <c:dPt>
            <c:idx val="1"/>
            <c:bubble3D val="0"/>
            <c:spPr>
              <a:solidFill>
                <a:schemeClr val="bg1">
                  <a:lumMod val="8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473C-468A-804A-DEA1ADED7B65}"/>
              </c:ext>
            </c:extLst>
          </c:dPt>
          <c:dLbls>
            <c:dLbl>
              <c:idx val="0"/>
              <c:layout>
                <c:manualLayout>
                  <c:x val="-0.24228933554358334"/>
                  <c:y val="-0.16309381484382515"/>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25D60C86-9218-4D98-801D-05D6D7F0D7DD}" type="VALUE">
                      <a:rPr lang="ru-RU" sz="1000" b="1" baseline="0"/>
                      <a:pPr>
                        <a:defRPr sz="900" b="0" i="0" u="none" strike="noStrike" kern="1200" baseline="0">
                          <a:solidFill>
                            <a:schemeClr val="tx1">
                              <a:lumMod val="75000"/>
                              <a:lumOff val="25000"/>
                            </a:schemeClr>
                          </a:solidFill>
                          <a:latin typeface="+mn-lt"/>
                          <a:ea typeface="+mn-ea"/>
                          <a:cs typeface="+mn-cs"/>
                        </a:defRPr>
                      </a:pPr>
                      <a:t>[ЗНАЧЕНИЕ]</a:t>
                    </a:fld>
                    <a:r>
                      <a:rPr lang="ru-RU" sz="1000"/>
                      <a:t> %</a:t>
                    </a:r>
                  </a:p>
                  <a:p>
                    <a:pPr>
                      <a:defRPr sz="900" b="0" i="0" u="none" strike="noStrike" kern="1200" baseline="0">
                        <a:solidFill>
                          <a:schemeClr val="tx1">
                            <a:lumMod val="75000"/>
                            <a:lumOff val="25000"/>
                          </a:schemeClr>
                        </a:solidFill>
                        <a:latin typeface="+mn-lt"/>
                        <a:ea typeface="+mn-ea"/>
                        <a:cs typeface="+mn-cs"/>
                      </a:defRPr>
                    </a:pPr>
                    <a:r>
                      <a:rPr lang="ru-RU" sz="1000">
                        <a:solidFill>
                          <a:schemeClr val="tx1"/>
                        </a:solidFill>
                      </a:rPr>
                      <a:t>Надмірна</a:t>
                    </a:r>
                  </a:p>
                  <a:p>
                    <a:pPr>
                      <a:defRPr sz="900" b="0" i="0" u="none" strike="noStrike" kern="1200" baseline="0">
                        <a:solidFill>
                          <a:schemeClr val="tx1">
                            <a:lumMod val="75000"/>
                            <a:lumOff val="25000"/>
                          </a:schemeClr>
                        </a:solidFill>
                        <a:latin typeface="+mn-lt"/>
                        <a:ea typeface="+mn-ea"/>
                        <a:cs typeface="+mn-cs"/>
                      </a:defRPr>
                    </a:pPr>
                    <a:r>
                      <a:rPr lang="ru-RU" sz="1000">
                        <a:solidFill>
                          <a:schemeClr val="tx1"/>
                        </a:solidFill>
                      </a:rPr>
                      <a:t> маса тіла</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43606644564166319"/>
                      <c:h val="0.49180580176169081"/>
                    </c:manualLayout>
                  </c15:layout>
                  <c15:dlblFieldTable/>
                  <c15:showDataLabelsRange val="0"/>
                </c:ext>
                <c:ext xmlns:c16="http://schemas.microsoft.com/office/drawing/2014/chart" uri="{C3380CC4-5D6E-409C-BE32-E72D297353CC}">
                  <c16:uniqueId val="{00000000-473C-468A-804A-DEA1ADED7B65}"/>
                </c:ext>
              </c:extLst>
            </c:dLbl>
            <c:dLbl>
              <c:idx val="1"/>
              <c:layout>
                <c:manualLayout>
                  <c:x val="1.3158067412626054E-2"/>
                  <c:y val="1.8659562188234339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8732A3D3-EC99-4ACD-A560-464D74DF4010}" type="VALUE">
                      <a:rPr lang="ru-RU" sz="1000" b="1"/>
                      <a:pPr>
                        <a:defRPr sz="900" b="0" i="0" u="none" strike="noStrike" kern="1200" baseline="0">
                          <a:solidFill>
                            <a:schemeClr val="tx1">
                              <a:lumMod val="75000"/>
                              <a:lumOff val="25000"/>
                            </a:schemeClr>
                          </a:solidFill>
                          <a:latin typeface="+mn-lt"/>
                          <a:ea typeface="+mn-ea"/>
                          <a:cs typeface="+mn-cs"/>
                        </a:defRPr>
                      </a:pPr>
                      <a:t>[ЗНАЧЕНИЕ]</a:t>
                    </a:fld>
                    <a:r>
                      <a:rPr lang="ru-RU" sz="1000"/>
                      <a:t> % </a:t>
                    </a:r>
                  </a:p>
                  <a:p>
                    <a:pPr>
                      <a:defRPr sz="900" b="0" i="0" u="none" strike="noStrike" kern="1200" baseline="0">
                        <a:solidFill>
                          <a:schemeClr val="tx1">
                            <a:lumMod val="75000"/>
                            <a:lumOff val="25000"/>
                          </a:schemeClr>
                        </a:solidFill>
                        <a:latin typeface="+mn-lt"/>
                        <a:ea typeface="+mn-ea"/>
                        <a:cs typeface="+mn-cs"/>
                      </a:defRPr>
                    </a:pPr>
                    <a:r>
                      <a:rPr lang="ru-RU" sz="1000"/>
                      <a:t>Ожиріння </a:t>
                    </a:r>
                  </a:p>
                  <a:p>
                    <a:pPr>
                      <a:defRPr sz="900" b="0" i="0" u="none" strike="noStrike" kern="1200" baseline="0">
                        <a:solidFill>
                          <a:schemeClr val="tx1">
                            <a:lumMod val="75000"/>
                            <a:lumOff val="25000"/>
                          </a:schemeClr>
                        </a:solidFill>
                        <a:latin typeface="+mn-lt"/>
                        <a:ea typeface="+mn-ea"/>
                        <a:cs typeface="+mn-cs"/>
                      </a:defRPr>
                    </a:pPr>
                    <a:r>
                      <a:rPr lang="ru-RU" sz="1000"/>
                      <a:t>1 ступеня</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3803469936269589"/>
                      <c:h val="0.41822748514939506"/>
                    </c:manualLayout>
                  </c15:layout>
                  <c15:dlblFieldTable/>
                  <c15:showDataLabelsRange val="0"/>
                </c:ext>
                <c:ext xmlns:c16="http://schemas.microsoft.com/office/drawing/2014/chart" uri="{C3380CC4-5D6E-409C-BE32-E72D297353CC}">
                  <c16:uniqueId val="{00000001-473C-468A-804A-DEA1ADED7B6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a:solidFill>
                    <a:schemeClr val="tx1">
                      <a:lumMod val="65000"/>
                      <a:lumOff val="35000"/>
                    </a:schemeClr>
                  </a:solidFill>
                </a:ln>
              </c:spPr>
            </c:leaderLines>
            <c:extLst>
              <c:ext xmlns:c15="http://schemas.microsoft.com/office/drawing/2012/chart" uri="{CE6537A1-D6FC-4f65-9D91-7224C49458BB}"/>
            </c:extLst>
          </c:dLbls>
          <c:cat>
            <c:strRef>
              <c:f>Лист3!$A$24:$B$25</c:f>
              <c:strCache>
                <c:ptCount val="2"/>
                <c:pt idx="0">
                  <c:v>Надмірна маса тіла</c:v>
                </c:pt>
                <c:pt idx="1">
                  <c:v>Ожиріння 1 ступеня</c:v>
                </c:pt>
              </c:strCache>
            </c:strRef>
          </c:cat>
          <c:val>
            <c:numRef>
              <c:f>Лист3!$C$24:$C$25</c:f>
              <c:numCache>
                <c:formatCode>General</c:formatCode>
                <c:ptCount val="2"/>
                <c:pt idx="0">
                  <c:v>85.2</c:v>
                </c:pt>
                <c:pt idx="1">
                  <c:v>14.8</c:v>
                </c:pt>
              </c:numCache>
            </c:numRef>
          </c:val>
          <c:extLst>
            <c:ext xmlns:c16="http://schemas.microsoft.com/office/drawing/2014/chart" uri="{C3380CC4-5D6E-409C-BE32-E72D297353CC}">
              <c16:uniqueId val="{00000002-473C-468A-804A-DEA1ADED7B65}"/>
            </c:ext>
          </c:extLst>
        </c:ser>
        <c:ser>
          <c:idx val="1"/>
          <c:order val="1"/>
          <c:tx>
            <c:strRef>
              <c:f>Лист3!$D$23</c:f>
              <c:strCache>
                <c:ptCount val="1"/>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3-473C-468A-804A-DEA1ADED7B6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4-473C-468A-804A-DEA1ADED7B6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73C-468A-804A-DEA1ADED7B65}"/>
              </c:ext>
            </c:extLst>
          </c:dPt>
          <c:cat>
            <c:strRef>
              <c:f>Лист3!$A$24:$B$25</c:f>
              <c:strCache>
                <c:ptCount val="2"/>
                <c:pt idx="0">
                  <c:v>Надмірна маса тіла</c:v>
                </c:pt>
                <c:pt idx="1">
                  <c:v>Ожиріння 1 ступеня</c:v>
                </c:pt>
              </c:strCache>
            </c:strRef>
          </c:cat>
          <c:val>
            <c:numRef>
              <c:f>Лист3!$D$24:$D$26</c:f>
              <c:numCache>
                <c:formatCode>General</c:formatCode>
                <c:ptCount val="3"/>
              </c:numCache>
            </c:numRef>
          </c:val>
          <c:extLst>
            <c:ext xmlns:c16="http://schemas.microsoft.com/office/drawing/2014/chart" uri="{C3380CC4-5D6E-409C-BE32-E72D297353CC}">
              <c16:uniqueId val="{00000006-473C-468A-804A-DEA1ADED7B65}"/>
            </c:ext>
          </c:extLst>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ru-RU" sz="900"/>
              <a:t>3 тертіль</a:t>
            </a:r>
          </a:p>
          <a:p>
            <a:pPr>
              <a:defRPr sz="900" b="0" i="0" u="none" strike="noStrike" kern="1200" spc="0" baseline="0">
                <a:solidFill>
                  <a:schemeClr val="tx1">
                    <a:lumMod val="65000"/>
                    <a:lumOff val="35000"/>
                  </a:schemeClr>
                </a:solidFill>
                <a:latin typeface="+mn-lt"/>
                <a:ea typeface="+mn-ea"/>
                <a:cs typeface="+mn-cs"/>
              </a:defRPr>
            </a:pPr>
            <a:r>
              <a:rPr lang="ru-RU" sz="900"/>
              <a:t> ІЛ-22: 31,62-54,93 пг/мл</a:t>
            </a:r>
          </a:p>
        </c:rich>
      </c:tx>
      <c:layout>
        <c:manualLayout>
          <c:xMode val="edge"/>
          <c:yMode val="edge"/>
          <c:x val="0.40122144024032375"/>
          <c:y val="1.3927734197236605E-3"/>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Лист3!$C$37</c:f>
              <c:strCache>
                <c:ptCount val="1"/>
                <c:pt idx="0">
                  <c:v>3 тертіль ІЛ-22: 31,62-54,93 пг/мл</c:v>
                </c:pt>
              </c:strCache>
            </c:strRef>
          </c:tx>
          <c:dPt>
            <c:idx val="0"/>
            <c:bubble3D val="0"/>
            <c:spPr>
              <a:solidFill>
                <a:schemeClr val="bg1">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0-EDB3-40F9-9DD5-3F73E7416F20}"/>
              </c:ext>
            </c:extLst>
          </c:dPt>
          <c:dPt>
            <c:idx val="1"/>
            <c:bubble3D val="0"/>
            <c:spPr>
              <a:solidFill>
                <a:schemeClr val="tx1">
                  <a:lumMod val="65000"/>
                  <a:lumOff val="3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EDB3-40F9-9DD5-3F73E7416F20}"/>
              </c:ext>
            </c:extLst>
          </c:dPt>
          <c:dPt>
            <c:idx val="2"/>
            <c:bubble3D val="0"/>
            <c:spPr>
              <a:solidFill>
                <a:schemeClr val="tx1"/>
              </a:solidFill>
              <a:ln w="25400">
                <a:solidFill>
                  <a:schemeClr val="lt1"/>
                </a:solidFill>
              </a:ln>
              <a:effectLst/>
              <a:sp3d contourW="25400">
                <a:contourClr>
                  <a:schemeClr val="lt1"/>
                </a:contourClr>
              </a:sp3d>
            </c:spPr>
            <c:extLst>
              <c:ext xmlns:c16="http://schemas.microsoft.com/office/drawing/2014/chart" uri="{C3380CC4-5D6E-409C-BE32-E72D297353CC}">
                <c16:uniqueId val="{00000002-EDB3-40F9-9DD5-3F73E7416F20}"/>
              </c:ext>
            </c:extLst>
          </c:dPt>
          <c:dLbls>
            <c:dLbl>
              <c:idx val="0"/>
              <c:layout>
                <c:manualLayout>
                  <c:x val="2.23826446472952E-2"/>
                  <c:y val="0.31028098994654779"/>
                </c:manualLayout>
              </c:layout>
              <c:tx>
                <c:rich>
                  <a:bodyPr/>
                  <a:lstStyle/>
                  <a:p>
                    <a:fld id="{7B07D9D6-F354-4E77-813B-04DC18B873F6}" type="VALUE">
                      <a:rPr lang="ru-RU" sz="1000" b="1"/>
                      <a:pPr/>
                      <a:t>[ЗНАЧЕНИЕ]</a:t>
                    </a:fld>
                    <a:r>
                      <a:rPr lang="ru-RU" sz="1000" b="1"/>
                      <a:t> </a:t>
                    </a:r>
                    <a:r>
                      <a:rPr lang="ru-RU" sz="1000"/>
                      <a:t>% </a:t>
                    </a:r>
                  </a:p>
                  <a:p>
                    <a:r>
                      <a:rPr lang="ru-RU" sz="1000"/>
                      <a:t>Ожиріння </a:t>
                    </a:r>
                  </a:p>
                  <a:p>
                    <a:r>
                      <a:rPr lang="ru-RU" sz="1000"/>
                      <a:t>1</a:t>
                    </a:r>
                    <a:r>
                      <a:rPr lang="ru-RU" sz="1000" baseline="0"/>
                      <a:t> </a:t>
                    </a:r>
                    <a:r>
                      <a:rPr lang="ru-RU" sz="1000"/>
                      <a:t>ступеня</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EDB3-40F9-9DD5-3F73E7416F20}"/>
                </c:ext>
              </c:extLst>
            </c:dLbl>
            <c:dLbl>
              <c:idx val="1"/>
              <c:layout>
                <c:manualLayout>
                  <c:x val="-8.3098315835520561E-2"/>
                  <c:y val="-7.9571303587051612E-2"/>
                </c:manualLayout>
              </c:layout>
              <c:tx>
                <c:rich>
                  <a:bodyPr/>
                  <a:lstStyle/>
                  <a:p>
                    <a:fld id="{659D4860-C6F2-46C6-A57C-F73E4429C294}" type="VALUE">
                      <a:rPr lang="ru-RU" sz="1000" b="1"/>
                      <a:pPr/>
                      <a:t>[ЗНАЧЕНИЕ]</a:t>
                    </a:fld>
                    <a:r>
                      <a:rPr lang="ru-RU" sz="1000"/>
                      <a:t> %</a:t>
                    </a:r>
                  </a:p>
                  <a:p>
                    <a:r>
                      <a:rPr lang="ru-RU" sz="1000"/>
                      <a:t>Ожиріння </a:t>
                    </a:r>
                  </a:p>
                  <a:p>
                    <a:r>
                      <a:rPr lang="ru-RU" sz="1000"/>
                      <a:t>2 ступеня</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EDB3-40F9-9DD5-3F73E7416F20}"/>
                </c:ext>
              </c:extLst>
            </c:dLbl>
            <c:dLbl>
              <c:idx val="2"/>
              <c:layout>
                <c:manualLayout>
                  <c:x val="-7.2961919630735936E-3"/>
                  <c:y val="-1.2555382985383723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DBC726A4-92C9-4A16-8097-21E212323353}" type="VALUE">
                      <a:rPr lang="ru-RU" sz="1000" b="1"/>
                      <a:pPr>
                        <a:defRPr sz="900" b="0" i="0" u="none" strike="noStrike" kern="1200" baseline="0">
                          <a:solidFill>
                            <a:schemeClr val="tx1">
                              <a:lumMod val="75000"/>
                              <a:lumOff val="25000"/>
                            </a:schemeClr>
                          </a:solidFill>
                          <a:latin typeface="+mn-lt"/>
                          <a:ea typeface="+mn-ea"/>
                          <a:cs typeface="+mn-cs"/>
                        </a:defRPr>
                      </a:pPr>
                      <a:t>[ЗНАЧЕНИЕ]</a:t>
                    </a:fld>
                    <a:r>
                      <a:rPr lang="ru-RU" sz="1000" b="1"/>
                      <a:t> % </a:t>
                    </a:r>
                  </a:p>
                  <a:p>
                    <a:pPr>
                      <a:defRPr sz="900" b="0" i="0" u="none" strike="noStrike" kern="1200" baseline="0">
                        <a:solidFill>
                          <a:schemeClr val="tx1">
                            <a:lumMod val="75000"/>
                            <a:lumOff val="25000"/>
                          </a:schemeClr>
                        </a:solidFill>
                        <a:latin typeface="+mn-lt"/>
                        <a:ea typeface="+mn-ea"/>
                        <a:cs typeface="+mn-cs"/>
                      </a:defRPr>
                    </a:pPr>
                    <a:r>
                      <a:rPr lang="ru-RU" sz="1000"/>
                      <a:t>Ожиріння </a:t>
                    </a:r>
                  </a:p>
                  <a:p>
                    <a:pPr>
                      <a:defRPr sz="900" b="0" i="0" u="none" strike="noStrike" kern="1200" baseline="0">
                        <a:solidFill>
                          <a:schemeClr val="tx1">
                            <a:lumMod val="75000"/>
                            <a:lumOff val="25000"/>
                          </a:schemeClr>
                        </a:solidFill>
                        <a:latin typeface="+mn-lt"/>
                        <a:ea typeface="+mn-ea"/>
                        <a:cs typeface="+mn-cs"/>
                      </a:defRPr>
                    </a:pPr>
                    <a:r>
                      <a:rPr lang="ru-RU" sz="1000"/>
                      <a:t>3 ступеня</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44094290207258574"/>
                      <c:h val="0.38740639071492206"/>
                    </c:manualLayout>
                  </c15:layout>
                  <c15:dlblFieldTable/>
                  <c15:showDataLabelsRange val="0"/>
                </c:ext>
                <c:ext xmlns:c16="http://schemas.microsoft.com/office/drawing/2014/chart" uri="{C3380CC4-5D6E-409C-BE32-E72D297353CC}">
                  <c16:uniqueId val="{00000002-EDB3-40F9-9DD5-3F73E7416F2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Лист3!$A$38:$B$40</c:f>
              <c:strCache>
                <c:ptCount val="3"/>
                <c:pt idx="0">
                  <c:v>Ожиріння 1 ступеня</c:v>
                </c:pt>
                <c:pt idx="1">
                  <c:v>Ожиріння 2 ступеня</c:v>
                </c:pt>
                <c:pt idx="2">
                  <c:v>Ожиріння 3 ступеня </c:v>
                </c:pt>
              </c:strCache>
            </c:strRef>
          </c:cat>
          <c:val>
            <c:numRef>
              <c:f>Лист3!$C$38:$C$40</c:f>
              <c:numCache>
                <c:formatCode>General</c:formatCode>
                <c:ptCount val="3"/>
                <c:pt idx="0">
                  <c:v>44.5</c:v>
                </c:pt>
                <c:pt idx="1">
                  <c:v>44.5</c:v>
                </c:pt>
                <c:pt idx="2">
                  <c:v>11</c:v>
                </c:pt>
              </c:numCache>
            </c:numRef>
          </c:val>
          <c:extLst>
            <c:ext xmlns:c16="http://schemas.microsoft.com/office/drawing/2014/chart" uri="{C3380CC4-5D6E-409C-BE32-E72D297353CC}">
              <c16:uniqueId val="{00000003-EDB3-40F9-9DD5-3F73E7416F20}"/>
            </c:ext>
          </c:extLst>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ІЛ-22 пг/мл</a:t>
            </a: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Лист5!$B$2</c:f>
              <c:strCache>
                <c:ptCount val="1"/>
                <c:pt idx="0">
                  <c:v>жінки</c:v>
                </c:pt>
              </c:strCache>
            </c:strRef>
          </c:tx>
          <c:spPr>
            <a:solidFill>
              <a:schemeClr val="bg1">
                <a:lumMod val="85000"/>
              </a:schemeClr>
            </a:solidFill>
            <a:ln>
              <a:noFill/>
            </a:ln>
            <a:effectLst/>
            <a:sp3d/>
          </c:spPr>
          <c:invertIfNegative val="0"/>
          <c:dLbls>
            <c:dLbl>
              <c:idx val="0"/>
              <c:layout>
                <c:manualLayout>
                  <c:x val="-2.358490566037736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A31-4A52-BCD7-B7900868F876}"/>
                </c:ext>
              </c:extLst>
            </c:dLbl>
            <c:dLbl>
              <c:idx val="1"/>
              <c:layout>
                <c:manualLayout>
                  <c:x val="-1.5723270440251572E-2"/>
                  <c:y val="6.58761528326745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A31-4A52-BCD7-B7900868F876}"/>
                </c:ext>
              </c:extLst>
            </c:dLbl>
            <c:dLbl>
              <c:idx val="2"/>
              <c:layout>
                <c:manualLayout>
                  <c:x val="-2.751572327044018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A31-4A52-BCD7-B7900868F876}"/>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Лист5!$A$3:$A$5</c:f>
              <c:strCache>
                <c:ptCount val="3"/>
                <c:pt idx="0">
                  <c:v>КГ</c:v>
                </c:pt>
                <c:pt idx="1">
                  <c:v>ГХ</c:v>
                </c:pt>
                <c:pt idx="2">
                  <c:v>ГХ+АО</c:v>
                </c:pt>
              </c:strCache>
            </c:strRef>
          </c:cat>
          <c:val>
            <c:numRef>
              <c:f>Лист5!$B$3:$B$5</c:f>
              <c:numCache>
                <c:formatCode>General</c:formatCode>
                <c:ptCount val="3"/>
                <c:pt idx="0">
                  <c:v>18.93</c:v>
                </c:pt>
                <c:pt idx="1">
                  <c:v>24.93</c:v>
                </c:pt>
                <c:pt idx="2">
                  <c:v>29.21</c:v>
                </c:pt>
              </c:numCache>
            </c:numRef>
          </c:val>
          <c:shape val="cylinder"/>
          <c:extLst>
            <c:ext xmlns:c16="http://schemas.microsoft.com/office/drawing/2014/chart" uri="{C3380CC4-5D6E-409C-BE32-E72D297353CC}">
              <c16:uniqueId val="{00000000-0636-4550-BF58-130EEC861C00}"/>
            </c:ext>
          </c:extLst>
        </c:ser>
        <c:ser>
          <c:idx val="1"/>
          <c:order val="1"/>
          <c:tx>
            <c:strRef>
              <c:f>Лист5!$C$2</c:f>
              <c:strCache>
                <c:ptCount val="1"/>
                <c:pt idx="0">
                  <c:v>чоловіки</c:v>
                </c:pt>
              </c:strCache>
            </c:strRef>
          </c:tx>
          <c:spPr>
            <a:solidFill>
              <a:schemeClr val="bg2">
                <a:lumMod val="50000"/>
              </a:schemeClr>
            </a:solidFill>
            <a:ln>
              <a:noFill/>
            </a:ln>
            <a:effectLst/>
            <a:sp3d/>
          </c:spPr>
          <c:invertIfNegative val="0"/>
          <c:dLbls>
            <c:dLbl>
              <c:idx val="0"/>
              <c:layout>
                <c:manualLayout>
                  <c:x val="3.0555555555555516E-2"/>
                  <c:y val="-2.777777777777783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636-4550-BF58-130EEC861C00}"/>
                </c:ext>
              </c:extLst>
            </c:dLbl>
            <c:dLbl>
              <c:idx val="1"/>
              <c:layout>
                <c:manualLayout>
                  <c:x val="2.4999999999999897E-2"/>
                  <c:y val="-2.777777777777783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636-4550-BF58-130EEC861C00}"/>
                </c:ext>
              </c:extLst>
            </c:dLbl>
            <c:dLbl>
              <c:idx val="2"/>
              <c:layout>
                <c:manualLayout>
                  <c:x val="3.0555555555555454E-2"/>
                  <c:y val="-1.388888888888890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636-4550-BF58-130EEC861C0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Лист5!$A$3:$A$5</c:f>
              <c:strCache>
                <c:ptCount val="3"/>
                <c:pt idx="0">
                  <c:v>КГ</c:v>
                </c:pt>
                <c:pt idx="1">
                  <c:v>ГХ</c:v>
                </c:pt>
                <c:pt idx="2">
                  <c:v>ГХ+АО</c:v>
                </c:pt>
              </c:strCache>
            </c:strRef>
          </c:cat>
          <c:val>
            <c:numRef>
              <c:f>Лист5!$C$3:$C$5</c:f>
              <c:numCache>
                <c:formatCode>General</c:formatCode>
                <c:ptCount val="3"/>
                <c:pt idx="0">
                  <c:v>20.149999999999999</c:v>
                </c:pt>
                <c:pt idx="1">
                  <c:v>28.84</c:v>
                </c:pt>
                <c:pt idx="2">
                  <c:v>51.64</c:v>
                </c:pt>
              </c:numCache>
            </c:numRef>
          </c:val>
          <c:shape val="cylinder"/>
          <c:extLst>
            <c:ext xmlns:c16="http://schemas.microsoft.com/office/drawing/2014/chart" uri="{C3380CC4-5D6E-409C-BE32-E72D297353CC}">
              <c16:uniqueId val="{00000004-0636-4550-BF58-130EEC861C00}"/>
            </c:ext>
          </c:extLst>
        </c:ser>
        <c:dLbls>
          <c:showLegendKey val="0"/>
          <c:showVal val="0"/>
          <c:showCatName val="0"/>
          <c:showSerName val="0"/>
          <c:showPercent val="0"/>
          <c:showBubbleSize val="0"/>
        </c:dLbls>
        <c:gapWidth val="150"/>
        <c:shape val="box"/>
        <c:axId val="71583232"/>
        <c:axId val="71584768"/>
        <c:axId val="0"/>
      </c:bar3DChart>
      <c:catAx>
        <c:axId val="715832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584768"/>
        <c:crosses val="autoZero"/>
        <c:auto val="1"/>
        <c:lblAlgn val="ctr"/>
        <c:lblOffset val="100"/>
        <c:noMultiLvlLbl val="0"/>
      </c:catAx>
      <c:valAx>
        <c:axId val="71584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5832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explosion val="12"/>
            <c:spPr>
              <a:solidFill>
                <a:schemeClr val="tx1">
                  <a:lumMod val="65000"/>
                  <a:lumOff val="3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0-FA1A-4C7F-9A24-DD78AF8109DE}"/>
              </c:ext>
            </c:extLst>
          </c:dPt>
          <c:dPt>
            <c:idx val="1"/>
            <c:bubble3D val="0"/>
            <c:spPr>
              <a:solidFill>
                <a:schemeClr val="bg1">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FA1A-4C7F-9A24-DD78AF8109DE}"/>
              </c:ext>
            </c:extLst>
          </c:dPt>
          <c:dLbls>
            <c:dLbl>
              <c:idx val="0"/>
              <c:layout>
                <c:manualLayout>
                  <c:x val="7.1946631671041183E-3"/>
                  <c:y val="-5.2836832895888086E-2"/>
                </c:manualLayout>
              </c:layout>
              <c:tx>
                <c:rich>
                  <a:bodyPr/>
                  <a:lstStyle/>
                  <a:p>
                    <a:r>
                      <a:rPr lang="en-US" baseline="0">
                        <a:latin typeface="Times New Roman" pitchFamily="18" charset="0"/>
                      </a:rPr>
                      <a:t>38 %</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A1A-4C7F-9A24-DD78AF8109DE}"/>
                </c:ext>
              </c:extLst>
            </c:dLbl>
            <c:dLbl>
              <c:idx val="1"/>
              <c:layout>
                <c:manualLayout>
                  <c:x val="-3.6365594925634293E-2"/>
                  <c:y val="-3.3986949547973204E-2"/>
                </c:manualLayout>
              </c:layout>
              <c:tx>
                <c:rich>
                  <a:bodyPr/>
                  <a:lstStyle/>
                  <a:p>
                    <a:r>
                      <a:rPr lang="en-US" baseline="0">
                        <a:latin typeface="Times New Roman" pitchFamily="18" charset="0"/>
                      </a:rPr>
                      <a:t>62 %</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A1A-4C7F-9A24-DD78AF8109DE}"/>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itchFamily="18" charset="0"/>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Лист6!$A$26:$A$27</c:f>
              <c:strCache>
                <c:ptCount val="2"/>
                <c:pt idx="0">
                  <c:v>Чоловіки</c:v>
                </c:pt>
                <c:pt idx="1">
                  <c:v>Жінки</c:v>
                </c:pt>
              </c:strCache>
            </c:strRef>
          </c:cat>
          <c:val>
            <c:numRef>
              <c:f>Лист6!$B$26:$B$27</c:f>
              <c:numCache>
                <c:formatCode>General</c:formatCode>
                <c:ptCount val="2"/>
                <c:pt idx="0">
                  <c:v>38</c:v>
                </c:pt>
                <c:pt idx="1">
                  <c:v>62</c:v>
                </c:pt>
              </c:numCache>
            </c:numRef>
          </c:val>
          <c:extLst>
            <c:ext xmlns:c16="http://schemas.microsoft.com/office/drawing/2014/chart" uri="{C3380CC4-5D6E-409C-BE32-E72D297353CC}">
              <c16:uniqueId val="{00000002-FA1A-4C7F-9A24-DD78AF8109DE}"/>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itchFamily="18" charset="0"/>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aseline="0"/>
              <a:t>ІЛ-22 ЗАЛЕЖНО ВІД ТИПУ РЕМОДЕЛЮВАННЯ ЛШ</a:t>
            </a:r>
          </a:p>
        </c:rich>
      </c:tx>
      <c:layout>
        <c:manualLayout>
          <c:xMode val="edge"/>
          <c:yMode val="edge"/>
          <c:x val="7.8937445319335081E-2"/>
          <c:y val="9.2592592592592778E-3"/>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61111111111108E-2"/>
          <c:y val="0.21607319918343554"/>
          <c:w val="0.81388888888888944"/>
          <c:h val="0.67734434237387153"/>
        </c:manualLayout>
      </c:layout>
      <c:pie3DChart>
        <c:varyColors val="1"/>
        <c:ser>
          <c:idx val="0"/>
          <c:order val="0"/>
          <c:explosion val="58"/>
          <c:dPt>
            <c:idx val="0"/>
            <c:bubble3D val="0"/>
            <c:explosion val="16"/>
            <c:spPr>
              <a:solidFill>
                <a:schemeClr val="bg2">
                  <a:lumMod val="9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0-A032-4B1A-B2F3-C4CF59C5333D}"/>
              </c:ext>
            </c:extLst>
          </c:dPt>
          <c:dPt>
            <c:idx val="1"/>
            <c:bubble3D val="0"/>
            <c:spPr>
              <a:solidFill>
                <a:schemeClr val="bg2">
                  <a:lumMod val="5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A032-4B1A-B2F3-C4CF59C5333D}"/>
              </c:ext>
            </c:extLst>
          </c:dPt>
          <c:dPt>
            <c:idx val="2"/>
            <c:bubble3D val="0"/>
            <c:explosion val="41"/>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2-A032-4B1A-B2F3-C4CF59C5333D}"/>
              </c:ext>
            </c:extLst>
          </c:dPt>
          <c:dPt>
            <c:idx val="3"/>
            <c:bubble3D val="0"/>
            <c:spPr>
              <a:solidFill>
                <a:schemeClr val="tx1">
                  <a:lumMod val="85000"/>
                  <a:lumOff val="1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A032-4B1A-B2F3-C4CF59C5333D}"/>
              </c:ext>
            </c:extLst>
          </c:dPt>
          <c:dLbls>
            <c:dLbl>
              <c:idx val="0"/>
              <c:layout>
                <c:manualLayout>
                  <c:x val="1.5385608048993884E-2"/>
                  <c:y val="-3.9824110527850717E-2"/>
                </c:manualLayout>
              </c:layout>
              <c:tx>
                <c:rich>
                  <a:bodyPr rot="0" spcFirstLastPara="1" vertOverflow="ellipsis" vert="horz" wrap="square" lIns="38100" tIns="19050" rIns="38100" bIns="19050" anchor="ctr" anchorCtr="0">
                    <a:noAutofit/>
                  </a:bodyPr>
                  <a:lstStyle/>
                  <a:p>
                    <a:pPr algn="l">
                      <a:defRPr sz="900" b="0" i="0" u="none" strike="noStrike" kern="1200" baseline="0">
                        <a:solidFill>
                          <a:schemeClr val="tx1">
                            <a:lumMod val="75000"/>
                            <a:lumOff val="25000"/>
                          </a:schemeClr>
                        </a:solidFill>
                        <a:latin typeface="+mn-lt"/>
                        <a:ea typeface="+mn-ea"/>
                        <a:cs typeface="+mn-cs"/>
                      </a:defRPr>
                    </a:pPr>
                    <a:r>
                      <a:rPr lang="ru-RU" sz="900" baseline="0"/>
                      <a:t>Нормальна геометрія </a:t>
                    </a:r>
                    <a:fld id="{D1CD6AA1-D8FB-415B-8750-15C2A43530D7}" type="VALUE">
                      <a:rPr lang="en-US" sz="900"/>
                      <a:pPr algn="l">
                        <a:defRPr sz="900" b="0" i="0" u="none" strike="noStrike" kern="1200" baseline="0">
                          <a:solidFill>
                            <a:schemeClr val="tx1">
                              <a:lumMod val="75000"/>
                              <a:lumOff val="25000"/>
                            </a:schemeClr>
                          </a:solidFill>
                          <a:latin typeface="+mn-lt"/>
                          <a:ea typeface="+mn-ea"/>
                          <a:cs typeface="+mn-cs"/>
                        </a:defRPr>
                      </a:pPr>
                      <a:t>[ЗНАЧЕНИЕ]</a:t>
                    </a:fld>
                    <a:r>
                      <a:rPr lang="en-US" sz="900"/>
                      <a:t>%</a:t>
                    </a:r>
                  </a:p>
                  <a:p>
                    <a:pPr algn="l">
                      <a:defRPr sz="900" b="0" i="0" u="none" strike="noStrike" kern="1200" baseline="0">
                        <a:solidFill>
                          <a:schemeClr val="tx1">
                            <a:lumMod val="75000"/>
                            <a:lumOff val="25000"/>
                          </a:schemeClr>
                        </a:solidFill>
                        <a:latin typeface="+mn-lt"/>
                        <a:ea typeface="+mn-ea"/>
                        <a:cs typeface="+mn-cs"/>
                      </a:defRPr>
                    </a:pPr>
                    <a:r>
                      <a:rPr lang="en-US" sz="900"/>
                      <a:t>ІЛ-22 - 23,73  пг/мл</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32472222222222225"/>
                      <c:h val="0.2281714785651793"/>
                    </c:manualLayout>
                  </c15:layout>
                  <c15:dlblFieldTable/>
                  <c15:showDataLabelsRange val="0"/>
                </c:ext>
                <c:ext xmlns:c16="http://schemas.microsoft.com/office/drawing/2014/chart" uri="{C3380CC4-5D6E-409C-BE32-E72D297353CC}">
                  <c16:uniqueId val="{00000000-A032-4B1A-B2F3-C4CF59C5333D}"/>
                </c:ext>
              </c:extLst>
            </c:dLbl>
            <c:dLbl>
              <c:idx val="1"/>
              <c:layout>
                <c:manualLayout>
                  <c:x val="0.19115682414698165"/>
                  <c:y val="-6.3203193350831299E-2"/>
                </c:manualLayout>
              </c:layout>
              <c:tx>
                <c:rich>
                  <a:bodyPr/>
                  <a:lstStyle/>
                  <a:p>
                    <a:r>
                      <a:rPr lang="ru-RU"/>
                      <a:t>Концентрична гіпертрофія </a:t>
                    </a:r>
                    <a:fld id="{DCC67F63-7BAB-4494-B6C5-2052C5A04D84}" type="VALUE">
                      <a:rPr lang="en-US"/>
                      <a:pPr/>
                      <a:t>[ЗНАЧЕНИЕ]</a:t>
                    </a:fld>
                    <a:r>
                      <a:rPr lang="en-US"/>
                      <a:t>%</a:t>
                    </a:r>
                  </a:p>
                  <a:p>
                    <a:r>
                      <a:rPr lang="en-US"/>
                      <a:t>ІЛ-22 - 29,18 пг/мл</a:t>
                    </a:r>
                  </a:p>
                  <a:p>
                    <a:endParaRPr lang="ru-RU"/>
                  </a:p>
                </c:rich>
              </c:tx>
              <c:showLegendKey val="0"/>
              <c:showVal val="1"/>
              <c:showCatName val="0"/>
              <c:showSerName val="0"/>
              <c:showPercent val="0"/>
              <c:showBubbleSize val="0"/>
              <c:extLst>
                <c:ext xmlns:c15="http://schemas.microsoft.com/office/drawing/2012/chart" uri="{CE6537A1-D6FC-4f65-9D91-7224C49458BB}">
                  <c15:layout>
                    <c:manualLayout>
                      <c:w val="0.23769860017497813"/>
                      <c:h val="0.21731481481481482"/>
                    </c:manualLayout>
                  </c15:layout>
                  <c15:dlblFieldTable/>
                  <c15:showDataLabelsRange val="0"/>
                </c:ext>
                <c:ext xmlns:c16="http://schemas.microsoft.com/office/drawing/2014/chart" uri="{C3380CC4-5D6E-409C-BE32-E72D297353CC}">
                  <c16:uniqueId val="{00000001-A032-4B1A-B2F3-C4CF59C5333D}"/>
                </c:ext>
              </c:extLst>
            </c:dLbl>
            <c:dLbl>
              <c:idx val="2"/>
              <c:layout>
                <c:manualLayout>
                  <c:x val="1.3274595322424843E-3"/>
                  <c:y val="-1.2789638408601249E-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ru-RU"/>
                      <a:t>Концентричне ремоделювання </a:t>
                    </a:r>
                    <a:fld id="{B041FB17-A890-4246-B5DB-FAD0E65D69BC}" type="VALUE">
                      <a:rPr lang="en-US"/>
                      <a:pPr>
                        <a:defRPr sz="900" b="0" i="0" u="none" strike="noStrike" kern="1200" baseline="0">
                          <a:solidFill>
                            <a:schemeClr val="tx1">
                              <a:lumMod val="75000"/>
                              <a:lumOff val="25000"/>
                            </a:schemeClr>
                          </a:solidFill>
                          <a:latin typeface="+mn-lt"/>
                          <a:ea typeface="+mn-ea"/>
                          <a:cs typeface="+mn-cs"/>
                        </a:defRPr>
                      </a:pPr>
                      <a:t>[ЗНАЧЕНИЕ]</a:t>
                    </a:fld>
                    <a:r>
                      <a:rPr lang="en-US"/>
                      <a:t>%</a:t>
                    </a:r>
                  </a:p>
                  <a:p>
                    <a:pPr>
                      <a:defRPr sz="900" b="0" i="0" u="none" strike="noStrike" kern="1200" baseline="0">
                        <a:solidFill>
                          <a:schemeClr val="tx1">
                            <a:lumMod val="75000"/>
                            <a:lumOff val="25000"/>
                          </a:schemeClr>
                        </a:solidFill>
                        <a:latin typeface="+mn-lt"/>
                        <a:ea typeface="+mn-ea"/>
                        <a:cs typeface="+mn-cs"/>
                      </a:defRPr>
                    </a:pPr>
                    <a:r>
                      <a:rPr lang="en-US"/>
                      <a:t>ІЛ-22 - 26,64 пг/мл</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3351954843934471"/>
                      <c:h val="0.2981879842339295"/>
                    </c:manualLayout>
                  </c15:layout>
                  <c15:dlblFieldTable/>
                  <c15:showDataLabelsRange val="0"/>
                </c:ext>
                <c:ext xmlns:c16="http://schemas.microsoft.com/office/drawing/2014/chart" uri="{C3380CC4-5D6E-409C-BE32-E72D297353CC}">
                  <c16:uniqueId val="{00000002-A032-4B1A-B2F3-C4CF59C5333D}"/>
                </c:ext>
              </c:extLst>
            </c:dLbl>
            <c:dLbl>
              <c:idx val="3"/>
              <c:layout>
                <c:manualLayout>
                  <c:x val="0.18756708036960065"/>
                  <c:y val="1.1526007702645417E-2"/>
                </c:manualLayout>
              </c:layout>
              <c:tx>
                <c:rich>
                  <a:bodyPr/>
                  <a:lstStyle/>
                  <a:p>
                    <a:r>
                      <a:rPr lang="ru-RU"/>
                      <a:t>Ексцентрична гіпертрофія </a:t>
                    </a:r>
                    <a:fld id="{C160ED38-8214-45FB-922C-EE67511809E6}" type="VALUE">
                      <a:rPr lang="en-US"/>
                      <a:pPr/>
                      <a:t>[ЗНАЧЕНИЕ]</a:t>
                    </a:fld>
                    <a:r>
                      <a:rPr lang="en-US"/>
                      <a:t>%</a:t>
                    </a:r>
                  </a:p>
                  <a:p>
                    <a:r>
                      <a:rPr lang="en-US"/>
                      <a:t>ІЛ-22 - 28,93пг/мл</a:t>
                    </a:r>
                  </a:p>
                </c:rich>
              </c:tx>
              <c:showLegendKey val="0"/>
              <c:showVal val="1"/>
              <c:showCatName val="0"/>
              <c:showSerName val="0"/>
              <c:showPercent val="0"/>
              <c:showBubbleSize val="0"/>
              <c:extLst>
                <c:ext xmlns:c15="http://schemas.microsoft.com/office/drawing/2012/chart" uri="{CE6537A1-D6FC-4f65-9D91-7224C49458BB}">
                  <c15:layout>
                    <c:manualLayout>
                      <c:w val="0.41377777777777774"/>
                      <c:h val="0.16645851560221639"/>
                    </c:manualLayout>
                  </c15:layout>
                  <c15:dlblFieldTable/>
                  <c15:showDataLabelsRange val="0"/>
                </c:ext>
                <c:ext xmlns:c16="http://schemas.microsoft.com/office/drawing/2014/chart" uri="{C3380CC4-5D6E-409C-BE32-E72D297353CC}">
                  <c16:uniqueId val="{00000003-A032-4B1A-B2F3-C4CF59C5333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Лист7!$A$1:$A$4</c:f>
              <c:strCache>
                <c:ptCount val="4"/>
                <c:pt idx="0">
                  <c:v>НГ</c:v>
                </c:pt>
                <c:pt idx="1">
                  <c:v>КР</c:v>
                </c:pt>
                <c:pt idx="2">
                  <c:v>КГ</c:v>
                </c:pt>
                <c:pt idx="3">
                  <c:v>ЕГ</c:v>
                </c:pt>
              </c:strCache>
            </c:strRef>
          </c:cat>
          <c:val>
            <c:numRef>
              <c:f>Лист7!$B$1:$B$4</c:f>
              <c:numCache>
                <c:formatCode>General</c:formatCode>
                <c:ptCount val="4"/>
                <c:pt idx="0">
                  <c:v>23.3</c:v>
                </c:pt>
                <c:pt idx="1">
                  <c:v>47.7</c:v>
                </c:pt>
                <c:pt idx="2">
                  <c:v>17.399999999999999</c:v>
                </c:pt>
                <c:pt idx="3">
                  <c:v>11.6</c:v>
                </c:pt>
              </c:numCache>
            </c:numRef>
          </c:val>
          <c:extLst>
            <c:ext xmlns:c16="http://schemas.microsoft.com/office/drawing/2014/chart" uri="{C3380CC4-5D6E-409C-BE32-E72D297353CC}">
              <c16:uniqueId val="{00000004-A032-4B1A-B2F3-C4CF59C5333D}"/>
            </c:ext>
          </c:extLst>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ІЛ-22, пг/мл</a:t>
            </a: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Лист7!$A$26</c:f>
              <c:strCache>
                <c:ptCount val="1"/>
                <c:pt idx="0">
                  <c:v>ІЛ-22, пг/мл</c:v>
                </c:pt>
              </c:strCache>
            </c:strRef>
          </c:tx>
          <c:spPr>
            <a:solidFill>
              <a:schemeClr val="bg2">
                <a:lumMod val="50000"/>
              </a:schemeClr>
            </a:solidFill>
            <a:ln>
              <a:noFill/>
            </a:ln>
            <a:effectLst/>
            <a:sp3d/>
          </c:spPr>
          <c:invertIfNegative val="0"/>
          <c:dPt>
            <c:idx val="0"/>
            <c:invertIfNegative val="0"/>
            <c:bubble3D val="0"/>
            <c:spPr>
              <a:solidFill>
                <a:schemeClr val="bg1">
                  <a:lumMod val="75000"/>
                </a:schemeClr>
              </a:solidFill>
              <a:ln>
                <a:noFill/>
              </a:ln>
              <a:effectLst/>
              <a:sp3d/>
            </c:spPr>
            <c:extLst>
              <c:ext xmlns:c16="http://schemas.microsoft.com/office/drawing/2014/chart" uri="{C3380CC4-5D6E-409C-BE32-E72D297353CC}">
                <c16:uniqueId val="{00000000-48E7-49AD-B225-2876EE2C961C}"/>
              </c:ext>
            </c:extLst>
          </c:dPt>
          <c:dPt>
            <c:idx val="1"/>
            <c:invertIfNegative val="0"/>
            <c:bubble3D val="0"/>
            <c:spPr>
              <a:solidFill>
                <a:schemeClr val="bg1">
                  <a:lumMod val="75000"/>
                </a:schemeClr>
              </a:solidFill>
              <a:ln>
                <a:noFill/>
              </a:ln>
              <a:effectLst/>
              <a:sp3d/>
            </c:spPr>
            <c:extLst>
              <c:ext xmlns:c16="http://schemas.microsoft.com/office/drawing/2014/chart" uri="{C3380CC4-5D6E-409C-BE32-E72D297353CC}">
                <c16:uniqueId val="{00000001-48E7-49AD-B225-2876EE2C961C}"/>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Лист7!$B$25:$F$25</c:f>
              <c:strCache>
                <c:ptCount val="5"/>
                <c:pt idx="0">
                  <c:v>КІМ&lt;0,9 мм</c:v>
                </c:pt>
                <c:pt idx="1">
                  <c:v>КІМ≥0,9 мм</c:v>
                </c:pt>
                <c:pt idx="3">
                  <c:v>КІМ&lt;0,9 мм</c:v>
                </c:pt>
                <c:pt idx="4">
                  <c:v>КІМ≥0,9мм</c:v>
                </c:pt>
              </c:strCache>
            </c:strRef>
          </c:cat>
          <c:val>
            <c:numRef>
              <c:f>Лист7!$B$26:$F$26</c:f>
              <c:numCache>
                <c:formatCode>General</c:formatCode>
                <c:ptCount val="5"/>
                <c:pt idx="0">
                  <c:v>26.16</c:v>
                </c:pt>
                <c:pt idx="1">
                  <c:v>29.95</c:v>
                </c:pt>
                <c:pt idx="3">
                  <c:v>28.49</c:v>
                </c:pt>
                <c:pt idx="4">
                  <c:v>32.050000000000004</c:v>
                </c:pt>
              </c:numCache>
            </c:numRef>
          </c:val>
          <c:shape val="cylinder"/>
          <c:extLst>
            <c:ext xmlns:c16="http://schemas.microsoft.com/office/drawing/2014/chart" uri="{C3380CC4-5D6E-409C-BE32-E72D297353CC}">
              <c16:uniqueId val="{00000002-48E7-49AD-B225-2876EE2C961C}"/>
            </c:ext>
          </c:extLst>
        </c:ser>
        <c:dLbls>
          <c:showLegendKey val="0"/>
          <c:showVal val="0"/>
          <c:showCatName val="0"/>
          <c:showSerName val="0"/>
          <c:showPercent val="0"/>
          <c:showBubbleSize val="0"/>
        </c:dLbls>
        <c:gapWidth val="150"/>
        <c:shape val="box"/>
        <c:axId val="71741824"/>
        <c:axId val="71743360"/>
        <c:axId val="0"/>
      </c:bar3DChart>
      <c:catAx>
        <c:axId val="717418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743360"/>
        <c:crosses val="autoZero"/>
        <c:auto val="1"/>
        <c:lblAlgn val="ctr"/>
        <c:lblOffset val="100"/>
        <c:noMultiLvlLbl val="0"/>
      </c:catAx>
      <c:valAx>
        <c:axId val="71743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741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itchFamily="18" charset="0"/>
                <a:ea typeface="+mn-ea"/>
                <a:cs typeface="+mn-cs"/>
              </a:defRPr>
            </a:pPr>
            <a:r>
              <a:rPr lang="ru-RU" baseline="0">
                <a:latin typeface="Times New Roman" pitchFamily="18" charset="0"/>
              </a:rPr>
              <a:t>Середній вік обстежених, роки </a:t>
            </a:r>
          </a:p>
        </c:rich>
      </c:tx>
      <c:layout>
        <c:manualLayout>
          <c:xMode val="edge"/>
          <c:yMode val="edge"/>
          <c:x val="0.28499999999999998"/>
          <c:y val="3.2407407407407406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Лист6!$B$37</c:f>
              <c:strCache>
                <c:ptCount val="1"/>
                <c:pt idx="0">
                  <c:v>роки </c:v>
                </c:pt>
              </c:strCache>
            </c:strRef>
          </c:tx>
          <c:spPr>
            <a:solidFill>
              <a:schemeClr val="bg1">
                <a:lumMod val="65000"/>
              </a:schemeClr>
            </a:solidFill>
            <a:ln>
              <a:noFill/>
            </a:ln>
            <a:effectLst/>
            <a:sp3d/>
          </c:spPr>
          <c:invertIfNegative val="0"/>
          <c:dLbls>
            <c:dLbl>
              <c:idx val="0"/>
              <c:layout>
                <c:manualLayout>
                  <c:x val="-2.7777777777777848E-3"/>
                  <c:y val="-3.24074074074074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D9E-4C17-9DBE-5D175BBE2E10}"/>
                </c:ext>
              </c:extLst>
            </c:dLbl>
            <c:dLbl>
              <c:idx val="1"/>
              <c:layout>
                <c:manualLayout>
                  <c:x val="0"/>
                  <c:y val="-2.777777777777783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D9E-4C17-9DBE-5D175BBE2E10}"/>
                </c:ext>
              </c:extLst>
            </c:dLbl>
            <c:dLbl>
              <c:idx val="2"/>
              <c:layout>
                <c:manualLayout>
                  <c:x val="-1.0185067526416036E-16"/>
                  <c:y val="-1.388888888888890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D9E-4C17-9DBE-5D175BBE2E10}"/>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Лист6!$A$38:$A$40</c:f>
              <c:strCache>
                <c:ptCount val="3"/>
                <c:pt idx="0">
                  <c:v>КГ</c:v>
                </c:pt>
                <c:pt idx="1">
                  <c:v>ГХ</c:v>
                </c:pt>
                <c:pt idx="2">
                  <c:v>ГХ+ОЖ</c:v>
                </c:pt>
              </c:strCache>
            </c:strRef>
          </c:cat>
          <c:val>
            <c:numRef>
              <c:f>Лист6!$B$38:$B$40</c:f>
              <c:numCache>
                <c:formatCode>General</c:formatCode>
                <c:ptCount val="3"/>
                <c:pt idx="0">
                  <c:v>51.4</c:v>
                </c:pt>
                <c:pt idx="1">
                  <c:v>61.4</c:v>
                </c:pt>
                <c:pt idx="2">
                  <c:v>62.2</c:v>
                </c:pt>
              </c:numCache>
            </c:numRef>
          </c:val>
          <c:shape val="cone"/>
          <c:extLst>
            <c:ext xmlns:c16="http://schemas.microsoft.com/office/drawing/2014/chart" uri="{C3380CC4-5D6E-409C-BE32-E72D297353CC}">
              <c16:uniqueId val="{00000003-BD9E-4C17-9DBE-5D175BBE2E10}"/>
            </c:ext>
          </c:extLst>
        </c:ser>
        <c:dLbls>
          <c:showLegendKey val="0"/>
          <c:showVal val="0"/>
          <c:showCatName val="0"/>
          <c:showSerName val="0"/>
          <c:showPercent val="0"/>
          <c:showBubbleSize val="0"/>
        </c:dLbls>
        <c:gapWidth val="150"/>
        <c:shape val="box"/>
        <c:axId val="69145728"/>
        <c:axId val="69147264"/>
        <c:axId val="0"/>
      </c:bar3DChart>
      <c:catAx>
        <c:axId val="691457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mn-cs"/>
              </a:defRPr>
            </a:pPr>
            <a:endParaRPr lang="ru-RU"/>
          </a:p>
        </c:txPr>
        <c:crossAx val="69147264"/>
        <c:crosses val="autoZero"/>
        <c:auto val="1"/>
        <c:lblAlgn val="ctr"/>
        <c:lblOffset val="100"/>
        <c:noMultiLvlLbl val="0"/>
      </c:catAx>
      <c:valAx>
        <c:axId val="69147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mn-cs"/>
              </a:defRPr>
            </a:pPr>
            <a:endParaRPr lang="ru-RU"/>
          </a:p>
        </c:txPr>
        <c:crossAx val="69145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itchFamily="18" charset="0"/>
              <a:ea typeface="+mn-ea"/>
              <a:cs typeface="+mn-cs"/>
            </a:defRPr>
          </a:pPr>
          <a:endParaRPr lang="ru-RU"/>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Лист6!$B$52</c:f>
              <c:strCache>
                <c:ptCount val="1"/>
                <c:pt idx="0">
                  <c:v>ІМТ кг/м2</c:v>
                </c:pt>
              </c:strCache>
            </c:strRef>
          </c:tx>
          <c:spPr>
            <a:solidFill>
              <a:schemeClr val="tx1">
                <a:lumMod val="50000"/>
                <a:lumOff val="50000"/>
              </a:schemeClr>
            </a:solidFill>
            <a:ln>
              <a:solidFill>
                <a:schemeClr val="tx1">
                  <a:lumMod val="75000"/>
                  <a:lumOff val="25000"/>
                </a:schemeClr>
              </a:solidFill>
            </a:ln>
            <a:effectLst/>
            <a:sp3d>
              <a:contourClr>
                <a:schemeClr val="tx1">
                  <a:lumMod val="75000"/>
                  <a:lumOff val="2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Лист6!$A$53:$A$55</c:f>
              <c:strCache>
                <c:ptCount val="3"/>
                <c:pt idx="0">
                  <c:v>КГ</c:v>
                </c:pt>
                <c:pt idx="1">
                  <c:v>ГХ</c:v>
                </c:pt>
                <c:pt idx="2">
                  <c:v>ГХ+ОЖ</c:v>
                </c:pt>
              </c:strCache>
            </c:strRef>
          </c:cat>
          <c:val>
            <c:numRef>
              <c:f>Лист6!$B$53:$B$55</c:f>
              <c:numCache>
                <c:formatCode>General</c:formatCode>
                <c:ptCount val="3"/>
                <c:pt idx="0">
                  <c:v>24.3</c:v>
                </c:pt>
                <c:pt idx="1">
                  <c:v>23.1</c:v>
                </c:pt>
                <c:pt idx="2">
                  <c:v>30.110000000000017</c:v>
                </c:pt>
              </c:numCache>
            </c:numRef>
          </c:val>
          <c:shape val="cylinder"/>
          <c:extLst>
            <c:ext xmlns:c16="http://schemas.microsoft.com/office/drawing/2014/chart" uri="{C3380CC4-5D6E-409C-BE32-E72D297353CC}">
              <c16:uniqueId val="{00000000-08E8-4AF4-9DC7-73DFABFBA15E}"/>
            </c:ext>
          </c:extLst>
        </c:ser>
        <c:dLbls>
          <c:showLegendKey val="0"/>
          <c:showVal val="0"/>
          <c:showCatName val="0"/>
          <c:showSerName val="0"/>
          <c:showPercent val="0"/>
          <c:showBubbleSize val="0"/>
        </c:dLbls>
        <c:gapWidth val="219"/>
        <c:shape val="box"/>
        <c:axId val="69278336"/>
        <c:axId val="69280128"/>
        <c:axId val="0"/>
      </c:bar3DChart>
      <c:catAx>
        <c:axId val="69278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mn-cs"/>
              </a:defRPr>
            </a:pPr>
            <a:endParaRPr lang="ru-RU"/>
          </a:p>
        </c:txPr>
        <c:crossAx val="69280128"/>
        <c:crosses val="autoZero"/>
        <c:auto val="1"/>
        <c:lblAlgn val="ctr"/>
        <c:lblOffset val="100"/>
        <c:noMultiLvlLbl val="0"/>
      </c:catAx>
      <c:valAx>
        <c:axId val="69280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mn-cs"/>
              </a:defRPr>
            </a:pPr>
            <a:endParaRPr lang="ru-RU"/>
          </a:p>
        </c:txPr>
        <c:crossAx val="69278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depthPercent val="100"/>
      <c:rAngAx val="0"/>
    </c:view3D>
    <c:floor>
      <c:thickness val="0"/>
    </c:floor>
    <c:sideWall>
      <c:thickness val="0"/>
    </c:sideWall>
    <c:backWall>
      <c:thickness val="0"/>
    </c:backWall>
    <c:plotArea>
      <c:layout/>
      <c:pie3DChart>
        <c:varyColors val="1"/>
        <c:ser>
          <c:idx val="0"/>
          <c:order val="0"/>
          <c:dPt>
            <c:idx val="0"/>
            <c:bubble3D val="0"/>
            <c:explosion val="23"/>
            <c:extLst>
              <c:ext xmlns:c16="http://schemas.microsoft.com/office/drawing/2014/chart" uri="{C3380CC4-5D6E-409C-BE32-E72D297353CC}">
                <c16:uniqueId val="{00000000-7629-4914-B363-D21369D4A91F}"/>
              </c:ext>
            </c:extLst>
          </c:dPt>
          <c:dPt>
            <c:idx val="1"/>
            <c:bubble3D val="0"/>
            <c:explosion val="7"/>
            <c:extLst>
              <c:ext xmlns:c16="http://schemas.microsoft.com/office/drawing/2014/chart" uri="{C3380CC4-5D6E-409C-BE32-E72D297353CC}">
                <c16:uniqueId val="{00000001-7629-4914-B363-D21369D4A91F}"/>
              </c:ext>
            </c:extLst>
          </c:dPt>
          <c:dPt>
            <c:idx val="2"/>
            <c:bubble3D val="0"/>
            <c:explosion val="17"/>
            <c:extLst>
              <c:ext xmlns:c16="http://schemas.microsoft.com/office/drawing/2014/chart" uri="{C3380CC4-5D6E-409C-BE32-E72D297353CC}">
                <c16:uniqueId val="{00000002-7629-4914-B363-D21369D4A91F}"/>
              </c:ext>
            </c:extLst>
          </c:dPt>
          <c:dPt>
            <c:idx val="3"/>
            <c:bubble3D val="0"/>
            <c:explosion val="12"/>
            <c:extLst>
              <c:ext xmlns:c16="http://schemas.microsoft.com/office/drawing/2014/chart" uri="{C3380CC4-5D6E-409C-BE32-E72D297353CC}">
                <c16:uniqueId val="{00000003-7629-4914-B363-D21369D4A91F}"/>
              </c:ext>
            </c:extLst>
          </c:dPt>
          <c:dLbls>
            <c:dLbl>
              <c:idx val="0"/>
              <c:layout>
                <c:manualLayout>
                  <c:x val="3.0473315835520629E-2"/>
                  <c:y val="-2.8257509477981932E-2"/>
                </c:manualLayout>
              </c:layout>
              <c:tx>
                <c:rich>
                  <a:bodyPr rot="0" vert="horz"/>
                  <a:lstStyle/>
                  <a:p>
                    <a:pPr>
                      <a:defRPr sz="1200" baseline="0">
                        <a:latin typeface="Times New Roman" pitchFamily="18" charset="0"/>
                      </a:defRPr>
                    </a:pPr>
                    <a:r>
                      <a:rPr lang="ru-RU" sz="1200" baseline="0">
                        <a:latin typeface="Times New Roman" pitchFamily="18" charset="0"/>
                      </a:rPr>
                      <a:t>21 % нормальна маса тіла</a:t>
                    </a:r>
                  </a:p>
                </c:rich>
              </c:tx>
              <c:spPr/>
              <c:showLegendKey val="0"/>
              <c:showVal val="1"/>
              <c:showCatName val="0"/>
              <c:showSerName val="0"/>
              <c:showPercent val="0"/>
              <c:showBubbleSize val="0"/>
              <c:extLst>
                <c:ext xmlns:c15="http://schemas.microsoft.com/office/drawing/2012/chart" uri="{CE6537A1-D6FC-4f65-9D91-7224C49458BB}">
                  <c15:layout>
                    <c:manualLayout>
                      <c:w val="0.30379155730533686"/>
                      <c:h val="0.18340296004666085"/>
                    </c:manualLayout>
                  </c15:layout>
                </c:ext>
                <c:ext xmlns:c16="http://schemas.microsoft.com/office/drawing/2014/chart" uri="{C3380CC4-5D6E-409C-BE32-E72D297353CC}">
                  <c16:uniqueId val="{00000000-7629-4914-B363-D21369D4A91F}"/>
                </c:ext>
              </c:extLst>
            </c:dLbl>
            <c:dLbl>
              <c:idx val="1"/>
              <c:layout>
                <c:manualLayout>
                  <c:x val="-1.2500000000000101E-2"/>
                  <c:y val="3.6016331291921846E-2"/>
                </c:manualLayout>
              </c:layout>
              <c:tx>
                <c:rich>
                  <a:bodyPr rot="0" vert="horz"/>
                  <a:lstStyle/>
                  <a:p>
                    <a:pPr>
                      <a:defRPr sz="1200" baseline="0">
                        <a:latin typeface="Times New Roman" pitchFamily="18" charset="0"/>
                      </a:defRPr>
                    </a:pPr>
                    <a:r>
                      <a:rPr lang="ru-RU" sz="1200" baseline="0">
                        <a:latin typeface="Times New Roman" pitchFamily="18" charset="0"/>
                      </a:rPr>
                      <a:t>39  % </a:t>
                    </a:r>
                  </a:p>
                  <a:p>
                    <a:pPr>
                      <a:defRPr sz="1200" baseline="0">
                        <a:latin typeface="Times New Roman" pitchFamily="18" charset="0"/>
                      </a:defRPr>
                    </a:pPr>
                    <a:r>
                      <a:rPr lang="ru-RU" sz="1200" baseline="0">
                        <a:latin typeface="Times New Roman" pitchFamily="18" charset="0"/>
                      </a:rPr>
                      <a:t>надмірна маса тіла</a:t>
                    </a:r>
                  </a:p>
                </c:rich>
              </c:tx>
              <c:spPr/>
              <c:showLegendKey val="0"/>
              <c:showVal val="1"/>
              <c:showCatName val="0"/>
              <c:showSerName val="0"/>
              <c:showPercent val="0"/>
              <c:showBubbleSize val="0"/>
              <c:extLst>
                <c:ext xmlns:c15="http://schemas.microsoft.com/office/drawing/2012/chart" uri="{CE6537A1-D6FC-4f65-9D91-7224C49458BB}">
                  <c15:layout>
                    <c:manualLayout>
                      <c:w val="0.27158333333333334"/>
                      <c:h val="0.16307596967045787"/>
                    </c:manualLayout>
                  </c15:layout>
                </c:ext>
                <c:ext xmlns:c16="http://schemas.microsoft.com/office/drawing/2014/chart" uri="{C3380CC4-5D6E-409C-BE32-E72D297353CC}">
                  <c16:uniqueId val="{00000001-7629-4914-B363-D21369D4A91F}"/>
                </c:ext>
              </c:extLst>
            </c:dLbl>
            <c:dLbl>
              <c:idx val="2"/>
              <c:layout>
                <c:manualLayout>
                  <c:x val="1.6666666666666684E-2"/>
                  <c:y val="0.2895432341790608"/>
                </c:manualLayout>
              </c:layout>
              <c:tx>
                <c:rich>
                  <a:bodyPr rot="0" vert="horz"/>
                  <a:lstStyle/>
                  <a:p>
                    <a:pPr>
                      <a:defRPr baseline="0">
                        <a:latin typeface="Times New Roman" pitchFamily="18" charset="0"/>
                      </a:defRPr>
                    </a:pPr>
                    <a:r>
                      <a:rPr lang="ru-RU" sz="1200" baseline="0">
                        <a:latin typeface="Times New Roman" pitchFamily="18" charset="0"/>
                      </a:rPr>
                      <a:t>25 % ожиріння </a:t>
                    </a:r>
                  </a:p>
                  <a:p>
                    <a:pPr>
                      <a:defRPr baseline="0">
                        <a:latin typeface="Times New Roman" pitchFamily="18" charset="0"/>
                      </a:defRPr>
                    </a:pPr>
                    <a:r>
                      <a:rPr lang="ru-RU" sz="1200" baseline="0">
                        <a:latin typeface="Times New Roman" pitchFamily="18" charset="0"/>
                      </a:rPr>
                      <a:t>1 ступеня </a:t>
                    </a:r>
                  </a:p>
                </c:rich>
              </c:tx>
              <c:sp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629-4914-B363-D21369D4A91F}"/>
                </c:ext>
              </c:extLst>
            </c:dLbl>
            <c:dLbl>
              <c:idx val="3"/>
              <c:layout>
                <c:manualLayout>
                  <c:x val="-0.25406353893263345"/>
                  <c:y val="-6.1778215223097024E-3"/>
                </c:manualLayout>
              </c:layout>
              <c:tx>
                <c:rich>
                  <a:bodyPr rot="0" vert="horz"/>
                  <a:lstStyle/>
                  <a:p>
                    <a:pPr>
                      <a:defRPr baseline="0">
                        <a:latin typeface="Times New Roman" pitchFamily="18" charset="0"/>
                      </a:defRPr>
                    </a:pPr>
                    <a:r>
                      <a:rPr lang="ru-RU" sz="1200" baseline="0">
                        <a:latin typeface="Times New Roman" pitchFamily="18" charset="0"/>
                      </a:rPr>
                      <a:t>12 % ожиріння </a:t>
                    </a:r>
                  </a:p>
                  <a:p>
                    <a:pPr>
                      <a:defRPr baseline="0">
                        <a:latin typeface="Times New Roman" pitchFamily="18" charset="0"/>
                      </a:defRPr>
                    </a:pPr>
                    <a:r>
                      <a:rPr lang="ru-RU" sz="1200" baseline="0">
                        <a:latin typeface="Times New Roman" pitchFamily="18" charset="0"/>
                      </a:rPr>
                      <a:t>2 ступеня</a:t>
                    </a:r>
                  </a:p>
                </c:rich>
              </c:tx>
              <c:sp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629-4914-B363-D21369D4A91F}"/>
                </c:ext>
              </c:extLst>
            </c:dLbl>
            <c:dLbl>
              <c:idx val="4"/>
              <c:layout>
                <c:manualLayout>
                  <c:x val="7.5589238845144388E-2"/>
                  <c:y val="0"/>
                </c:manualLayout>
              </c:layout>
              <c:tx>
                <c:rich>
                  <a:bodyPr rot="0" vert="horz"/>
                  <a:lstStyle/>
                  <a:p>
                    <a:pPr>
                      <a:defRPr baseline="0">
                        <a:latin typeface="Times New Roman" pitchFamily="18" charset="0"/>
                      </a:defRPr>
                    </a:pPr>
                    <a:r>
                      <a:rPr lang="ru-RU" sz="1200" baseline="0">
                        <a:latin typeface="Times New Roman" pitchFamily="18" charset="0"/>
                      </a:rPr>
                      <a:t>3 % ожиріння 3 ступеня </a:t>
                    </a:r>
                  </a:p>
                </c:rich>
              </c:tx>
              <c:spPr/>
              <c:showLegendKey val="0"/>
              <c:showVal val="1"/>
              <c:showCatName val="0"/>
              <c:showSerName val="0"/>
              <c:showPercent val="0"/>
              <c:showBubbleSize val="0"/>
              <c:extLst>
                <c:ext xmlns:c15="http://schemas.microsoft.com/office/drawing/2012/chart" uri="{CE6537A1-D6FC-4f65-9D91-7224C49458BB}">
                  <c15:layout>
                    <c:manualLayout>
                      <c:w val="0.39476399825021868"/>
                      <c:h val="0.11560185185185186"/>
                    </c:manualLayout>
                  </c15:layout>
                </c:ext>
                <c:ext xmlns:c16="http://schemas.microsoft.com/office/drawing/2014/chart" uri="{C3380CC4-5D6E-409C-BE32-E72D297353CC}">
                  <c16:uniqueId val="{00000004-7629-4914-B363-D21369D4A91F}"/>
                </c:ext>
              </c:extLst>
            </c:dLbl>
            <c:spPr>
              <a:noFill/>
              <a:ln>
                <a:noFill/>
              </a:ln>
              <a:effectLst/>
            </c:spPr>
            <c:txPr>
              <a:bodyPr rot="0" vert="horz"/>
              <a:lstStyle/>
              <a:p>
                <a:pP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val>
            <c:numRef>
              <c:f>Лист6!$C$68:$C$72</c:f>
              <c:numCache>
                <c:formatCode>General</c:formatCode>
                <c:ptCount val="5"/>
                <c:pt idx="0">
                  <c:v>21</c:v>
                </c:pt>
                <c:pt idx="1">
                  <c:v>39</c:v>
                </c:pt>
                <c:pt idx="2">
                  <c:v>25</c:v>
                </c:pt>
                <c:pt idx="3">
                  <c:v>12</c:v>
                </c:pt>
                <c:pt idx="4">
                  <c:v>3</c:v>
                </c:pt>
              </c:numCache>
            </c:numRef>
          </c:val>
          <c:extLst>
            <c:ext xmlns:c16="http://schemas.microsoft.com/office/drawing/2014/chart" uri="{C3380CC4-5D6E-409C-BE32-E72D297353CC}">
              <c16:uniqueId val="{00000005-7629-4914-B363-D21369D4A91F}"/>
            </c:ext>
          </c:extLst>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ГХ+АО</c:v>
                </c:pt>
              </c:strCache>
            </c:strRef>
          </c:tx>
          <c:invertIfNegative val="0"/>
          <c:dLbls>
            <c:dLbl>
              <c:idx val="0"/>
              <c:layout/>
              <c:tx>
                <c:rich>
                  <a:bodyPr/>
                  <a:lstStyle/>
                  <a:p>
                    <a:r>
                      <a:rPr lang="en-US"/>
                      <a:t>25,9%</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F16-4AC3-B6A2-B3EB736DE0BB}"/>
                </c:ext>
              </c:extLst>
            </c:dLbl>
            <c:dLbl>
              <c:idx val="1"/>
              <c:layout/>
              <c:tx>
                <c:rich>
                  <a:bodyPr/>
                  <a:lstStyle/>
                  <a:p>
                    <a:r>
                      <a:rPr lang="en-US"/>
                      <a:t>59,3%</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F16-4AC3-B6A2-B3EB736DE0BB}"/>
                </c:ext>
              </c:extLst>
            </c:dLbl>
            <c:dLbl>
              <c:idx val="2"/>
              <c:layout/>
              <c:tx>
                <c:rich>
                  <a:bodyPr/>
                  <a:lstStyle/>
                  <a:p>
                    <a:r>
                      <a:rPr lang="en-US"/>
                      <a:t>74,1%</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F16-4AC3-B6A2-B3EB736DE0BB}"/>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1-й тертіль</c:v>
                </c:pt>
                <c:pt idx="1">
                  <c:v>2-й тертіль</c:v>
                </c:pt>
                <c:pt idx="2">
                  <c:v>3 тертіль</c:v>
                </c:pt>
              </c:strCache>
            </c:strRef>
          </c:cat>
          <c:val>
            <c:numRef>
              <c:f>Лист1!$B$2:$B$4</c:f>
              <c:numCache>
                <c:formatCode>General</c:formatCode>
                <c:ptCount val="3"/>
                <c:pt idx="0">
                  <c:v>7</c:v>
                </c:pt>
                <c:pt idx="1">
                  <c:v>16</c:v>
                </c:pt>
                <c:pt idx="2">
                  <c:v>20</c:v>
                </c:pt>
              </c:numCache>
            </c:numRef>
          </c:val>
          <c:extLst>
            <c:ext xmlns:c16="http://schemas.microsoft.com/office/drawing/2014/chart" uri="{C3380CC4-5D6E-409C-BE32-E72D297353CC}">
              <c16:uniqueId val="{00000003-5F16-4AC3-B6A2-B3EB736DE0BB}"/>
            </c:ext>
          </c:extLst>
        </c:ser>
        <c:ser>
          <c:idx val="1"/>
          <c:order val="1"/>
          <c:tx>
            <c:strRef>
              <c:f>Лист1!$C$1</c:f>
              <c:strCache>
                <c:ptCount val="1"/>
                <c:pt idx="0">
                  <c:v>ГХ</c:v>
                </c:pt>
              </c:strCache>
            </c:strRef>
          </c:tx>
          <c:invertIfNegative val="0"/>
          <c:dLbls>
            <c:dLbl>
              <c:idx val="0"/>
              <c:layout/>
              <c:tx>
                <c:rich>
                  <a:bodyPr/>
                  <a:lstStyle/>
                  <a:p>
                    <a:r>
                      <a:rPr lang="en-US"/>
                      <a:t>74,1%</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F16-4AC3-B6A2-B3EB736DE0BB}"/>
                </c:ext>
              </c:extLst>
            </c:dLbl>
            <c:dLbl>
              <c:idx val="1"/>
              <c:layout/>
              <c:tx>
                <c:rich>
                  <a:bodyPr/>
                  <a:lstStyle/>
                  <a:p>
                    <a:r>
                      <a:rPr lang="en-US"/>
                      <a:t>40,7%</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F16-4AC3-B6A2-B3EB736DE0BB}"/>
                </c:ext>
              </c:extLst>
            </c:dLbl>
            <c:dLbl>
              <c:idx val="2"/>
              <c:layout/>
              <c:tx>
                <c:rich>
                  <a:bodyPr/>
                  <a:lstStyle/>
                  <a:p>
                    <a:r>
                      <a:rPr lang="en-US"/>
                      <a:t>25,9%</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F16-4AC3-B6A2-B3EB736DE0BB}"/>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1-й тертіль</c:v>
                </c:pt>
                <c:pt idx="1">
                  <c:v>2-й тертіль</c:v>
                </c:pt>
                <c:pt idx="2">
                  <c:v>3 тертіль</c:v>
                </c:pt>
              </c:strCache>
            </c:strRef>
          </c:cat>
          <c:val>
            <c:numRef>
              <c:f>Лист1!$C$2:$C$4</c:f>
              <c:numCache>
                <c:formatCode>General</c:formatCode>
                <c:ptCount val="3"/>
                <c:pt idx="0">
                  <c:v>20</c:v>
                </c:pt>
                <c:pt idx="1">
                  <c:v>11</c:v>
                </c:pt>
                <c:pt idx="2">
                  <c:v>1.8</c:v>
                </c:pt>
              </c:numCache>
            </c:numRef>
          </c:val>
          <c:extLst>
            <c:ext xmlns:c16="http://schemas.microsoft.com/office/drawing/2014/chart" uri="{C3380CC4-5D6E-409C-BE32-E72D297353CC}">
              <c16:uniqueId val="{00000007-5F16-4AC3-B6A2-B3EB736DE0BB}"/>
            </c:ext>
          </c:extLst>
        </c:ser>
        <c:dLbls>
          <c:showLegendKey val="0"/>
          <c:showVal val="1"/>
          <c:showCatName val="0"/>
          <c:showSerName val="0"/>
          <c:showPercent val="0"/>
          <c:showBubbleSize val="0"/>
        </c:dLbls>
        <c:gapWidth val="150"/>
        <c:axId val="69544192"/>
        <c:axId val="69570560"/>
      </c:barChart>
      <c:catAx>
        <c:axId val="69544192"/>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69570560"/>
        <c:crosses val="autoZero"/>
        <c:auto val="1"/>
        <c:lblAlgn val="ctr"/>
        <c:lblOffset val="100"/>
        <c:noMultiLvlLbl val="0"/>
      </c:catAx>
      <c:valAx>
        <c:axId val="69570560"/>
        <c:scaling>
          <c:orientation val="minMax"/>
        </c:scaling>
        <c:delete val="0"/>
        <c:axPos val="l"/>
        <c:majorGridlines/>
        <c:numFmt formatCode="General" sourceLinked="1"/>
        <c:majorTickMark val="out"/>
        <c:minorTickMark val="none"/>
        <c:tickLblPos val="nextTo"/>
        <c:crossAx val="69544192"/>
        <c:crosses val="autoZero"/>
        <c:crossBetween val="between"/>
      </c:valAx>
    </c:plotArea>
    <c:legend>
      <c:legendPos val="r"/>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5.2569444444444516E-2"/>
          <c:y val="5.8115235595550555E-2"/>
          <c:w val="0.59005540974044857"/>
          <c:h val="0.84494063242094875"/>
        </c:manualLayout>
      </c:layout>
      <c:barChart>
        <c:barDir val="col"/>
        <c:grouping val="clustered"/>
        <c:varyColors val="0"/>
        <c:ser>
          <c:idx val="0"/>
          <c:order val="0"/>
          <c:tx>
            <c:strRef>
              <c:f>Лист1!$B$1</c:f>
              <c:strCache>
                <c:ptCount val="1"/>
                <c:pt idx="0">
                  <c:v>ЗХС (натще)</c:v>
                </c:pt>
              </c:strCache>
            </c:strRef>
          </c:tx>
          <c:invertIfNegative val="0"/>
          <c:cat>
            <c:strRef>
              <c:f>Лист1!$A$2:$A$4</c:f>
              <c:strCache>
                <c:ptCount val="3"/>
                <c:pt idx="0">
                  <c:v>КГ</c:v>
                </c:pt>
                <c:pt idx="1">
                  <c:v>ГХ</c:v>
                </c:pt>
                <c:pt idx="2">
                  <c:v>ГХ+ОЖ</c:v>
                </c:pt>
              </c:strCache>
            </c:strRef>
          </c:cat>
          <c:val>
            <c:numRef>
              <c:f>Лист1!$B$2:$B$4</c:f>
              <c:numCache>
                <c:formatCode>General</c:formatCode>
                <c:ptCount val="3"/>
                <c:pt idx="0">
                  <c:v>4.0999999999999996</c:v>
                </c:pt>
                <c:pt idx="1">
                  <c:v>5.3</c:v>
                </c:pt>
                <c:pt idx="2">
                  <c:v>6.81</c:v>
                </c:pt>
              </c:numCache>
            </c:numRef>
          </c:val>
          <c:extLst>
            <c:ext xmlns:c16="http://schemas.microsoft.com/office/drawing/2014/chart" uri="{C3380CC4-5D6E-409C-BE32-E72D297353CC}">
              <c16:uniqueId val="{00000000-657E-4405-8823-9AAB70B7C93C}"/>
            </c:ext>
          </c:extLst>
        </c:ser>
        <c:ser>
          <c:idx val="1"/>
          <c:order val="1"/>
          <c:tx>
            <c:strRef>
              <c:f>Лист1!$C$1</c:f>
              <c:strCache>
                <c:ptCount val="1"/>
                <c:pt idx="0">
                  <c:v>ЗХС (постпрандіально)</c:v>
                </c:pt>
              </c:strCache>
            </c:strRef>
          </c:tx>
          <c:invertIfNegative val="0"/>
          <c:cat>
            <c:strRef>
              <c:f>Лист1!$A$2:$A$4</c:f>
              <c:strCache>
                <c:ptCount val="3"/>
                <c:pt idx="0">
                  <c:v>КГ</c:v>
                </c:pt>
                <c:pt idx="1">
                  <c:v>ГХ</c:v>
                </c:pt>
                <c:pt idx="2">
                  <c:v>ГХ+ОЖ</c:v>
                </c:pt>
              </c:strCache>
            </c:strRef>
          </c:cat>
          <c:val>
            <c:numRef>
              <c:f>Лист1!$C$2:$C$4</c:f>
              <c:numCache>
                <c:formatCode>General</c:formatCode>
                <c:ptCount val="3"/>
                <c:pt idx="0">
                  <c:v>3.9</c:v>
                </c:pt>
                <c:pt idx="1">
                  <c:v>5.7</c:v>
                </c:pt>
                <c:pt idx="2">
                  <c:v>7.4</c:v>
                </c:pt>
              </c:numCache>
            </c:numRef>
          </c:val>
          <c:extLst>
            <c:ext xmlns:c16="http://schemas.microsoft.com/office/drawing/2014/chart" uri="{C3380CC4-5D6E-409C-BE32-E72D297353CC}">
              <c16:uniqueId val="{00000001-657E-4405-8823-9AAB70B7C93C}"/>
            </c:ext>
          </c:extLst>
        </c:ser>
        <c:dLbls>
          <c:showLegendKey val="0"/>
          <c:showVal val="0"/>
          <c:showCatName val="0"/>
          <c:showSerName val="0"/>
          <c:showPercent val="0"/>
          <c:showBubbleSize val="0"/>
        </c:dLbls>
        <c:gapWidth val="150"/>
        <c:axId val="70348800"/>
        <c:axId val="70350336"/>
      </c:barChart>
      <c:catAx>
        <c:axId val="70348800"/>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70350336"/>
        <c:crosses val="autoZero"/>
        <c:auto val="1"/>
        <c:lblAlgn val="ctr"/>
        <c:lblOffset val="100"/>
        <c:noMultiLvlLbl val="0"/>
      </c:catAx>
      <c:valAx>
        <c:axId val="70350336"/>
        <c:scaling>
          <c:orientation val="minMax"/>
        </c:scaling>
        <c:delete val="0"/>
        <c:axPos val="l"/>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70348800"/>
        <c:crosses val="autoZero"/>
        <c:crossBetween val="between"/>
      </c:valAx>
    </c:plotArea>
    <c:legend>
      <c:legendPos val="r"/>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7.3402777777777789E-2"/>
          <c:y val="4.6210473690788664E-2"/>
          <c:w val="0.58763651939340911"/>
          <c:h val="0.84494063242094875"/>
        </c:manualLayout>
      </c:layout>
      <c:barChart>
        <c:barDir val="col"/>
        <c:grouping val="clustered"/>
        <c:varyColors val="0"/>
        <c:ser>
          <c:idx val="0"/>
          <c:order val="0"/>
          <c:tx>
            <c:strRef>
              <c:f>Лист1!$B$1</c:f>
              <c:strCache>
                <c:ptCount val="1"/>
                <c:pt idx="0">
                  <c:v>ТГ (натще)</c:v>
                </c:pt>
              </c:strCache>
            </c:strRef>
          </c:tx>
          <c:invertIfNegative val="0"/>
          <c:cat>
            <c:strRef>
              <c:f>Лист1!$A$2:$A$4</c:f>
              <c:strCache>
                <c:ptCount val="3"/>
                <c:pt idx="0">
                  <c:v>КГ</c:v>
                </c:pt>
                <c:pt idx="1">
                  <c:v>ГХ</c:v>
                </c:pt>
                <c:pt idx="2">
                  <c:v>ГХ+ОЖ</c:v>
                </c:pt>
              </c:strCache>
            </c:strRef>
          </c:cat>
          <c:val>
            <c:numRef>
              <c:f>Лист1!$B$2:$B$4</c:f>
              <c:numCache>
                <c:formatCode>General</c:formatCode>
                <c:ptCount val="3"/>
                <c:pt idx="0">
                  <c:v>1.78</c:v>
                </c:pt>
                <c:pt idx="1">
                  <c:v>1.6</c:v>
                </c:pt>
                <c:pt idx="2">
                  <c:v>2.2000000000000002</c:v>
                </c:pt>
              </c:numCache>
            </c:numRef>
          </c:val>
          <c:extLst>
            <c:ext xmlns:c16="http://schemas.microsoft.com/office/drawing/2014/chart" uri="{C3380CC4-5D6E-409C-BE32-E72D297353CC}">
              <c16:uniqueId val="{00000000-DD1A-4139-A6F2-DCBE1F007041}"/>
            </c:ext>
          </c:extLst>
        </c:ser>
        <c:ser>
          <c:idx val="1"/>
          <c:order val="1"/>
          <c:tx>
            <c:strRef>
              <c:f>Лист1!$C$1</c:f>
              <c:strCache>
                <c:ptCount val="1"/>
                <c:pt idx="0">
                  <c:v>ТГ (постпрандіально)</c:v>
                </c:pt>
              </c:strCache>
            </c:strRef>
          </c:tx>
          <c:invertIfNegative val="0"/>
          <c:cat>
            <c:strRef>
              <c:f>Лист1!$A$2:$A$4</c:f>
              <c:strCache>
                <c:ptCount val="3"/>
                <c:pt idx="0">
                  <c:v>КГ</c:v>
                </c:pt>
                <c:pt idx="1">
                  <c:v>ГХ</c:v>
                </c:pt>
                <c:pt idx="2">
                  <c:v>ГХ+ОЖ</c:v>
                </c:pt>
              </c:strCache>
            </c:strRef>
          </c:cat>
          <c:val>
            <c:numRef>
              <c:f>Лист1!$C$2:$C$4</c:f>
              <c:numCache>
                <c:formatCode>General</c:formatCode>
                <c:ptCount val="3"/>
                <c:pt idx="0">
                  <c:v>1.73</c:v>
                </c:pt>
                <c:pt idx="1">
                  <c:v>1.7</c:v>
                </c:pt>
                <c:pt idx="2">
                  <c:v>2.6</c:v>
                </c:pt>
              </c:numCache>
            </c:numRef>
          </c:val>
          <c:extLst>
            <c:ext xmlns:c16="http://schemas.microsoft.com/office/drawing/2014/chart" uri="{C3380CC4-5D6E-409C-BE32-E72D297353CC}">
              <c16:uniqueId val="{00000001-DD1A-4139-A6F2-DCBE1F007041}"/>
            </c:ext>
          </c:extLst>
        </c:ser>
        <c:dLbls>
          <c:showLegendKey val="0"/>
          <c:showVal val="0"/>
          <c:showCatName val="0"/>
          <c:showSerName val="0"/>
          <c:showPercent val="0"/>
          <c:showBubbleSize val="0"/>
        </c:dLbls>
        <c:gapWidth val="150"/>
        <c:axId val="70547328"/>
        <c:axId val="70548864"/>
      </c:barChart>
      <c:catAx>
        <c:axId val="70547328"/>
        <c:scaling>
          <c:orientation val="minMax"/>
        </c:scaling>
        <c:delete val="0"/>
        <c:axPos val="b"/>
        <c:numFmt formatCode="General" sourceLinked="0"/>
        <c:majorTickMark val="out"/>
        <c:minorTickMark val="none"/>
        <c:tickLblPos val="nextTo"/>
        <c:crossAx val="70548864"/>
        <c:crosses val="autoZero"/>
        <c:auto val="1"/>
        <c:lblAlgn val="ctr"/>
        <c:lblOffset val="100"/>
        <c:noMultiLvlLbl val="0"/>
      </c:catAx>
      <c:valAx>
        <c:axId val="70548864"/>
        <c:scaling>
          <c:orientation val="minMax"/>
        </c:scaling>
        <c:delete val="0"/>
        <c:axPos val="l"/>
        <c:majorGridlines/>
        <c:numFmt formatCode="General" sourceLinked="1"/>
        <c:majorTickMark val="out"/>
        <c:minorTickMark val="none"/>
        <c:tickLblPos val="nextTo"/>
        <c:crossAx val="70547328"/>
        <c:crosses val="autoZero"/>
        <c:crossBetween val="between"/>
      </c:valAx>
    </c:plotArea>
    <c:legend>
      <c:legendPos val="r"/>
      <c:layout/>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7.3402777777777789E-2"/>
          <c:y val="3.0337457817772792E-2"/>
          <c:w val="0.61797207640711682"/>
          <c:h val="0.84494063242094875"/>
        </c:manualLayout>
      </c:layout>
      <c:barChart>
        <c:barDir val="col"/>
        <c:grouping val="clustered"/>
        <c:varyColors val="0"/>
        <c:ser>
          <c:idx val="0"/>
          <c:order val="0"/>
          <c:tx>
            <c:strRef>
              <c:f>Лист1!$B$1</c:f>
              <c:strCache>
                <c:ptCount val="1"/>
                <c:pt idx="0">
                  <c:v>ХС ЛПВЩ (натще)</c:v>
                </c:pt>
              </c:strCache>
            </c:strRef>
          </c:tx>
          <c:invertIfNegative val="0"/>
          <c:cat>
            <c:strRef>
              <c:f>Лист1!$A$2:$A$4</c:f>
              <c:strCache>
                <c:ptCount val="3"/>
                <c:pt idx="0">
                  <c:v>КГ</c:v>
                </c:pt>
                <c:pt idx="1">
                  <c:v>ГХ</c:v>
                </c:pt>
                <c:pt idx="2">
                  <c:v>ГХ+ОЖ</c:v>
                </c:pt>
              </c:strCache>
            </c:strRef>
          </c:cat>
          <c:val>
            <c:numRef>
              <c:f>Лист1!$B$2:$B$4</c:f>
              <c:numCache>
                <c:formatCode>General</c:formatCode>
                <c:ptCount val="3"/>
                <c:pt idx="0">
                  <c:v>1.8</c:v>
                </c:pt>
                <c:pt idx="1">
                  <c:v>1.3</c:v>
                </c:pt>
                <c:pt idx="2">
                  <c:v>1.1000000000000001</c:v>
                </c:pt>
              </c:numCache>
            </c:numRef>
          </c:val>
          <c:extLst>
            <c:ext xmlns:c16="http://schemas.microsoft.com/office/drawing/2014/chart" uri="{C3380CC4-5D6E-409C-BE32-E72D297353CC}">
              <c16:uniqueId val="{00000000-524B-4521-86D4-45EAFB38B02C}"/>
            </c:ext>
          </c:extLst>
        </c:ser>
        <c:ser>
          <c:idx val="1"/>
          <c:order val="1"/>
          <c:tx>
            <c:strRef>
              <c:f>Лист1!$C$1</c:f>
              <c:strCache>
                <c:ptCount val="1"/>
                <c:pt idx="0">
                  <c:v>ХС ЛПВЩ (постпрандіально)</c:v>
                </c:pt>
              </c:strCache>
            </c:strRef>
          </c:tx>
          <c:invertIfNegative val="0"/>
          <c:cat>
            <c:strRef>
              <c:f>Лист1!$A$2:$A$4</c:f>
              <c:strCache>
                <c:ptCount val="3"/>
                <c:pt idx="0">
                  <c:v>КГ</c:v>
                </c:pt>
                <c:pt idx="1">
                  <c:v>ГХ</c:v>
                </c:pt>
                <c:pt idx="2">
                  <c:v>ГХ+ОЖ</c:v>
                </c:pt>
              </c:strCache>
            </c:strRef>
          </c:cat>
          <c:val>
            <c:numRef>
              <c:f>Лист1!$C$2:$C$4</c:f>
              <c:numCache>
                <c:formatCode>General</c:formatCode>
                <c:ptCount val="3"/>
                <c:pt idx="0">
                  <c:v>1.9000000000000001</c:v>
                </c:pt>
                <c:pt idx="1">
                  <c:v>0.96000000000000063</c:v>
                </c:pt>
                <c:pt idx="2">
                  <c:v>0.83000000000000063</c:v>
                </c:pt>
              </c:numCache>
            </c:numRef>
          </c:val>
          <c:extLst>
            <c:ext xmlns:c16="http://schemas.microsoft.com/office/drawing/2014/chart" uri="{C3380CC4-5D6E-409C-BE32-E72D297353CC}">
              <c16:uniqueId val="{00000001-524B-4521-86D4-45EAFB38B02C}"/>
            </c:ext>
          </c:extLst>
        </c:ser>
        <c:dLbls>
          <c:showLegendKey val="0"/>
          <c:showVal val="0"/>
          <c:showCatName val="0"/>
          <c:showSerName val="0"/>
          <c:showPercent val="0"/>
          <c:showBubbleSize val="0"/>
        </c:dLbls>
        <c:gapWidth val="150"/>
        <c:axId val="70397312"/>
        <c:axId val="70407296"/>
      </c:barChart>
      <c:catAx>
        <c:axId val="70397312"/>
        <c:scaling>
          <c:orientation val="minMax"/>
        </c:scaling>
        <c:delete val="0"/>
        <c:axPos val="b"/>
        <c:numFmt formatCode="General" sourceLinked="0"/>
        <c:majorTickMark val="out"/>
        <c:minorTickMark val="none"/>
        <c:tickLblPos val="nextTo"/>
        <c:txPr>
          <a:bodyPr/>
          <a:lstStyle/>
          <a:p>
            <a:pPr>
              <a:defRPr sz="1200"/>
            </a:pPr>
            <a:endParaRPr lang="ru-RU"/>
          </a:p>
        </c:txPr>
        <c:crossAx val="70407296"/>
        <c:crosses val="autoZero"/>
        <c:auto val="1"/>
        <c:lblAlgn val="ctr"/>
        <c:lblOffset val="100"/>
        <c:noMultiLvlLbl val="0"/>
      </c:catAx>
      <c:valAx>
        <c:axId val="70407296"/>
        <c:scaling>
          <c:orientation val="minMax"/>
        </c:scaling>
        <c:delete val="0"/>
        <c:axPos val="l"/>
        <c:majorGridlines/>
        <c:numFmt formatCode="General" sourceLinked="1"/>
        <c:majorTickMark val="out"/>
        <c:minorTickMark val="none"/>
        <c:tickLblPos val="nextTo"/>
        <c:txPr>
          <a:bodyPr/>
          <a:lstStyle/>
          <a:p>
            <a:pPr>
              <a:defRPr sz="1200"/>
            </a:pPr>
            <a:endParaRPr lang="ru-RU"/>
          </a:p>
        </c:txPr>
        <c:crossAx val="70397312"/>
        <c:crosses val="autoZero"/>
        <c:crossBetween val="between"/>
      </c:valAx>
    </c:plotArea>
    <c:legend>
      <c:legendPos val="r"/>
      <c:legendEntry>
        <c:idx val="0"/>
        <c:txPr>
          <a:bodyPr/>
          <a:lstStyle/>
          <a:p>
            <a:pPr>
              <a:defRPr sz="1200"/>
            </a:pPr>
            <a:endParaRPr lang="ru-RU"/>
          </a:p>
        </c:txPr>
      </c:legendEntry>
      <c:legendEntry>
        <c:idx val="1"/>
        <c:txPr>
          <a:bodyPr/>
          <a:lstStyle/>
          <a:p>
            <a:pPr>
              <a:defRPr sz="1200"/>
            </a:pPr>
            <a:endParaRPr lang="ru-RU"/>
          </a:p>
        </c:txPr>
      </c:legendEntry>
      <c:layout>
        <c:manualLayout>
          <c:xMode val="edge"/>
          <c:yMode val="edge"/>
          <c:x val="0.66715861038203661"/>
          <c:y val="0.35331677290338764"/>
          <c:w val="0.269273293963255"/>
          <c:h val="0.25646169228846433"/>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0.29651</cdr:x>
      <cdr:y>0.25249</cdr:y>
    </cdr:from>
    <cdr:to>
      <cdr:x>0.34109</cdr:x>
      <cdr:y>0.33887</cdr:y>
    </cdr:to>
    <cdr:sp macro="" textlink="">
      <cdr:nvSpPr>
        <cdr:cNvPr id="2" name="Поле 1"/>
        <cdr:cNvSpPr txBox="1"/>
      </cdr:nvSpPr>
      <cdr:spPr>
        <a:xfrm xmlns:a="http://schemas.openxmlformats.org/drawingml/2006/main">
          <a:off x="1626782" y="808073"/>
          <a:ext cx="244549" cy="2764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600" b="1" i="1">
              <a:latin typeface="Times New Roman" pitchFamily="18" charset="0"/>
              <a:cs typeface="Times New Roman" pitchFamily="18" charset="0"/>
            </a:rPr>
            <a:t>*</a:t>
          </a:r>
        </a:p>
      </cdr:txBody>
    </cdr:sp>
  </cdr:relSizeAnchor>
  <cdr:relSizeAnchor xmlns:cdr="http://schemas.openxmlformats.org/drawingml/2006/chartDrawing">
    <cdr:from>
      <cdr:x>0.35465</cdr:x>
      <cdr:y>0.21927</cdr:y>
    </cdr:from>
    <cdr:to>
      <cdr:x>0.39922</cdr:x>
      <cdr:y>0.29568</cdr:y>
    </cdr:to>
    <cdr:sp macro="" textlink="">
      <cdr:nvSpPr>
        <cdr:cNvPr id="3" name="Поле 2"/>
        <cdr:cNvSpPr txBox="1"/>
      </cdr:nvSpPr>
      <cdr:spPr>
        <a:xfrm xmlns:a="http://schemas.openxmlformats.org/drawingml/2006/main">
          <a:off x="1945758" y="701748"/>
          <a:ext cx="244549" cy="2445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600" b="1">
              <a:latin typeface="Times New Roman" pitchFamily="18" charset="0"/>
              <a:cs typeface="Times New Roman" pitchFamily="18" charset="0"/>
            </a:rPr>
            <a:t>*</a:t>
          </a:r>
        </a:p>
      </cdr:txBody>
    </cdr:sp>
  </cdr:relSizeAnchor>
  <cdr:relSizeAnchor xmlns:cdr="http://schemas.openxmlformats.org/drawingml/2006/chartDrawing">
    <cdr:from>
      <cdr:x>0.45155</cdr:x>
      <cdr:y>0.11296</cdr:y>
    </cdr:from>
    <cdr:to>
      <cdr:x>0.5814</cdr:x>
      <cdr:y>0.20598</cdr:y>
    </cdr:to>
    <cdr:sp macro="" textlink="">
      <cdr:nvSpPr>
        <cdr:cNvPr id="4" name="Поле 3"/>
        <cdr:cNvSpPr txBox="1"/>
      </cdr:nvSpPr>
      <cdr:spPr>
        <a:xfrm xmlns:a="http://schemas.openxmlformats.org/drawingml/2006/main">
          <a:off x="2477387" y="361507"/>
          <a:ext cx="712381" cy="2977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600" b="1">
              <a:latin typeface="Times New Roman" pitchFamily="18" charset="0"/>
              <a:cs typeface="Times New Roman" pitchFamily="18" charset="0"/>
            </a:rPr>
            <a:t>*/**</a:t>
          </a:r>
        </a:p>
      </cdr:txBody>
    </cdr:sp>
  </cdr:relSizeAnchor>
  <cdr:relSizeAnchor xmlns:cdr="http://schemas.openxmlformats.org/drawingml/2006/chartDrawing">
    <cdr:from>
      <cdr:x>0.53682</cdr:x>
      <cdr:y>0.04651</cdr:y>
    </cdr:from>
    <cdr:to>
      <cdr:x>0.69961</cdr:x>
      <cdr:y>0.1495</cdr:y>
    </cdr:to>
    <cdr:sp macro="" textlink="">
      <cdr:nvSpPr>
        <cdr:cNvPr id="5" name="Поле 4"/>
        <cdr:cNvSpPr txBox="1"/>
      </cdr:nvSpPr>
      <cdr:spPr>
        <a:xfrm xmlns:a="http://schemas.openxmlformats.org/drawingml/2006/main">
          <a:off x="2945219" y="148856"/>
          <a:ext cx="893135" cy="3296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600" b="1">
              <a:latin typeface="Times New Roman" pitchFamily="18" charset="0"/>
              <a:cs typeface="Times New Roman" pitchFamily="18" charset="0"/>
            </a:rPr>
            <a:t>*/**</a:t>
          </a:r>
        </a:p>
      </cdr:txBody>
    </cdr:sp>
  </cdr:relSizeAnchor>
  <cdr:relSizeAnchor xmlns:cdr="http://schemas.openxmlformats.org/drawingml/2006/chartDrawing">
    <cdr:from>
      <cdr:x>0.66279</cdr:x>
      <cdr:y>0.57807</cdr:y>
    </cdr:from>
    <cdr:to>
      <cdr:x>0.99612</cdr:x>
      <cdr:y>0.98671</cdr:y>
    </cdr:to>
    <cdr:sp macro="" textlink="">
      <cdr:nvSpPr>
        <cdr:cNvPr id="6" name="Поле 5"/>
        <cdr:cNvSpPr txBox="1"/>
      </cdr:nvSpPr>
      <cdr:spPr>
        <a:xfrm xmlns:a="http://schemas.openxmlformats.org/drawingml/2006/main">
          <a:off x="3636335" y="1850065"/>
          <a:ext cx="1828800" cy="130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just"/>
          <a:r>
            <a:rPr lang="uk-UA" sz="1400" b="1" dirty="0" smtClean="0">
              <a:latin typeface="Times New Roman" pitchFamily="18" charset="0"/>
              <a:cs typeface="Times New Roman" pitchFamily="18" charset="0"/>
            </a:rPr>
            <a:t>*</a:t>
          </a:r>
          <a:r>
            <a:rPr lang="uk-UA" sz="1200" b="0" dirty="0" smtClean="0">
              <a:latin typeface="Times New Roman" pitchFamily="18" charset="0"/>
              <a:cs typeface="Times New Roman" pitchFamily="18" charset="0"/>
            </a:rPr>
            <a:t>достовірна </a:t>
          </a:r>
        </a:p>
        <a:p xmlns:a="http://schemas.openxmlformats.org/drawingml/2006/main">
          <a:pPr algn="just"/>
          <a:r>
            <a:rPr lang="ru-RU" sz="1200" b="0" dirty="0" err="1" smtClean="0">
              <a:latin typeface="Times New Roman" pitchFamily="18" charset="0"/>
              <a:cs typeface="Times New Roman" pitchFamily="18" charset="0"/>
            </a:rPr>
            <a:t>відмінність</a:t>
          </a:r>
          <a:r>
            <a:rPr lang="ru-RU" sz="1200" b="0" dirty="0" smtClean="0">
              <a:latin typeface="Times New Roman" pitchFamily="18" charset="0"/>
              <a:cs typeface="Times New Roman" pitchFamily="18" charset="0"/>
            </a:rPr>
            <a:t> з КГ(р&lt;0,05);</a:t>
          </a:r>
        </a:p>
        <a:p xmlns:a="http://schemas.openxmlformats.org/drawingml/2006/main">
          <a:pPr algn="just"/>
          <a:r>
            <a:rPr lang="uk-UA" sz="1400" b="1" dirty="0" smtClean="0">
              <a:latin typeface="Times New Roman" pitchFamily="18" charset="0"/>
              <a:cs typeface="Times New Roman" pitchFamily="18" charset="0"/>
            </a:rPr>
            <a:t>**</a:t>
          </a:r>
          <a:r>
            <a:rPr lang="uk-UA" sz="1200" b="0" dirty="0" smtClean="0">
              <a:latin typeface="Times New Roman" pitchFamily="18" charset="0"/>
              <a:cs typeface="Times New Roman" pitchFamily="18" charset="0"/>
            </a:rPr>
            <a:t> достовірна </a:t>
          </a:r>
        </a:p>
        <a:p xmlns:a="http://schemas.openxmlformats.org/drawingml/2006/main">
          <a:pPr algn="just"/>
          <a:r>
            <a:rPr lang="ru-RU" sz="1200" b="0" dirty="0" err="1" smtClean="0">
              <a:latin typeface="Times New Roman" pitchFamily="18" charset="0"/>
              <a:cs typeface="Times New Roman" pitchFamily="18" charset="0"/>
            </a:rPr>
            <a:t>відмінність</a:t>
          </a:r>
          <a:r>
            <a:rPr lang="ru-RU" sz="1200" b="0" dirty="0" smtClean="0">
              <a:latin typeface="Times New Roman" pitchFamily="18" charset="0"/>
              <a:cs typeface="Times New Roman" pitchFamily="18" charset="0"/>
            </a:rPr>
            <a:t> з </a:t>
          </a:r>
          <a:r>
            <a:rPr lang="ru-RU" sz="1200" b="0" dirty="0" err="1" smtClean="0">
              <a:latin typeface="Times New Roman" pitchFamily="18" charset="0"/>
              <a:cs typeface="Times New Roman" pitchFamily="18" charset="0"/>
            </a:rPr>
            <a:t>групою</a:t>
          </a:r>
          <a:endParaRPr lang="ru-RU" sz="1200" b="0" dirty="0" smtClean="0">
            <a:latin typeface="Times New Roman" pitchFamily="18" charset="0"/>
            <a:cs typeface="Times New Roman" pitchFamily="18" charset="0"/>
          </a:endParaRPr>
        </a:p>
        <a:p xmlns:a="http://schemas.openxmlformats.org/drawingml/2006/main">
          <a:pPr algn="just"/>
          <a:r>
            <a:rPr lang="uk-UA" sz="1200" b="0" dirty="0" smtClean="0">
              <a:latin typeface="Times New Roman" pitchFamily="18" charset="0"/>
              <a:cs typeface="Times New Roman" pitchFamily="18" charset="0"/>
            </a:rPr>
            <a:t>хворих</a:t>
          </a:r>
          <a:r>
            <a:rPr lang="uk-UA" sz="1200" b="0" baseline="0" dirty="0" smtClean="0">
              <a:latin typeface="Times New Roman" pitchFamily="18" charset="0"/>
              <a:cs typeface="Times New Roman" pitchFamily="18" charset="0"/>
            </a:rPr>
            <a:t> на ГХ</a:t>
          </a:r>
          <a:r>
            <a:rPr lang="uk-UA" sz="1200" b="0" dirty="0" smtClean="0">
              <a:latin typeface="Times New Roman" pitchFamily="18" charset="0"/>
              <a:cs typeface="Times New Roman" pitchFamily="18" charset="0"/>
            </a:rPr>
            <a:t> (р&lt;0,05)</a:t>
          </a:r>
          <a:endParaRPr lang="ru-RU" sz="1200" b="0" dirty="0" smtClean="0">
            <a:latin typeface="Times New Roman" pitchFamily="18" charset="0"/>
            <a:cs typeface="Times New Roman" pitchFamily="18" charset="0"/>
          </a:endParaRPr>
        </a:p>
        <a:p xmlns:a="http://schemas.openxmlformats.org/drawingml/2006/main">
          <a:endParaRPr lang="ru-RU" sz="1100"/>
        </a:p>
      </cdr:txBody>
    </cdr:sp>
  </cdr:relSizeAnchor>
</c:userShapes>
</file>

<file path=word/drawings/drawing2.xml><?xml version="1.0" encoding="utf-8"?>
<c:userShapes xmlns:c="http://schemas.openxmlformats.org/drawingml/2006/chart">
  <cdr:relSizeAnchor xmlns:cdr="http://schemas.openxmlformats.org/drawingml/2006/chartDrawing">
    <cdr:from>
      <cdr:x>0.48062</cdr:x>
      <cdr:y>0.19601</cdr:y>
    </cdr:from>
    <cdr:to>
      <cdr:x>0.62403</cdr:x>
      <cdr:y>0.28571</cdr:y>
    </cdr:to>
    <cdr:sp macro="" textlink="">
      <cdr:nvSpPr>
        <cdr:cNvPr id="2" name="Поле 1"/>
        <cdr:cNvSpPr txBox="1"/>
      </cdr:nvSpPr>
      <cdr:spPr>
        <a:xfrm xmlns:a="http://schemas.openxmlformats.org/drawingml/2006/main">
          <a:off x="2636874" y="627322"/>
          <a:ext cx="786810" cy="2870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600" b="1">
              <a:latin typeface="Times New Roman" pitchFamily="18" charset="0"/>
              <a:cs typeface="Times New Roman" pitchFamily="18" charset="0"/>
            </a:rPr>
            <a:t>*/**</a:t>
          </a:r>
        </a:p>
      </cdr:txBody>
    </cdr:sp>
  </cdr:relSizeAnchor>
  <cdr:relSizeAnchor xmlns:cdr="http://schemas.openxmlformats.org/drawingml/2006/chartDrawing">
    <cdr:from>
      <cdr:x>0.54651</cdr:x>
      <cdr:y>0.0897</cdr:y>
    </cdr:from>
    <cdr:to>
      <cdr:x>0.71899</cdr:x>
      <cdr:y>0.17276</cdr:y>
    </cdr:to>
    <cdr:sp macro="" textlink="">
      <cdr:nvSpPr>
        <cdr:cNvPr id="3" name="Поле 2"/>
        <cdr:cNvSpPr txBox="1"/>
      </cdr:nvSpPr>
      <cdr:spPr>
        <a:xfrm xmlns:a="http://schemas.openxmlformats.org/drawingml/2006/main">
          <a:off x="2998381" y="287079"/>
          <a:ext cx="946298" cy="2658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600" b="1">
              <a:latin typeface="Times New Roman" pitchFamily="18" charset="0"/>
              <a:cs typeface="Times New Roman" pitchFamily="18" charset="0"/>
            </a:rPr>
            <a:t>*/**</a:t>
          </a:r>
        </a:p>
      </cdr:txBody>
    </cdr:sp>
  </cdr:relSizeAnchor>
  <cdr:relSizeAnchor xmlns:cdr="http://schemas.openxmlformats.org/drawingml/2006/chartDrawing">
    <cdr:from>
      <cdr:x>0.6686</cdr:x>
      <cdr:y>0.58804</cdr:y>
    </cdr:from>
    <cdr:to>
      <cdr:x>0.99806</cdr:x>
      <cdr:y>0.99336</cdr:y>
    </cdr:to>
    <cdr:sp macro="" textlink="">
      <cdr:nvSpPr>
        <cdr:cNvPr id="4" name="Поле 3"/>
        <cdr:cNvSpPr txBox="1"/>
      </cdr:nvSpPr>
      <cdr:spPr>
        <a:xfrm xmlns:a="http://schemas.openxmlformats.org/drawingml/2006/main">
          <a:off x="3668233" y="1881963"/>
          <a:ext cx="1807535" cy="129717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drawings/drawing3.xml><?xml version="1.0" encoding="utf-8"?>
<c:userShapes xmlns:c="http://schemas.openxmlformats.org/drawingml/2006/chart">
  <cdr:relSizeAnchor xmlns:cdr="http://schemas.openxmlformats.org/drawingml/2006/chartDrawing">
    <cdr:from>
      <cdr:x>0.31589</cdr:x>
      <cdr:y>0.25914</cdr:y>
    </cdr:from>
    <cdr:to>
      <cdr:x>0.39147</cdr:x>
      <cdr:y>0.36213</cdr:y>
    </cdr:to>
    <cdr:sp macro="" textlink="">
      <cdr:nvSpPr>
        <cdr:cNvPr id="2" name="Поле 1"/>
        <cdr:cNvSpPr txBox="1"/>
      </cdr:nvSpPr>
      <cdr:spPr>
        <a:xfrm xmlns:a="http://schemas.openxmlformats.org/drawingml/2006/main">
          <a:off x="1733108" y="829340"/>
          <a:ext cx="414670" cy="3296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600" b="1">
              <a:latin typeface="Times New Roman" pitchFamily="18" charset="0"/>
              <a:cs typeface="Times New Roman" pitchFamily="18" charset="0"/>
            </a:rPr>
            <a:t>*</a:t>
          </a:r>
        </a:p>
      </cdr:txBody>
    </cdr:sp>
  </cdr:relSizeAnchor>
  <cdr:relSizeAnchor xmlns:cdr="http://schemas.openxmlformats.org/drawingml/2006/chartDrawing">
    <cdr:from>
      <cdr:x>0.37209</cdr:x>
      <cdr:y>0.39867</cdr:y>
    </cdr:from>
    <cdr:to>
      <cdr:x>0.47674</cdr:x>
      <cdr:y>0.49502</cdr:y>
    </cdr:to>
    <cdr:sp macro="" textlink="">
      <cdr:nvSpPr>
        <cdr:cNvPr id="3" name="Поле 2"/>
        <cdr:cNvSpPr txBox="1"/>
      </cdr:nvSpPr>
      <cdr:spPr>
        <a:xfrm xmlns:a="http://schemas.openxmlformats.org/drawingml/2006/main">
          <a:off x="2041451" y="1275907"/>
          <a:ext cx="574159" cy="3083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600" b="1">
              <a:latin typeface="Times New Roman" pitchFamily="18" charset="0"/>
              <a:cs typeface="Times New Roman" pitchFamily="18" charset="0"/>
            </a:rPr>
            <a:t>*/**</a:t>
          </a:r>
        </a:p>
      </cdr:txBody>
    </cdr:sp>
  </cdr:relSizeAnchor>
  <cdr:relSizeAnchor xmlns:cdr="http://schemas.openxmlformats.org/drawingml/2006/chartDrawing">
    <cdr:from>
      <cdr:x>0.52519</cdr:x>
      <cdr:y>0.33223</cdr:y>
    </cdr:from>
    <cdr:to>
      <cdr:x>0.59302</cdr:x>
      <cdr:y>0.39867</cdr:y>
    </cdr:to>
    <cdr:sp macro="" textlink="">
      <cdr:nvSpPr>
        <cdr:cNvPr id="4" name="Поле 3"/>
        <cdr:cNvSpPr txBox="1"/>
      </cdr:nvSpPr>
      <cdr:spPr>
        <a:xfrm xmlns:a="http://schemas.openxmlformats.org/drawingml/2006/main">
          <a:off x="2881424" y="1063256"/>
          <a:ext cx="372139" cy="2126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600" b="1">
              <a:latin typeface="Times New Roman" pitchFamily="18" charset="0"/>
              <a:cs typeface="Times New Roman" pitchFamily="18" charset="0"/>
            </a:rPr>
            <a:t>*</a:t>
          </a:r>
        </a:p>
      </cdr:txBody>
    </cdr:sp>
  </cdr:relSizeAnchor>
  <cdr:relSizeAnchor xmlns:cdr="http://schemas.openxmlformats.org/drawingml/2006/chartDrawing">
    <cdr:from>
      <cdr:x>0.5814</cdr:x>
      <cdr:y>0.45515</cdr:y>
    </cdr:from>
    <cdr:to>
      <cdr:x>0.71124</cdr:x>
      <cdr:y>0.52824</cdr:y>
    </cdr:to>
    <cdr:sp macro="" textlink="">
      <cdr:nvSpPr>
        <cdr:cNvPr id="5" name="Поле 4"/>
        <cdr:cNvSpPr txBox="1"/>
      </cdr:nvSpPr>
      <cdr:spPr>
        <a:xfrm xmlns:a="http://schemas.openxmlformats.org/drawingml/2006/main">
          <a:off x="3189768" y="1456661"/>
          <a:ext cx="712381" cy="2339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600" b="1">
              <a:latin typeface="Times New Roman" pitchFamily="18" charset="0"/>
              <a:cs typeface="Times New Roman" pitchFamily="18" charset="0"/>
            </a:rPr>
            <a:t>*/**</a:t>
          </a:r>
        </a:p>
      </cdr:txBody>
    </cdr:sp>
  </cdr:relSizeAnchor>
  <cdr:relSizeAnchor xmlns:cdr="http://schemas.openxmlformats.org/drawingml/2006/chartDrawing">
    <cdr:from>
      <cdr:x>0.68992</cdr:x>
      <cdr:y>0.59468</cdr:y>
    </cdr:from>
    <cdr:to>
      <cdr:x>1</cdr:x>
      <cdr:y>1</cdr:y>
    </cdr:to>
    <cdr:sp macro="" textlink="">
      <cdr:nvSpPr>
        <cdr:cNvPr id="6" name="Поле 5"/>
        <cdr:cNvSpPr txBox="1"/>
      </cdr:nvSpPr>
      <cdr:spPr>
        <a:xfrm xmlns:a="http://schemas.openxmlformats.org/drawingml/2006/main">
          <a:off x="3795824" y="1903228"/>
          <a:ext cx="1701209" cy="129717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0.69767</cdr:x>
      <cdr:y>0.62458</cdr:y>
    </cdr:from>
    <cdr:to>
      <cdr:x>0.99612</cdr:x>
      <cdr:y>1</cdr:y>
    </cdr:to>
    <cdr:sp macro="" textlink="">
      <cdr:nvSpPr>
        <cdr:cNvPr id="7" name="Поле 6"/>
        <cdr:cNvSpPr txBox="1"/>
      </cdr:nvSpPr>
      <cdr:spPr>
        <a:xfrm xmlns:a="http://schemas.openxmlformats.org/drawingml/2006/main">
          <a:off x="3827721" y="1998921"/>
          <a:ext cx="1637414" cy="12014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400" b="1">
              <a:effectLst/>
              <a:latin typeface="Times New Roman" pitchFamily="18" charset="0"/>
              <a:ea typeface="+mn-ea"/>
              <a:cs typeface="Times New Roman" pitchFamily="18" charset="0"/>
            </a:rPr>
            <a:t>*</a:t>
          </a:r>
          <a:r>
            <a:rPr lang="uk-UA" sz="1200">
              <a:effectLst/>
              <a:latin typeface="Times New Roman" pitchFamily="18" charset="0"/>
              <a:ea typeface="+mn-ea"/>
              <a:cs typeface="Times New Roman" pitchFamily="18" charset="0"/>
            </a:rPr>
            <a:t>достовірна </a:t>
          </a:r>
          <a:r>
            <a:rPr lang="ru-RU" sz="1200">
              <a:effectLst/>
              <a:latin typeface="Times New Roman" pitchFamily="18" charset="0"/>
              <a:ea typeface="+mn-ea"/>
              <a:cs typeface="Times New Roman" pitchFamily="18" charset="0"/>
            </a:rPr>
            <a:t>відмінність з КГ(р&lt;0,05);</a:t>
          </a:r>
        </a:p>
        <a:p xmlns:a="http://schemas.openxmlformats.org/drawingml/2006/main">
          <a:r>
            <a:rPr lang="uk-UA" sz="1400" b="1">
              <a:effectLst/>
              <a:latin typeface="Times New Roman" pitchFamily="18" charset="0"/>
              <a:ea typeface="+mn-ea"/>
              <a:cs typeface="Times New Roman" pitchFamily="18" charset="0"/>
            </a:rPr>
            <a:t>**</a:t>
          </a:r>
          <a:r>
            <a:rPr lang="uk-UA" sz="1200">
              <a:effectLst/>
              <a:latin typeface="Times New Roman" pitchFamily="18" charset="0"/>
              <a:ea typeface="+mn-ea"/>
              <a:cs typeface="Times New Roman" pitchFamily="18" charset="0"/>
            </a:rPr>
            <a:t>достовірна </a:t>
          </a:r>
          <a:r>
            <a:rPr lang="ru-RU" sz="1200">
              <a:effectLst/>
              <a:latin typeface="Times New Roman" pitchFamily="18" charset="0"/>
              <a:ea typeface="+mn-ea"/>
              <a:cs typeface="Times New Roman" pitchFamily="18" charset="0"/>
            </a:rPr>
            <a:t>відмінність з групою </a:t>
          </a:r>
          <a:r>
            <a:rPr lang="uk-UA" sz="1200">
              <a:effectLst/>
              <a:latin typeface="Times New Roman" pitchFamily="18" charset="0"/>
              <a:ea typeface="+mn-ea"/>
              <a:cs typeface="Times New Roman" pitchFamily="18" charset="0"/>
            </a:rPr>
            <a:t>хворих на ГХ (р&lt;0,05)</a:t>
          </a:r>
          <a:endParaRPr lang="ru-RU" sz="1200">
            <a:effectLst/>
            <a:latin typeface="Times New Roman" pitchFamily="18" charset="0"/>
            <a:ea typeface="+mn-ea"/>
            <a:cs typeface="Times New Roman" pitchFamily="18" charset="0"/>
          </a:endParaRPr>
        </a:p>
        <a:p xmlns:a="http://schemas.openxmlformats.org/drawingml/2006/main">
          <a:endParaRPr lang="ru-RU" sz="1200">
            <a:latin typeface="Times New Roman" pitchFamily="18" charset="0"/>
            <a:cs typeface="Times New Roman"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0.31395</cdr:x>
      <cdr:y>0.37874</cdr:y>
    </cdr:from>
    <cdr:to>
      <cdr:x>0.4031</cdr:x>
      <cdr:y>0.4485</cdr:y>
    </cdr:to>
    <cdr:sp macro="" textlink="">
      <cdr:nvSpPr>
        <cdr:cNvPr id="2" name="Поле 1"/>
        <cdr:cNvSpPr txBox="1"/>
      </cdr:nvSpPr>
      <cdr:spPr>
        <a:xfrm xmlns:a="http://schemas.openxmlformats.org/drawingml/2006/main">
          <a:off x="1722475" y="1212111"/>
          <a:ext cx="489098" cy="2232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600" b="1">
              <a:latin typeface="Times New Roman" pitchFamily="18" charset="0"/>
              <a:cs typeface="Times New Roman" pitchFamily="18" charset="0"/>
            </a:rPr>
            <a:t>*</a:t>
          </a:r>
        </a:p>
      </cdr:txBody>
    </cdr:sp>
  </cdr:relSizeAnchor>
  <cdr:relSizeAnchor xmlns:cdr="http://schemas.openxmlformats.org/drawingml/2006/chartDrawing">
    <cdr:from>
      <cdr:x>0.32752</cdr:x>
      <cdr:y>0.25249</cdr:y>
    </cdr:from>
    <cdr:to>
      <cdr:x>0.47868</cdr:x>
      <cdr:y>0.33887</cdr:y>
    </cdr:to>
    <cdr:sp macro="" textlink="">
      <cdr:nvSpPr>
        <cdr:cNvPr id="3" name="Поле 2"/>
        <cdr:cNvSpPr txBox="1"/>
      </cdr:nvSpPr>
      <cdr:spPr>
        <a:xfrm xmlns:a="http://schemas.openxmlformats.org/drawingml/2006/main">
          <a:off x="1796903" y="808074"/>
          <a:ext cx="829339" cy="2764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0.35078</cdr:x>
      <cdr:y>0.25249</cdr:y>
    </cdr:from>
    <cdr:to>
      <cdr:x>0.50388</cdr:x>
      <cdr:y>0.33887</cdr:y>
    </cdr:to>
    <cdr:sp macro="" textlink="">
      <cdr:nvSpPr>
        <cdr:cNvPr id="4" name="Поле 3"/>
        <cdr:cNvSpPr txBox="1"/>
      </cdr:nvSpPr>
      <cdr:spPr>
        <a:xfrm xmlns:a="http://schemas.openxmlformats.org/drawingml/2006/main">
          <a:off x="1924494" y="808075"/>
          <a:ext cx="839972" cy="2764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600" b="1">
              <a:latin typeface="Times New Roman" pitchFamily="18" charset="0"/>
              <a:cs typeface="Times New Roman" pitchFamily="18" charset="0"/>
            </a:rPr>
            <a:t>*/**</a:t>
          </a:r>
        </a:p>
      </cdr:txBody>
    </cdr:sp>
  </cdr:relSizeAnchor>
  <cdr:relSizeAnchor xmlns:cdr="http://schemas.openxmlformats.org/drawingml/2006/chartDrawing">
    <cdr:from>
      <cdr:x>0.52713</cdr:x>
      <cdr:y>0.16279</cdr:y>
    </cdr:from>
    <cdr:to>
      <cdr:x>0.60465</cdr:x>
      <cdr:y>0.2392</cdr:y>
    </cdr:to>
    <cdr:sp macro="" textlink="">
      <cdr:nvSpPr>
        <cdr:cNvPr id="5" name="Поле 4"/>
        <cdr:cNvSpPr txBox="1"/>
      </cdr:nvSpPr>
      <cdr:spPr>
        <a:xfrm xmlns:a="http://schemas.openxmlformats.org/drawingml/2006/main">
          <a:off x="2892056" y="520996"/>
          <a:ext cx="425302" cy="2445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600" b="1">
              <a:latin typeface="Times New Roman" pitchFamily="18" charset="0"/>
              <a:cs typeface="Times New Roman" pitchFamily="18" charset="0"/>
            </a:rPr>
            <a:t>*</a:t>
          </a:r>
        </a:p>
      </cdr:txBody>
    </cdr:sp>
  </cdr:relSizeAnchor>
  <cdr:relSizeAnchor xmlns:cdr="http://schemas.openxmlformats.org/drawingml/2006/chartDrawing">
    <cdr:from>
      <cdr:x>0.56783</cdr:x>
      <cdr:y>0.05648</cdr:y>
    </cdr:from>
    <cdr:to>
      <cdr:x>0.71899</cdr:x>
      <cdr:y>0.12625</cdr:y>
    </cdr:to>
    <cdr:sp macro="" textlink="">
      <cdr:nvSpPr>
        <cdr:cNvPr id="6" name="Поле 5"/>
        <cdr:cNvSpPr txBox="1"/>
      </cdr:nvSpPr>
      <cdr:spPr>
        <a:xfrm xmlns:a="http://schemas.openxmlformats.org/drawingml/2006/main">
          <a:off x="3115340" y="180754"/>
          <a:ext cx="829340" cy="2232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600" b="1">
              <a:latin typeface="Times New Roman" pitchFamily="18" charset="0"/>
              <a:cs typeface="Times New Roman" pitchFamily="18" charset="0"/>
            </a:rPr>
            <a:t>*/**</a:t>
          </a:r>
        </a:p>
      </cdr:txBody>
    </cdr:sp>
  </cdr:relSizeAnchor>
</c:userShapes>
</file>

<file path=word/drawings/drawing5.xml><?xml version="1.0" encoding="utf-8"?>
<c:userShapes xmlns:c="http://schemas.openxmlformats.org/drawingml/2006/chart">
  <cdr:relSizeAnchor xmlns:cdr="http://schemas.openxmlformats.org/drawingml/2006/chartDrawing">
    <cdr:from>
      <cdr:x>0.67292</cdr:x>
      <cdr:y>0.06944</cdr:y>
    </cdr:from>
    <cdr:to>
      <cdr:x>0.87292</cdr:x>
      <cdr:y>0.40278</cdr:y>
    </cdr:to>
    <cdr:sp macro="" textlink="">
      <cdr:nvSpPr>
        <cdr:cNvPr id="3" name="TextBox 2"/>
        <cdr:cNvSpPr txBox="1"/>
      </cdr:nvSpPr>
      <cdr:spPr>
        <a:xfrm xmlns:a="http://schemas.openxmlformats.org/drawingml/2006/main">
          <a:off x="3076575" y="190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solidFill>
                <a:sysClr val="windowText" lastClr="000000"/>
              </a:solidFill>
              <a:latin typeface="Times New Roman" panose="02020603050405020304" pitchFamily="18" charset="0"/>
              <a:cs typeface="Times New Roman" panose="02020603050405020304" pitchFamily="18" charset="0"/>
            </a:rPr>
            <a:t>ГХ+ОЖ</a:t>
          </a:r>
        </a:p>
      </cdr:txBody>
    </cdr:sp>
  </cdr:relSizeAnchor>
  <cdr:relSizeAnchor xmlns:cdr="http://schemas.openxmlformats.org/drawingml/2006/chartDrawing">
    <cdr:from>
      <cdr:x>0.21042</cdr:x>
      <cdr:y>0.08333</cdr:y>
    </cdr:from>
    <cdr:to>
      <cdr:x>0.34792</cdr:x>
      <cdr:y>0.17014</cdr:y>
    </cdr:to>
    <cdr:sp macro="" textlink="">
      <cdr:nvSpPr>
        <cdr:cNvPr id="4" name="TextBox 3"/>
        <cdr:cNvSpPr txBox="1"/>
      </cdr:nvSpPr>
      <cdr:spPr>
        <a:xfrm xmlns:a="http://schemas.openxmlformats.org/drawingml/2006/main">
          <a:off x="962040" y="228591"/>
          <a:ext cx="628650" cy="2381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solidFill>
                <a:sysClr val="windowText" lastClr="000000"/>
              </a:solidFill>
              <a:latin typeface="Times New Roman" panose="02020603050405020304" pitchFamily="18" charset="0"/>
              <a:cs typeface="Times New Roman" panose="02020603050405020304" pitchFamily="18" charset="0"/>
            </a:rPr>
            <a:t>ГХ</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Grande">
    <w:altName w:val="Times New Roman"/>
    <w:charset w:val="00"/>
    <w:family w:val="auto"/>
    <w:pitch w:val="variable"/>
    <w:sig w:usb0="00000003" w:usb1="00000000" w:usb2="00000000" w:usb3="00000000" w:csb0="00000001" w:csb1="00000000"/>
  </w:font>
  <w:font w:name="PragmaticaC">
    <w:altName w:val="MS Gothic"/>
    <w:panose1 w:val="00000000000000000000"/>
    <w:charset w:val="00"/>
    <w:family w:val="decorative"/>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Newton">
    <w:altName w:val="Times New Roman"/>
    <w:panose1 w:val="00000000000000000000"/>
    <w:charset w:val="00"/>
    <w:family w:val="roman"/>
    <w:notTrueType/>
    <w:pitch w:val="default"/>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8B"/>
    <w:rsid w:val="00736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86567E45FBD47EB8D676E8C7E07F024">
    <w:name w:val="E86567E45FBD47EB8D676E8C7E07F024"/>
    <w:rsid w:val="00736C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8948E-68C6-4593-B91C-B28FBEB21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164</Pages>
  <Words>40377</Words>
  <Characters>230150</Characters>
  <Application>Microsoft Office Word</Application>
  <DocSecurity>0</DocSecurity>
  <Lines>1917</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21</cp:revision>
  <cp:lastPrinted>2020-09-21T14:16:00Z</cp:lastPrinted>
  <dcterms:created xsi:type="dcterms:W3CDTF">2020-09-21T11:10:00Z</dcterms:created>
  <dcterms:modified xsi:type="dcterms:W3CDTF">2021-02-17T12:31:00Z</dcterms:modified>
</cp:coreProperties>
</file>