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B3" w:rsidRDefault="009505B3" w:rsidP="009505B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5B3">
        <w:rPr>
          <w:rFonts w:ascii="Times New Roman" w:hAnsi="Times New Roman" w:cs="Times New Roman"/>
          <w:sz w:val="28"/>
          <w:szCs w:val="28"/>
        </w:rPr>
        <w:t>ПОРІ</w:t>
      </w:r>
      <w:bookmarkStart w:id="0" w:name="_GoBack"/>
      <w:bookmarkEnd w:id="0"/>
      <w:r w:rsidRPr="009505B3">
        <w:rPr>
          <w:rFonts w:ascii="Times New Roman" w:hAnsi="Times New Roman" w:cs="Times New Roman"/>
          <w:sz w:val="28"/>
          <w:szCs w:val="28"/>
        </w:rPr>
        <w:t>ВНЯЛЬНА ХАРАКТЕРИСТИКА ТИПІВ ТРАНСМІТРАЛЬНОГО КРОВОТОКУ У ПАЦІЄНТІВ З ІШЕМІЧНОЮ ХВОРОБОЮ СЕРЦЯ ТА ЦУКРОВИМ ДІАБЕТОМ 2 ТИПУ В ЗАЛЕЖНОСТІ ВІД СТАТІ</w:t>
      </w:r>
    </w:p>
    <w:p w:rsidR="009505B3" w:rsidRDefault="009505B3" w:rsidP="009505B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Кошкіна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Шапаренко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9505B3" w:rsidRDefault="009505B3" w:rsidP="009505B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алергології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Л. Т.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9505B3" w:rsidRDefault="009505B3" w:rsidP="009505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B3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трансмітрального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кровотоку 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(ІХС) та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(ЦД)</w:t>
      </w:r>
      <w:r>
        <w:rPr>
          <w:rFonts w:ascii="Times New Roman" w:hAnsi="Times New Roman" w:cs="Times New Roman"/>
          <w:sz w:val="28"/>
          <w:szCs w:val="28"/>
        </w:rPr>
        <w:t xml:space="preserve"> 2 типу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статі.</w:t>
      </w:r>
    </w:p>
    <w:p w:rsidR="009505B3" w:rsidRDefault="009505B3" w:rsidP="009505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B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залучено 37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66,2±3,42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знаходились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кардіологічному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№ 27»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ради.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ІХС та ЦД 2 типу. </w:t>
      </w:r>
      <w:proofErr w:type="gramStart"/>
      <w:r w:rsidRPr="009505B3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9505B3">
        <w:rPr>
          <w:rFonts w:ascii="Times New Roman" w:hAnsi="Times New Roman" w:cs="Times New Roman"/>
          <w:sz w:val="28"/>
          <w:szCs w:val="28"/>
        </w:rPr>
        <w:t xml:space="preserve"> дизайну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сформовано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: першу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чоловічої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65,8±3,69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; до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жіночої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66,7±3,18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стандартне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верифікації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ЦД 2 типу в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гликозильований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гемоглобін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фотометричного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методу з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Reagent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) та глюкозу за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глюкозоксидазного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натще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трансмітрального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кровотоку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виконувалось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ехокардіографічне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ультразвукового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RADMIR (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Ultima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PRO 30) (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проводилась з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пакету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8.0 (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StatSoft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USA). </w:t>
      </w:r>
    </w:p>
    <w:p w:rsidR="009505B3" w:rsidRDefault="009505B3" w:rsidP="009505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: в 1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на ІХС та ЦД 2 типу (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за типами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трансмітрального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кровотоку: 72,3% з них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псевдонормалізації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22,2% –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рестриктивний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тип, 5,5% – тип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lastRenderedPageBreak/>
        <w:t>релаксації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нормального типу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трансмітрального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кровотоку в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жіночої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: 68,4%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псевдонормалізації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21,1% –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рестриктивний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тип, 5,2% – тип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5,2% –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нормальний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трансмітрального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кровотоку. </w:t>
      </w:r>
    </w:p>
    <w:p w:rsidR="00942E56" w:rsidRPr="0006712D" w:rsidRDefault="009505B3" w:rsidP="009505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на ІХС та ЦД 2 типу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трансмітральний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кровоток за типом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псевдонормалізації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рестриктивний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тип, тип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нормальний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тип не є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трансмітрального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кровотоку у таких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нами не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5B3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9505B3">
        <w:rPr>
          <w:rFonts w:ascii="Times New Roman" w:hAnsi="Times New Roman" w:cs="Times New Roman"/>
          <w:sz w:val="28"/>
          <w:szCs w:val="28"/>
        </w:rPr>
        <w:t>.</w:t>
      </w:r>
    </w:p>
    <w:sectPr w:rsidR="00942E56" w:rsidRPr="0006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6712D"/>
    <w:rsid w:val="00234B53"/>
    <w:rsid w:val="002E21CD"/>
    <w:rsid w:val="008B06F0"/>
    <w:rsid w:val="00942E56"/>
    <w:rsid w:val="009505B3"/>
    <w:rsid w:val="00B04606"/>
    <w:rsid w:val="00BA69BC"/>
    <w:rsid w:val="00E73F48"/>
    <w:rsid w:val="00E93905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2020-11-18T09:57:00Z</dcterms:created>
  <dcterms:modified xsi:type="dcterms:W3CDTF">2020-11-18T10:58:00Z</dcterms:modified>
</cp:coreProperties>
</file>