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3" w:rsidRDefault="003E6073" w:rsidP="003E6073">
      <w:pPr>
        <w:spacing w:after="0" w:line="360" w:lineRule="auto"/>
        <w:jc w:val="center"/>
        <w:rPr>
          <w:rFonts w:ascii="Times New Roman" w:hAnsi="Times New Roman" w:cs="Times New Roman"/>
          <w:sz w:val="28"/>
          <w:szCs w:val="28"/>
          <w:lang w:val="en-US"/>
        </w:rPr>
      </w:pPr>
      <w:proofErr w:type="spellStart"/>
      <w:r w:rsidRPr="003E6073">
        <w:rPr>
          <w:rFonts w:ascii="Times New Roman" w:hAnsi="Times New Roman" w:cs="Times New Roman"/>
          <w:sz w:val="28"/>
          <w:szCs w:val="28"/>
          <w:lang w:val="en-US"/>
        </w:rPr>
        <w:t>Koshkina</w:t>
      </w:r>
      <w:proofErr w:type="spellEnd"/>
      <w:r w:rsidRPr="003E6073">
        <w:rPr>
          <w:rFonts w:ascii="Times New Roman" w:hAnsi="Times New Roman" w:cs="Times New Roman"/>
          <w:sz w:val="28"/>
          <w:szCs w:val="28"/>
          <w:lang w:val="en-US"/>
        </w:rPr>
        <w:t xml:space="preserve"> </w:t>
      </w:r>
      <w:proofErr w:type="spellStart"/>
      <w:r w:rsidRPr="003E6073">
        <w:rPr>
          <w:rFonts w:ascii="Times New Roman" w:hAnsi="Times New Roman" w:cs="Times New Roman"/>
          <w:sz w:val="28"/>
          <w:szCs w:val="28"/>
          <w:lang w:val="en-US"/>
        </w:rPr>
        <w:t>Marharyta</w:t>
      </w:r>
      <w:proofErr w:type="spellEnd"/>
    </w:p>
    <w:p w:rsidR="003E6073" w:rsidRDefault="003E6073" w:rsidP="003E6073">
      <w:pPr>
        <w:spacing w:after="0" w:line="360" w:lineRule="auto"/>
        <w:jc w:val="center"/>
        <w:rPr>
          <w:rFonts w:ascii="Times New Roman" w:hAnsi="Times New Roman" w:cs="Times New Roman"/>
          <w:sz w:val="28"/>
          <w:szCs w:val="28"/>
          <w:lang w:val="en-US"/>
        </w:rPr>
      </w:pPr>
      <w:r w:rsidRPr="003E6073">
        <w:rPr>
          <w:rFonts w:ascii="Times New Roman" w:hAnsi="Times New Roman" w:cs="Times New Roman"/>
          <w:sz w:val="28"/>
          <w:szCs w:val="28"/>
          <w:lang w:val="en-US"/>
        </w:rPr>
        <w:t xml:space="preserve">Justification for valsartan and </w:t>
      </w:r>
      <w:proofErr w:type="spellStart"/>
      <w:r w:rsidRPr="003E6073">
        <w:rPr>
          <w:rFonts w:ascii="Times New Roman" w:hAnsi="Times New Roman" w:cs="Times New Roman"/>
          <w:sz w:val="28"/>
          <w:szCs w:val="28"/>
          <w:lang w:val="en-US"/>
        </w:rPr>
        <w:t>telmisartan</w:t>
      </w:r>
      <w:proofErr w:type="spellEnd"/>
      <w:r w:rsidRPr="003E6073">
        <w:rPr>
          <w:rFonts w:ascii="Times New Roman" w:hAnsi="Times New Roman" w:cs="Times New Roman"/>
          <w:sz w:val="28"/>
          <w:szCs w:val="28"/>
          <w:lang w:val="en-US"/>
        </w:rPr>
        <w:t xml:space="preserve"> prescribing to patients with coronary artery disease and diabetes </w:t>
      </w:r>
      <w:proofErr w:type="spellStart"/>
      <w:r w:rsidRPr="003E6073">
        <w:rPr>
          <w:rFonts w:ascii="Times New Roman" w:hAnsi="Times New Roman" w:cs="Times New Roman"/>
          <w:sz w:val="28"/>
          <w:szCs w:val="28"/>
          <w:lang w:val="en-US"/>
        </w:rPr>
        <w:t>melitus</w:t>
      </w:r>
      <w:proofErr w:type="spellEnd"/>
      <w:r w:rsidRPr="003E6073">
        <w:rPr>
          <w:rFonts w:ascii="Times New Roman" w:hAnsi="Times New Roman" w:cs="Times New Roman"/>
          <w:sz w:val="28"/>
          <w:szCs w:val="28"/>
          <w:lang w:val="en-US"/>
        </w:rPr>
        <w:t xml:space="preserve"> type 2</w:t>
      </w:r>
    </w:p>
    <w:p w:rsidR="003E6073" w:rsidRDefault="003E6073" w:rsidP="003E6073">
      <w:pPr>
        <w:spacing w:after="0" w:line="360" w:lineRule="auto"/>
        <w:jc w:val="center"/>
        <w:rPr>
          <w:rFonts w:ascii="Times New Roman" w:hAnsi="Times New Roman" w:cs="Times New Roman"/>
          <w:sz w:val="28"/>
          <w:szCs w:val="28"/>
          <w:lang w:val="en-US"/>
        </w:rPr>
      </w:pPr>
      <w:proofErr w:type="spellStart"/>
      <w:r w:rsidRPr="003E6073">
        <w:rPr>
          <w:rFonts w:ascii="Times New Roman" w:hAnsi="Times New Roman" w:cs="Times New Roman"/>
          <w:sz w:val="28"/>
          <w:szCs w:val="28"/>
          <w:lang w:val="en-US"/>
        </w:rPr>
        <w:t>Kharkiv</w:t>
      </w:r>
      <w:proofErr w:type="spellEnd"/>
      <w:r w:rsidRPr="003E6073">
        <w:rPr>
          <w:rFonts w:ascii="Times New Roman" w:hAnsi="Times New Roman" w:cs="Times New Roman"/>
          <w:sz w:val="28"/>
          <w:szCs w:val="28"/>
          <w:lang w:val="en-US"/>
        </w:rPr>
        <w:t xml:space="preserve"> National Medical University Department of Internal Medicine No.2, Clinical Immunology and </w:t>
      </w:r>
      <w:proofErr w:type="spellStart"/>
      <w:r w:rsidRPr="003E6073">
        <w:rPr>
          <w:rFonts w:ascii="Times New Roman" w:hAnsi="Times New Roman" w:cs="Times New Roman"/>
          <w:sz w:val="28"/>
          <w:szCs w:val="28"/>
          <w:lang w:val="en-US"/>
        </w:rPr>
        <w:t>Allergology</w:t>
      </w:r>
      <w:proofErr w:type="spellEnd"/>
      <w:r w:rsidRPr="003E6073">
        <w:rPr>
          <w:rFonts w:ascii="Times New Roman" w:hAnsi="Times New Roman" w:cs="Times New Roman"/>
          <w:sz w:val="28"/>
          <w:szCs w:val="28"/>
          <w:lang w:val="en-US"/>
        </w:rPr>
        <w:t xml:space="preserve"> nam</w:t>
      </w:r>
      <w:r>
        <w:rPr>
          <w:rFonts w:ascii="Times New Roman" w:hAnsi="Times New Roman" w:cs="Times New Roman"/>
          <w:sz w:val="28"/>
          <w:szCs w:val="28"/>
          <w:lang w:val="en-US"/>
        </w:rPr>
        <w:t xml:space="preserve">ed after academician </w:t>
      </w:r>
      <w:proofErr w:type="spellStart"/>
      <w:r>
        <w:rPr>
          <w:rFonts w:ascii="Times New Roman" w:hAnsi="Times New Roman" w:cs="Times New Roman"/>
          <w:sz w:val="28"/>
          <w:szCs w:val="28"/>
          <w:lang w:val="en-US"/>
        </w:rPr>
        <w:t>L.T.Malaya</w:t>
      </w:r>
    </w:p>
    <w:p w:rsidR="003E6073" w:rsidRDefault="003E6073" w:rsidP="003E6073">
      <w:pPr>
        <w:spacing w:after="0" w:line="360" w:lineRule="auto"/>
        <w:jc w:val="center"/>
        <w:rPr>
          <w:rFonts w:ascii="Times New Roman" w:hAnsi="Times New Roman" w:cs="Times New Roman"/>
          <w:sz w:val="28"/>
          <w:szCs w:val="28"/>
          <w:lang w:val="en-US"/>
        </w:rPr>
      </w:pPr>
      <w:r w:rsidRPr="003E6073">
        <w:rPr>
          <w:rFonts w:ascii="Times New Roman" w:hAnsi="Times New Roman" w:cs="Times New Roman"/>
          <w:sz w:val="28"/>
          <w:szCs w:val="28"/>
          <w:lang w:val="en-US"/>
        </w:rPr>
        <w:t>Kharkiv</w:t>
      </w:r>
      <w:proofErr w:type="spellEnd"/>
      <w:r w:rsidRPr="003E6073">
        <w:rPr>
          <w:rFonts w:ascii="Times New Roman" w:hAnsi="Times New Roman" w:cs="Times New Roman"/>
          <w:sz w:val="28"/>
          <w:szCs w:val="28"/>
          <w:lang w:val="en-US"/>
        </w:rPr>
        <w:t>, Ukraine</w:t>
      </w:r>
    </w:p>
    <w:p w:rsidR="00374C62" w:rsidRDefault="003E6073" w:rsidP="003E6073">
      <w:pPr>
        <w:spacing w:after="0" w:line="360" w:lineRule="auto"/>
        <w:jc w:val="center"/>
        <w:rPr>
          <w:rFonts w:ascii="Times New Roman" w:hAnsi="Times New Roman" w:cs="Times New Roman"/>
          <w:sz w:val="28"/>
          <w:szCs w:val="28"/>
          <w:lang w:val="en-US"/>
        </w:rPr>
      </w:pPr>
      <w:r w:rsidRPr="003E6073">
        <w:rPr>
          <w:rFonts w:ascii="Times New Roman" w:hAnsi="Times New Roman" w:cs="Times New Roman"/>
          <w:sz w:val="28"/>
          <w:szCs w:val="28"/>
          <w:lang w:val="en-US"/>
        </w:rPr>
        <w:t xml:space="preserve">Scientific advisor: prof. </w:t>
      </w:r>
      <w:proofErr w:type="spellStart"/>
      <w:r w:rsidRPr="003E6073">
        <w:rPr>
          <w:rFonts w:ascii="Times New Roman" w:hAnsi="Times New Roman" w:cs="Times New Roman"/>
          <w:sz w:val="28"/>
          <w:szCs w:val="28"/>
          <w:lang w:val="en-US"/>
        </w:rPr>
        <w:t>V.D.Babadzan</w:t>
      </w:r>
      <w:proofErr w:type="spellEnd"/>
    </w:p>
    <w:p w:rsidR="003E6073" w:rsidRPr="003E6073" w:rsidRDefault="003E6073" w:rsidP="003F3043">
      <w:pPr>
        <w:spacing w:after="0" w:line="360" w:lineRule="auto"/>
        <w:jc w:val="both"/>
        <w:rPr>
          <w:rFonts w:ascii="Times New Roman" w:hAnsi="Times New Roman" w:cs="Times New Roman"/>
          <w:sz w:val="28"/>
          <w:szCs w:val="28"/>
          <w:lang w:val="en-US"/>
        </w:rPr>
      </w:pPr>
    </w:p>
    <w:p w:rsidR="003E6073" w:rsidRDefault="003E6073" w:rsidP="003E6073">
      <w:pPr>
        <w:spacing w:after="0" w:line="360" w:lineRule="auto"/>
        <w:ind w:firstLine="708"/>
        <w:jc w:val="both"/>
        <w:rPr>
          <w:rFonts w:ascii="Times New Roman" w:hAnsi="Times New Roman" w:cs="Times New Roman"/>
          <w:sz w:val="28"/>
          <w:szCs w:val="28"/>
          <w:lang w:val="en-US"/>
        </w:rPr>
      </w:pPr>
      <w:r w:rsidRPr="003E6073">
        <w:rPr>
          <w:rFonts w:ascii="Times New Roman" w:hAnsi="Times New Roman" w:cs="Times New Roman"/>
          <w:sz w:val="28"/>
          <w:szCs w:val="28"/>
          <w:lang w:val="en-US"/>
        </w:rPr>
        <w:t xml:space="preserve">Introduction: It </w:t>
      </w:r>
      <w:proofErr w:type="gramStart"/>
      <w:r w:rsidRPr="003E6073">
        <w:rPr>
          <w:rFonts w:ascii="Times New Roman" w:hAnsi="Times New Roman" w:cs="Times New Roman"/>
          <w:sz w:val="28"/>
          <w:szCs w:val="28"/>
          <w:lang w:val="en-US"/>
        </w:rPr>
        <w:t>is known</w:t>
      </w:r>
      <w:proofErr w:type="gramEnd"/>
      <w:r w:rsidRPr="003E6073">
        <w:rPr>
          <w:rFonts w:ascii="Times New Roman" w:hAnsi="Times New Roman" w:cs="Times New Roman"/>
          <w:sz w:val="28"/>
          <w:szCs w:val="28"/>
          <w:lang w:val="en-US"/>
        </w:rPr>
        <w:t xml:space="preserve"> that there is a need to prescribe blood pressure control drugs to patients with coronary artery disease (CAD). Among </w:t>
      </w:r>
      <w:proofErr w:type="gramStart"/>
      <w:r w:rsidRPr="003E6073">
        <w:rPr>
          <w:rFonts w:ascii="Times New Roman" w:hAnsi="Times New Roman" w:cs="Times New Roman"/>
          <w:sz w:val="28"/>
          <w:szCs w:val="28"/>
          <w:lang w:val="en-US"/>
        </w:rPr>
        <w:t>them</w:t>
      </w:r>
      <w:proofErr w:type="gramEnd"/>
      <w:r w:rsidRPr="003E6073">
        <w:rPr>
          <w:rFonts w:ascii="Times New Roman" w:hAnsi="Times New Roman" w:cs="Times New Roman"/>
          <w:sz w:val="28"/>
          <w:szCs w:val="28"/>
          <w:lang w:val="en-US"/>
        </w:rPr>
        <w:t xml:space="preserve"> there is the </w:t>
      </w:r>
      <w:proofErr w:type="spellStart"/>
      <w:r w:rsidRPr="003E6073">
        <w:rPr>
          <w:rFonts w:ascii="Times New Roman" w:hAnsi="Times New Roman" w:cs="Times New Roman"/>
          <w:sz w:val="28"/>
          <w:szCs w:val="28"/>
          <w:lang w:val="en-US"/>
        </w:rPr>
        <w:t>reninangiotensin</w:t>
      </w:r>
      <w:proofErr w:type="spellEnd"/>
      <w:r w:rsidRPr="003E6073">
        <w:rPr>
          <w:rFonts w:ascii="Times New Roman" w:hAnsi="Times New Roman" w:cs="Times New Roman"/>
          <w:sz w:val="28"/>
          <w:szCs w:val="28"/>
          <w:lang w:val="en-US"/>
        </w:rPr>
        <w:t xml:space="preserve">-aldosterone system blockers group (ARBs). There is evidence that the designation of ARBs improves predictions of the progress of CAD. </w:t>
      </w:r>
    </w:p>
    <w:p w:rsidR="003E6073" w:rsidRDefault="003E6073" w:rsidP="003E6073">
      <w:pPr>
        <w:spacing w:after="0" w:line="360" w:lineRule="auto"/>
        <w:ind w:firstLine="708"/>
        <w:jc w:val="both"/>
        <w:rPr>
          <w:rFonts w:ascii="Times New Roman" w:hAnsi="Times New Roman" w:cs="Times New Roman"/>
          <w:sz w:val="28"/>
          <w:szCs w:val="28"/>
          <w:lang w:val="en-US"/>
        </w:rPr>
      </w:pPr>
      <w:r w:rsidRPr="003E6073">
        <w:rPr>
          <w:rFonts w:ascii="Times New Roman" w:hAnsi="Times New Roman" w:cs="Times New Roman"/>
          <w:sz w:val="28"/>
          <w:szCs w:val="28"/>
          <w:lang w:val="en-US"/>
        </w:rPr>
        <w:t xml:space="preserve">Results and discussion: ARBs have a number of advantages when choosing a drug for patients with CAD and diabetes </w:t>
      </w:r>
      <w:proofErr w:type="spellStart"/>
      <w:r w:rsidRPr="003E6073">
        <w:rPr>
          <w:rFonts w:ascii="Times New Roman" w:hAnsi="Times New Roman" w:cs="Times New Roman"/>
          <w:sz w:val="28"/>
          <w:szCs w:val="28"/>
          <w:lang w:val="en-US"/>
        </w:rPr>
        <w:t>melitus</w:t>
      </w:r>
      <w:proofErr w:type="spellEnd"/>
      <w:r w:rsidRPr="003E6073">
        <w:rPr>
          <w:rFonts w:ascii="Times New Roman" w:hAnsi="Times New Roman" w:cs="Times New Roman"/>
          <w:sz w:val="28"/>
          <w:szCs w:val="28"/>
          <w:lang w:val="en-US"/>
        </w:rPr>
        <w:t xml:space="preserve"> (DM) type 2. </w:t>
      </w:r>
      <w:proofErr w:type="gramStart"/>
      <w:r w:rsidRPr="003E6073">
        <w:rPr>
          <w:rFonts w:ascii="Times New Roman" w:hAnsi="Times New Roman" w:cs="Times New Roman"/>
          <w:sz w:val="28"/>
          <w:szCs w:val="28"/>
          <w:lang w:val="en-US"/>
        </w:rPr>
        <w:t>First of all</w:t>
      </w:r>
      <w:proofErr w:type="gramEnd"/>
      <w:r w:rsidRPr="003E6073">
        <w:rPr>
          <w:rFonts w:ascii="Times New Roman" w:hAnsi="Times New Roman" w:cs="Times New Roman"/>
          <w:sz w:val="28"/>
          <w:szCs w:val="28"/>
          <w:lang w:val="en-US"/>
        </w:rPr>
        <w:t xml:space="preserve">, this group of drugs demonstrates significant effectiveness of blood pressure control, high tolerability, and economic accessibility. Drugs of this group also have pronounced </w:t>
      </w:r>
      <w:proofErr w:type="spellStart"/>
      <w:r w:rsidRPr="003E6073">
        <w:rPr>
          <w:rFonts w:ascii="Times New Roman" w:hAnsi="Times New Roman" w:cs="Times New Roman"/>
          <w:sz w:val="28"/>
          <w:szCs w:val="28"/>
          <w:lang w:val="en-US"/>
        </w:rPr>
        <w:t>organoprotective</w:t>
      </w:r>
      <w:proofErr w:type="spellEnd"/>
      <w:r w:rsidRPr="003E6073">
        <w:rPr>
          <w:rFonts w:ascii="Times New Roman" w:hAnsi="Times New Roman" w:cs="Times New Roman"/>
          <w:sz w:val="28"/>
          <w:szCs w:val="28"/>
          <w:lang w:val="en-US"/>
        </w:rPr>
        <w:t xml:space="preserve"> effects, in particular, direct </w:t>
      </w:r>
      <w:proofErr w:type="spellStart"/>
      <w:r w:rsidRPr="003E6073">
        <w:rPr>
          <w:rFonts w:ascii="Times New Roman" w:hAnsi="Times New Roman" w:cs="Times New Roman"/>
          <w:sz w:val="28"/>
          <w:szCs w:val="28"/>
          <w:lang w:val="en-US"/>
        </w:rPr>
        <w:t>cardioprotective</w:t>
      </w:r>
      <w:proofErr w:type="spellEnd"/>
      <w:r w:rsidRPr="003E6073">
        <w:rPr>
          <w:rFonts w:ascii="Times New Roman" w:hAnsi="Times New Roman" w:cs="Times New Roman"/>
          <w:sz w:val="28"/>
          <w:szCs w:val="28"/>
          <w:lang w:val="en-US"/>
        </w:rPr>
        <w:t xml:space="preserve"> action, manifested in the form of significant regression of left ventricular myocardial hypertrophy. Exactly this effect makes possible to achieve an improvement in </w:t>
      </w:r>
      <w:proofErr w:type="spellStart"/>
      <w:r w:rsidRPr="003E6073">
        <w:rPr>
          <w:rFonts w:ascii="Times New Roman" w:hAnsi="Times New Roman" w:cs="Times New Roman"/>
          <w:sz w:val="28"/>
          <w:szCs w:val="28"/>
          <w:lang w:val="en-US"/>
        </w:rPr>
        <w:t>intracardial</w:t>
      </w:r>
      <w:proofErr w:type="spellEnd"/>
      <w:r w:rsidRPr="003E6073">
        <w:rPr>
          <w:rFonts w:ascii="Times New Roman" w:hAnsi="Times New Roman" w:cs="Times New Roman"/>
          <w:sz w:val="28"/>
          <w:szCs w:val="28"/>
          <w:lang w:val="en-US"/>
        </w:rPr>
        <w:t xml:space="preserve"> hemodynamics, and therefore to reduce the risks of thrombosis and aggregation. It also slows the development of fibrosis in the hypertrophied myocardium, and therefore the heart failure development. It </w:t>
      </w:r>
      <w:proofErr w:type="gramStart"/>
      <w:r w:rsidRPr="003E6073">
        <w:rPr>
          <w:rFonts w:ascii="Times New Roman" w:hAnsi="Times New Roman" w:cs="Times New Roman"/>
          <w:sz w:val="28"/>
          <w:szCs w:val="28"/>
          <w:lang w:val="en-US"/>
        </w:rPr>
        <w:t>is known</w:t>
      </w:r>
      <w:proofErr w:type="gramEnd"/>
      <w:r w:rsidRPr="003E6073">
        <w:rPr>
          <w:rFonts w:ascii="Times New Roman" w:hAnsi="Times New Roman" w:cs="Times New Roman"/>
          <w:sz w:val="28"/>
          <w:szCs w:val="28"/>
          <w:lang w:val="en-US"/>
        </w:rPr>
        <w:t xml:space="preserve"> that ARBs can improve metabolic performance by reducing levels of inflammatory markers, stimulating the bradykinin system, and reducing endothelial dysfunction. In addition, the </w:t>
      </w:r>
      <w:proofErr w:type="spellStart"/>
      <w:r w:rsidRPr="003E6073">
        <w:rPr>
          <w:rFonts w:ascii="Times New Roman" w:hAnsi="Times New Roman" w:cs="Times New Roman"/>
          <w:sz w:val="28"/>
          <w:szCs w:val="28"/>
          <w:lang w:val="en-US"/>
        </w:rPr>
        <w:t>nephroprotective</w:t>
      </w:r>
      <w:proofErr w:type="spellEnd"/>
      <w:r w:rsidRPr="003E6073">
        <w:rPr>
          <w:rFonts w:ascii="Times New Roman" w:hAnsi="Times New Roman" w:cs="Times New Roman"/>
          <w:sz w:val="28"/>
          <w:szCs w:val="28"/>
          <w:lang w:val="en-US"/>
        </w:rPr>
        <w:t xml:space="preserve"> effect of ARBs in patients with DM type 2 in the form of a decrease in microalbuminuria and a slowdown in the development 71 of diabetic nephropathy was proved in the MARVAL study, among them </w:t>
      </w:r>
      <w:proofErr w:type="spellStart"/>
      <w:r w:rsidRPr="003E6073">
        <w:rPr>
          <w:rFonts w:ascii="Times New Roman" w:hAnsi="Times New Roman" w:cs="Times New Roman"/>
          <w:sz w:val="28"/>
          <w:szCs w:val="28"/>
          <w:lang w:val="en-US"/>
        </w:rPr>
        <w:t>telmisartan</w:t>
      </w:r>
      <w:proofErr w:type="spellEnd"/>
      <w:r w:rsidRPr="003E6073">
        <w:rPr>
          <w:rFonts w:ascii="Times New Roman" w:hAnsi="Times New Roman" w:cs="Times New Roman"/>
          <w:sz w:val="28"/>
          <w:szCs w:val="28"/>
          <w:lang w:val="en-US"/>
        </w:rPr>
        <w:t xml:space="preserve"> and valsartan had the best results. The metabolic effect of ARBs in patients with cardiovascular diseases and DM type 2 in the form of increased tissue sensitivity to glucose </w:t>
      </w:r>
      <w:proofErr w:type="gramStart"/>
      <w:r w:rsidRPr="003E6073">
        <w:rPr>
          <w:rFonts w:ascii="Times New Roman" w:hAnsi="Times New Roman" w:cs="Times New Roman"/>
          <w:sz w:val="28"/>
          <w:szCs w:val="28"/>
          <w:lang w:val="en-US"/>
        </w:rPr>
        <w:t>is also known</w:t>
      </w:r>
      <w:proofErr w:type="gramEnd"/>
      <w:r w:rsidRPr="003E6073">
        <w:rPr>
          <w:rFonts w:ascii="Times New Roman" w:hAnsi="Times New Roman" w:cs="Times New Roman"/>
          <w:sz w:val="28"/>
          <w:szCs w:val="28"/>
          <w:lang w:val="en-US"/>
        </w:rPr>
        <w:t xml:space="preserve">. </w:t>
      </w:r>
    </w:p>
    <w:p w:rsidR="00942E56" w:rsidRPr="003E6073" w:rsidRDefault="003E6073" w:rsidP="003E6073">
      <w:pPr>
        <w:spacing w:after="0" w:line="360" w:lineRule="auto"/>
        <w:ind w:firstLine="708"/>
        <w:jc w:val="both"/>
        <w:rPr>
          <w:rFonts w:ascii="Times New Roman" w:hAnsi="Times New Roman" w:cs="Times New Roman"/>
          <w:sz w:val="28"/>
          <w:szCs w:val="28"/>
          <w:lang w:val="en-US"/>
        </w:rPr>
      </w:pPr>
      <w:bookmarkStart w:id="0" w:name="_GoBack"/>
      <w:bookmarkEnd w:id="0"/>
      <w:r w:rsidRPr="003E6073">
        <w:rPr>
          <w:rFonts w:ascii="Times New Roman" w:hAnsi="Times New Roman" w:cs="Times New Roman"/>
          <w:sz w:val="28"/>
          <w:szCs w:val="28"/>
          <w:lang w:val="en-US"/>
        </w:rPr>
        <w:lastRenderedPageBreak/>
        <w:t xml:space="preserve">Conclusions: ARBs can reduce the likelihood of developing cardiovascular events and death from causes associated with the cardiovascular system in patients with CAD with concomitant DM type 2. All this factors lead to the choice of ARBs prescribing as drugs for the treatment of CAD in patients with CAD and DM type 2, namely, the use of </w:t>
      </w:r>
      <w:proofErr w:type="spellStart"/>
      <w:r w:rsidRPr="003E6073">
        <w:rPr>
          <w:rFonts w:ascii="Times New Roman" w:hAnsi="Times New Roman" w:cs="Times New Roman"/>
          <w:sz w:val="28"/>
          <w:szCs w:val="28"/>
          <w:lang w:val="en-US"/>
        </w:rPr>
        <w:t>telmisratan</w:t>
      </w:r>
      <w:proofErr w:type="spellEnd"/>
      <w:r w:rsidRPr="003E6073">
        <w:rPr>
          <w:rFonts w:ascii="Times New Roman" w:hAnsi="Times New Roman" w:cs="Times New Roman"/>
          <w:sz w:val="28"/>
          <w:szCs w:val="28"/>
          <w:lang w:val="en-US"/>
        </w:rPr>
        <w:t xml:space="preserve"> and valsartan.</w:t>
      </w:r>
    </w:p>
    <w:sectPr w:rsidR="00942E56" w:rsidRPr="003E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48"/>
    <w:rsid w:val="000259BB"/>
    <w:rsid w:val="0006712D"/>
    <w:rsid w:val="00094A14"/>
    <w:rsid w:val="001146E7"/>
    <w:rsid w:val="00122D8D"/>
    <w:rsid w:val="00224793"/>
    <w:rsid w:val="00225131"/>
    <w:rsid w:val="00234B53"/>
    <w:rsid w:val="002D7F12"/>
    <w:rsid w:val="002E21CD"/>
    <w:rsid w:val="002F4219"/>
    <w:rsid w:val="0033562A"/>
    <w:rsid w:val="00374C62"/>
    <w:rsid w:val="003869C4"/>
    <w:rsid w:val="003E6073"/>
    <w:rsid w:val="003F3043"/>
    <w:rsid w:val="0040719B"/>
    <w:rsid w:val="004D0832"/>
    <w:rsid w:val="004F3A75"/>
    <w:rsid w:val="006B7C12"/>
    <w:rsid w:val="006F4495"/>
    <w:rsid w:val="006F67F6"/>
    <w:rsid w:val="00706C25"/>
    <w:rsid w:val="00714B0B"/>
    <w:rsid w:val="00777E46"/>
    <w:rsid w:val="00780CC6"/>
    <w:rsid w:val="007D15B0"/>
    <w:rsid w:val="007D7C13"/>
    <w:rsid w:val="008B06F0"/>
    <w:rsid w:val="00942E56"/>
    <w:rsid w:val="009505B3"/>
    <w:rsid w:val="00992B50"/>
    <w:rsid w:val="009E09C2"/>
    <w:rsid w:val="009F1101"/>
    <w:rsid w:val="00B04606"/>
    <w:rsid w:val="00BA69BC"/>
    <w:rsid w:val="00BC3FD8"/>
    <w:rsid w:val="00C44E91"/>
    <w:rsid w:val="00C56CA8"/>
    <w:rsid w:val="00C73750"/>
    <w:rsid w:val="00C93E01"/>
    <w:rsid w:val="00DE4EDF"/>
    <w:rsid w:val="00E73F48"/>
    <w:rsid w:val="00E93905"/>
    <w:rsid w:val="00EB6304"/>
    <w:rsid w:val="00F339DA"/>
    <w:rsid w:val="00F4171C"/>
    <w:rsid w:val="00F44235"/>
    <w:rsid w:val="00F62AF1"/>
    <w:rsid w:val="00F6310A"/>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22A9-00DC-4D73-A783-C67C01B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41</cp:revision>
  <dcterms:created xsi:type="dcterms:W3CDTF">2020-11-18T09:57:00Z</dcterms:created>
  <dcterms:modified xsi:type="dcterms:W3CDTF">2020-11-23T07:29:00Z</dcterms:modified>
</cp:coreProperties>
</file>