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25" w:rsidRPr="00D1671C" w:rsidRDefault="006C6A20">
      <w:pPr>
        <w:pStyle w:val="Bodytext30"/>
        <w:shd w:val="clear" w:color="auto" w:fill="auto"/>
        <w:spacing w:after="269" w:line="170" w:lineRule="exact"/>
        <w:ind w:firstLine="0"/>
        <w:rPr>
          <w:lang w:val="ru-RU"/>
        </w:rPr>
      </w:pPr>
      <w:r>
        <w:rPr>
          <w:lang w:val="ru-RU" w:eastAsia="ru-RU" w:bidi="ru-RU"/>
        </w:rPr>
        <w:t>УДК 616.717/.718-001.5-06(045)</w:t>
      </w:r>
    </w:p>
    <w:p w:rsidR="00E14225" w:rsidRPr="00D1671C" w:rsidRDefault="006C6A20">
      <w:pPr>
        <w:pStyle w:val="Bodytext30"/>
        <w:shd w:val="clear" w:color="auto" w:fill="auto"/>
        <w:spacing w:after="299" w:line="170" w:lineRule="exact"/>
        <w:ind w:firstLine="0"/>
        <w:rPr>
          <w:lang w:val="ru-RU"/>
        </w:rPr>
      </w:pPr>
      <w:r>
        <w:rPr>
          <w:lang w:val="uk-UA" w:eastAsia="uk-UA" w:bidi="uk-UA"/>
        </w:rPr>
        <w:t xml:space="preserve">ООІ: </w:t>
      </w:r>
      <w:hyperlink r:id="rId7" w:history="1">
        <w:r>
          <w:rPr>
            <w:rStyle w:val="a3"/>
          </w:rPr>
          <w:t>http</w:t>
        </w:r>
        <w:r w:rsidRPr="00D1671C">
          <w:rPr>
            <w:rStyle w:val="a3"/>
            <w:lang w:val="ru-RU"/>
          </w:rPr>
          <w:t>://</w:t>
        </w:r>
        <w:r>
          <w:rPr>
            <w:rStyle w:val="a3"/>
          </w:rPr>
          <w:t>dx</w:t>
        </w:r>
        <w:r w:rsidRPr="00D1671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doi</w:t>
        </w:r>
        <w:proofErr w:type="spellEnd"/>
        <w:r w:rsidRPr="00D1671C">
          <w:rPr>
            <w:rStyle w:val="a3"/>
            <w:lang w:val="ru-RU"/>
          </w:rPr>
          <w:t>.</w:t>
        </w:r>
        <w:r>
          <w:rPr>
            <w:rStyle w:val="a3"/>
          </w:rPr>
          <w:t>org</w:t>
        </w:r>
        <w:r w:rsidRPr="00D1671C">
          <w:rPr>
            <w:rStyle w:val="a3"/>
            <w:lang w:val="ru-RU"/>
          </w:rPr>
          <w:t>/10.15674/0030-59872020120-25</w:t>
        </w:r>
      </w:hyperlink>
    </w:p>
    <w:p w:rsidR="00E14225" w:rsidRDefault="006C6A20">
      <w:pPr>
        <w:pStyle w:val="Heading30"/>
        <w:keepNext/>
        <w:keepLines/>
        <w:shd w:val="clear" w:color="auto" w:fill="auto"/>
        <w:spacing w:before="0" w:after="307"/>
        <w:ind w:right="600"/>
      </w:pPr>
      <w:bookmarkStart w:id="0" w:name="bookmark0"/>
      <w:r>
        <w:rPr>
          <w:lang w:val="ru-RU" w:eastAsia="ru-RU" w:bidi="ru-RU"/>
        </w:rPr>
        <w:t xml:space="preserve">Частота </w:t>
      </w:r>
      <w:r>
        <w:t xml:space="preserve">ускладнень лікування </w:t>
      </w:r>
      <w:proofErr w:type="spellStart"/>
      <w:r>
        <w:t>діафізарних</w:t>
      </w:r>
      <w:proofErr w:type="spellEnd"/>
      <w:r>
        <w:t xml:space="preserve"> переломів кінцівок за даними Харківської травматологічної МСЕК</w:t>
      </w:r>
      <w:bookmarkEnd w:id="0"/>
    </w:p>
    <w:p w:rsidR="00E14225" w:rsidRDefault="006C6A20">
      <w:pPr>
        <w:pStyle w:val="Heading40"/>
        <w:keepNext/>
        <w:keepLines/>
        <w:shd w:val="clear" w:color="auto" w:fill="auto"/>
        <w:spacing w:before="0" w:after="61" w:line="220" w:lineRule="exact"/>
      </w:pPr>
      <w:bookmarkStart w:id="1" w:name="bookmark1"/>
      <w:r>
        <w:t xml:space="preserve">О. К. </w:t>
      </w:r>
      <w:proofErr w:type="spellStart"/>
      <w:r>
        <w:t>Попсуйшапка</w:t>
      </w:r>
      <w:proofErr w:type="spellEnd"/>
      <w:r>
        <w:t xml:space="preserve"> В. О. </w:t>
      </w:r>
      <w:proofErr w:type="spellStart"/>
      <w:r>
        <w:t>Литвишко</w:t>
      </w:r>
      <w:proofErr w:type="spellEnd"/>
      <w:r>
        <w:t xml:space="preserve"> </w:t>
      </w:r>
      <w:r>
        <w:rPr>
          <w:vertAlign w:val="superscript"/>
        </w:rPr>
        <w:t>2</w:t>
      </w:r>
      <w:r>
        <w:t xml:space="preserve">, О. Є. </w:t>
      </w:r>
      <w:proofErr w:type="spellStart"/>
      <w:r>
        <w:t>Ужегова</w:t>
      </w:r>
      <w:proofErr w:type="spellEnd"/>
      <w:r>
        <w:t xml:space="preserve"> \ О. О. </w:t>
      </w:r>
      <w:proofErr w:type="spellStart"/>
      <w:r>
        <w:t>Підгайська</w:t>
      </w:r>
      <w:proofErr w:type="spellEnd"/>
      <w:r>
        <w:t xml:space="preserve"> </w:t>
      </w:r>
      <w:r>
        <w:rPr>
          <w:rStyle w:val="Heading4NotBold"/>
          <w:vertAlign w:val="superscript"/>
        </w:rPr>
        <w:t>4</w:t>
      </w:r>
      <w:bookmarkEnd w:id="1"/>
    </w:p>
    <w:p w:rsidR="00E14225" w:rsidRDefault="006C6A20">
      <w:pPr>
        <w:pStyle w:val="Bodytext30"/>
        <w:numPr>
          <w:ilvl w:val="0"/>
          <w:numId w:val="1"/>
        </w:numPr>
        <w:shd w:val="clear" w:color="auto" w:fill="auto"/>
        <w:tabs>
          <w:tab w:val="left" w:pos="219"/>
        </w:tabs>
        <w:spacing w:after="0" w:line="274" w:lineRule="exact"/>
        <w:ind w:firstLine="0"/>
      </w:pPr>
      <w:r>
        <w:rPr>
          <w:lang w:val="uk-UA" w:eastAsia="uk-UA" w:bidi="uk-UA"/>
        </w:rPr>
        <w:t>Харківська медична академія післядипломної освіти. Україна</w:t>
      </w:r>
    </w:p>
    <w:p w:rsidR="00E14225" w:rsidRDefault="006C6A20">
      <w:pPr>
        <w:pStyle w:val="Bodytext30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274" w:lineRule="exact"/>
        <w:ind w:firstLine="0"/>
      </w:pPr>
      <w:r>
        <w:rPr>
          <w:lang w:val="ru-RU" w:eastAsia="ru-RU" w:bidi="ru-RU"/>
        </w:rPr>
        <w:t xml:space="preserve">КЗ </w:t>
      </w:r>
      <w:r>
        <w:rPr>
          <w:lang w:val="uk-UA" w:eastAsia="uk-UA" w:bidi="uk-UA"/>
        </w:rPr>
        <w:t>«Чугуївська центральна районна лікарня ім. М. І. Кононенка». Україна</w:t>
      </w:r>
    </w:p>
    <w:p w:rsidR="00E14225" w:rsidRDefault="006C6A20">
      <w:pPr>
        <w:pStyle w:val="Bodytext30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274" w:lineRule="exact"/>
        <w:ind w:firstLine="0"/>
      </w:pPr>
      <w:r>
        <w:rPr>
          <w:lang w:val="uk-UA" w:eastAsia="uk-UA" w:bidi="uk-UA"/>
        </w:rPr>
        <w:t>КЗОЗ «Обласний центр медико-соціальної експертизи» Харківської облдержадміністрації. Україна</w:t>
      </w:r>
    </w:p>
    <w:p w:rsidR="00E14225" w:rsidRPr="00D1671C" w:rsidRDefault="006C6A20">
      <w:pPr>
        <w:pStyle w:val="Bodytext30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274" w:lineRule="exact"/>
        <w:ind w:firstLine="0"/>
        <w:rPr>
          <w:lang w:val="ru-RU"/>
        </w:rPr>
        <w:sectPr w:rsidR="00E14225" w:rsidRPr="00D1671C">
          <w:headerReference w:type="even" r:id="rId8"/>
          <w:headerReference w:type="default" r:id="rId9"/>
          <w:pgSz w:w="11900" w:h="16840"/>
          <w:pgMar w:top="2268" w:right="788" w:bottom="1218" w:left="1430" w:header="0" w:footer="3" w:gutter="0"/>
          <w:pgNumType w:start="20"/>
          <w:cols w:space="720"/>
          <w:noEndnote/>
          <w:docGrid w:linePitch="360"/>
        </w:sectPr>
      </w:pPr>
      <w:r>
        <w:rPr>
          <w:lang w:val="uk-UA" w:eastAsia="uk-UA" w:bidi="uk-UA"/>
        </w:rPr>
        <w:t xml:space="preserve">ДУ «Інститут патології хребта та суглобів ім. проф. М. І. </w:t>
      </w:r>
      <w:proofErr w:type="spellStart"/>
      <w:r>
        <w:rPr>
          <w:lang w:val="uk-UA" w:eastAsia="uk-UA" w:bidi="uk-UA"/>
        </w:rPr>
        <w:t>Ситенка</w:t>
      </w:r>
      <w:proofErr w:type="spellEnd"/>
      <w:r>
        <w:rPr>
          <w:lang w:val="uk-UA" w:eastAsia="uk-UA" w:bidi="uk-UA"/>
        </w:rPr>
        <w:t xml:space="preserve"> НАМИ України», Харків</w:t>
      </w:r>
    </w:p>
    <w:p w:rsidR="00E14225" w:rsidRDefault="00E14225">
      <w:pPr>
        <w:spacing w:line="149" w:lineRule="exact"/>
        <w:rPr>
          <w:sz w:val="12"/>
          <w:szCs w:val="12"/>
        </w:rPr>
      </w:pPr>
    </w:p>
    <w:p w:rsidR="00E14225" w:rsidRDefault="00E14225">
      <w:pPr>
        <w:rPr>
          <w:sz w:val="2"/>
          <w:szCs w:val="2"/>
        </w:rPr>
        <w:sectPr w:rsidR="00E14225">
          <w:type w:val="continuous"/>
          <w:pgSz w:w="11900" w:h="16840"/>
          <w:pgMar w:top="2268" w:right="0" w:bottom="1218" w:left="0" w:header="0" w:footer="3" w:gutter="0"/>
          <w:cols w:space="720"/>
          <w:noEndnote/>
          <w:docGrid w:linePitch="360"/>
        </w:sectPr>
      </w:pPr>
    </w:p>
    <w:p w:rsidR="00E14225" w:rsidRPr="00D1671C" w:rsidRDefault="006C6A20">
      <w:pPr>
        <w:pStyle w:val="Bodytext40"/>
        <w:shd w:val="clear" w:color="auto" w:fill="auto"/>
        <w:rPr>
          <w:lang w:val="en-US"/>
        </w:rPr>
      </w:pPr>
      <w:r>
        <w:rPr>
          <w:lang w:val="en-US" w:eastAsia="en-US" w:bidi="en-US"/>
        </w:rPr>
        <w:t xml:space="preserve">Objective: to determine the incidence of complications after treatment of shaft fractures according to the inter-regional Specialized </w:t>
      </w:r>
      <w:proofErr w:type="spellStart"/>
      <w:r>
        <w:rPr>
          <w:lang w:val="en-US" w:eastAsia="en-US" w:bidi="en-US"/>
        </w:rPr>
        <w:t>Traumatological</w:t>
      </w:r>
      <w:proofErr w:type="spellEnd"/>
      <w:r>
        <w:rPr>
          <w:lang w:val="en-US" w:eastAsia="en-US" w:bidi="en-US"/>
        </w:rPr>
        <w:t xml:space="preserve"> Medical and Social Expert Com</w:t>
      </w:r>
      <w:r>
        <w:rPr>
          <w:lang w:val="en-US" w:eastAsia="en-US" w:bidi="en-US"/>
        </w:rPr>
        <w:softHyphen/>
        <w:t xml:space="preserve">mission in </w:t>
      </w:r>
      <w:proofErr w:type="spellStart"/>
      <w:r>
        <w:rPr>
          <w:lang w:val="en-US" w:eastAsia="en-US" w:bidi="en-US"/>
        </w:rPr>
        <w:t>Kharkiv</w:t>
      </w:r>
      <w:proofErr w:type="spellEnd"/>
      <w:r>
        <w:rPr>
          <w:lang w:val="en-US" w:eastAsia="en-US" w:bidi="en-US"/>
        </w:rPr>
        <w:t xml:space="preserve"> and </w:t>
      </w:r>
      <w:proofErr w:type="spellStart"/>
      <w:r>
        <w:rPr>
          <w:lang w:val="en-US" w:eastAsia="en-US" w:bidi="en-US"/>
        </w:rPr>
        <w:t>Kharkiv</w:t>
      </w:r>
      <w:proofErr w:type="spellEnd"/>
      <w:r>
        <w:rPr>
          <w:lang w:val="en-US" w:eastAsia="en-US" w:bidi="en-US"/>
        </w:rPr>
        <w:t xml:space="preserve"> region. Methods: we studied the incidence of </w:t>
      </w:r>
      <w:proofErr w:type="spellStart"/>
      <w:r>
        <w:rPr>
          <w:lang w:val="en-US" w:eastAsia="en-US" w:bidi="en-US"/>
        </w:rPr>
        <w:t>nonunions</w:t>
      </w:r>
      <w:proofErr w:type="spellEnd"/>
      <w:r>
        <w:rPr>
          <w:lang w:val="en-US" w:eastAsia="en-US" w:bidi="en-US"/>
        </w:rPr>
        <w:t xml:space="preserve">, osteomyelitis, </w:t>
      </w:r>
      <w:proofErr w:type="gramStart"/>
      <w:r>
        <w:rPr>
          <w:lang w:val="en-US" w:eastAsia="en-US" w:bidi="en-US"/>
        </w:rPr>
        <w:t>radial</w:t>
      </w:r>
      <w:proofErr w:type="gramEnd"/>
      <w:r>
        <w:rPr>
          <w:lang w:val="en-US" w:eastAsia="en-US" w:bidi="en-US"/>
        </w:rPr>
        <w:t xml:space="preserve"> nerve neuropa</w:t>
      </w:r>
      <w:r>
        <w:rPr>
          <w:lang w:val="en-US" w:eastAsia="en-US" w:bidi="en-US"/>
        </w:rPr>
        <w:softHyphen/>
        <w:t>thy in 773 patients with shaft fracture of the extremities, who underwent primary examination at the MSEC for the period 01.01.2016-31.12.2018. Among them, 96 % were patients of pre</w:t>
      </w:r>
      <w:r>
        <w:rPr>
          <w:lang w:val="en-US" w:eastAsia="en-US" w:bidi="en-US"/>
        </w:rPr>
        <w:softHyphen/>
        <w:t>retirement age. There were 461 patients with tibia fractures, forearm</w:t>
      </w:r>
      <w:r>
        <w:rPr>
          <w:rStyle w:val="Bodytext44pt"/>
          <w:lang w:val="en-US" w:eastAsia="en-US" w:bidi="en-US"/>
        </w:rPr>
        <w:t xml:space="preserve"> — </w:t>
      </w:r>
      <w:r>
        <w:rPr>
          <w:lang w:val="en-US" w:eastAsia="en-US" w:bidi="en-US"/>
        </w:rPr>
        <w:t>49, femur</w:t>
      </w:r>
      <w:r>
        <w:rPr>
          <w:rStyle w:val="Bodytext44pt"/>
          <w:lang w:val="en-US" w:eastAsia="en-US" w:bidi="en-US"/>
        </w:rPr>
        <w:t xml:space="preserve"> — </w:t>
      </w:r>
      <w:r>
        <w:rPr>
          <w:lang w:val="en-US" w:eastAsia="en-US" w:bidi="en-US"/>
        </w:rPr>
        <w:t xml:space="preserve">173, </w:t>
      </w:r>
      <w:proofErr w:type="spellStart"/>
      <w:r>
        <w:rPr>
          <w:lang w:val="en-US" w:eastAsia="en-US" w:bidi="en-US"/>
        </w:rPr>
        <w:t>humerus</w:t>
      </w:r>
      <w:proofErr w:type="spellEnd"/>
      <w:r>
        <w:rPr>
          <w:rStyle w:val="Bodytext44pt"/>
          <w:lang w:val="en-US" w:eastAsia="en-US" w:bidi="en-US"/>
        </w:rPr>
        <w:t xml:space="preserve"> — </w:t>
      </w:r>
      <w:r>
        <w:rPr>
          <w:lang w:val="en-US" w:eastAsia="en-US" w:bidi="en-US"/>
        </w:rPr>
        <w:t xml:space="preserve">90. The frequency of nonunion in subgroups </w:t>
      </w:r>
      <w:proofErr w:type="gramStart"/>
      <w:r>
        <w:rPr>
          <w:lang w:val="en-US" w:eastAsia="en-US" w:bidi="en-US"/>
        </w:rPr>
        <w:t>is analyzed</w:t>
      </w:r>
      <w:proofErr w:type="gramEnd"/>
      <w:r>
        <w:rPr>
          <w:lang w:val="en-US" w:eastAsia="en-US" w:bidi="en-US"/>
        </w:rPr>
        <w:t xml:space="preserve"> depending on the method of fragments fixation. Results: after bone fragments </w:t>
      </w:r>
      <w:proofErr w:type="spellStart"/>
      <w:r>
        <w:rPr>
          <w:lang w:val="en-US" w:eastAsia="en-US" w:bidi="en-US"/>
        </w:rPr>
        <w:t>osteosyn</w:t>
      </w:r>
      <w:r>
        <w:rPr>
          <w:lang w:val="en-US" w:eastAsia="en-US" w:bidi="en-US"/>
        </w:rPr>
        <w:softHyphen/>
        <w:t>thesis</w:t>
      </w:r>
      <w:proofErr w:type="spellEnd"/>
      <w:r>
        <w:rPr>
          <w:lang w:val="en-US" w:eastAsia="en-US" w:bidi="en-US"/>
        </w:rPr>
        <w:t xml:space="preserve"> at isolated tibia fractures nonunion was found in 11.9 % of cases, at intramedullary blocking nail</w:t>
      </w:r>
      <w:r>
        <w:rPr>
          <w:rStyle w:val="Bodytext44pt"/>
          <w:lang w:val="en-US" w:eastAsia="en-US" w:bidi="en-US"/>
        </w:rPr>
        <w:t xml:space="preserve">— </w:t>
      </w:r>
      <w:r>
        <w:rPr>
          <w:lang w:val="en-US" w:eastAsia="en-US" w:bidi="en-US"/>
        </w:rPr>
        <w:t>16.0 %, external rod fixators</w:t>
      </w:r>
      <w:r>
        <w:rPr>
          <w:rStyle w:val="Bodytext44pt"/>
          <w:lang w:val="en-US" w:eastAsia="en-US" w:bidi="en-US"/>
        </w:rPr>
        <w:t xml:space="preserve"> — </w:t>
      </w:r>
      <w:r>
        <w:rPr>
          <w:lang w:val="en-US" w:eastAsia="en-US" w:bidi="en-US"/>
        </w:rPr>
        <w:t xml:space="preserve">3.0 %, </w:t>
      </w:r>
      <w:proofErr w:type="spellStart"/>
      <w:r>
        <w:rPr>
          <w:lang w:val="en-US" w:eastAsia="en-US" w:bidi="en-US"/>
        </w:rPr>
        <w:t>Ilizarov</w:t>
      </w:r>
      <w:proofErr w:type="spellEnd"/>
      <w:r>
        <w:rPr>
          <w:lang w:val="en-US" w:eastAsia="en-US" w:bidi="en-US"/>
        </w:rPr>
        <w:t xml:space="preserve"> fixator</w:t>
      </w:r>
      <w:r>
        <w:rPr>
          <w:rStyle w:val="Bodytext44pt"/>
          <w:lang w:val="en-US" w:eastAsia="en-US" w:bidi="en-US"/>
        </w:rPr>
        <w:t xml:space="preserve"> — </w:t>
      </w:r>
      <w:r>
        <w:rPr>
          <w:lang w:val="en-US" w:eastAsia="en-US" w:bidi="en-US"/>
        </w:rPr>
        <w:t>18.4 %, plaster cast brac</w:t>
      </w:r>
      <w:r>
        <w:rPr>
          <w:lang w:val="en-US" w:eastAsia="en-US" w:bidi="en-US"/>
        </w:rPr>
        <w:softHyphen/>
        <w:t>ing</w:t>
      </w:r>
      <w:r>
        <w:rPr>
          <w:rStyle w:val="Bodytext44pt"/>
          <w:lang w:val="en-US" w:eastAsia="en-US" w:bidi="en-US"/>
        </w:rPr>
        <w:t xml:space="preserve"> — </w:t>
      </w:r>
      <w:r>
        <w:rPr>
          <w:lang w:val="en-US" w:eastAsia="en-US" w:bidi="en-US"/>
        </w:rPr>
        <w:t xml:space="preserve">7.6%. After treatment </w:t>
      </w:r>
      <w:proofErr w:type="spellStart"/>
      <w:r>
        <w:rPr>
          <w:lang w:val="en-US" w:eastAsia="en-US" w:bidi="en-US"/>
        </w:rPr>
        <w:t>offemur</w:t>
      </w:r>
      <w:proofErr w:type="spellEnd"/>
      <w:r>
        <w:rPr>
          <w:lang w:val="en-US" w:eastAsia="en-US" w:bidi="en-US"/>
        </w:rPr>
        <w:t xml:space="preserve"> fracture with plate </w:t>
      </w:r>
      <w:proofErr w:type="spellStart"/>
      <w:r>
        <w:rPr>
          <w:lang w:val="en-US" w:eastAsia="en-US" w:bidi="en-US"/>
        </w:rPr>
        <w:t>osteo</w:t>
      </w:r>
      <w:r>
        <w:rPr>
          <w:lang w:val="en-US" w:eastAsia="en-US" w:bidi="en-US"/>
        </w:rPr>
        <w:softHyphen/>
        <w:t>synthesis</w:t>
      </w:r>
      <w:proofErr w:type="spellEnd"/>
      <w:r>
        <w:rPr>
          <w:lang w:val="en-US" w:eastAsia="en-US" w:bidi="en-US"/>
        </w:rPr>
        <w:t xml:space="preserve">, nonunion </w:t>
      </w:r>
      <w:proofErr w:type="gramStart"/>
      <w:r>
        <w:rPr>
          <w:lang w:val="en-US" w:eastAsia="en-US" w:bidi="en-US"/>
        </w:rPr>
        <w:t>was found</w:t>
      </w:r>
      <w:proofErr w:type="gramEnd"/>
      <w:r>
        <w:rPr>
          <w:lang w:val="en-US" w:eastAsia="en-US" w:bidi="en-US"/>
        </w:rPr>
        <w:t xml:space="preserve"> in 9.4 %, after intramedullary nailing</w:t>
      </w:r>
      <w:r>
        <w:rPr>
          <w:rStyle w:val="Bodytext44pt"/>
          <w:lang w:val="en-US" w:eastAsia="en-US" w:bidi="en-US"/>
        </w:rPr>
        <w:t xml:space="preserve"> — </w:t>
      </w:r>
      <w:r>
        <w:rPr>
          <w:lang w:val="en-US" w:eastAsia="en-US" w:bidi="en-US"/>
        </w:rPr>
        <w:t xml:space="preserve">in 12.8 %. At </w:t>
      </w:r>
      <w:proofErr w:type="spellStart"/>
      <w:r>
        <w:rPr>
          <w:lang w:val="en-US" w:eastAsia="en-US" w:bidi="en-US"/>
        </w:rPr>
        <w:t>humerus</w:t>
      </w:r>
      <w:proofErr w:type="spellEnd"/>
      <w:r>
        <w:rPr>
          <w:lang w:val="en-US" w:eastAsia="en-US" w:bidi="en-US"/>
        </w:rPr>
        <w:t xml:space="preserve"> fractures and </w:t>
      </w:r>
      <w:proofErr w:type="spellStart"/>
      <w:r>
        <w:rPr>
          <w:lang w:val="en-US" w:eastAsia="en-US" w:bidi="en-US"/>
        </w:rPr>
        <w:t>forearni</w:t>
      </w:r>
      <w:proofErr w:type="spellEnd"/>
      <w:r>
        <w:rPr>
          <w:lang w:val="en-US" w:eastAsia="en-US" w:bidi="en-US"/>
        </w:rPr>
        <w:t xml:space="preserve"> </w:t>
      </w:r>
      <w:proofErr w:type="gramStart"/>
      <w:r>
        <w:rPr>
          <w:lang w:val="en-US" w:eastAsia="en-US" w:bidi="en-US"/>
        </w:rPr>
        <w:t>frac</w:t>
      </w:r>
      <w:r>
        <w:rPr>
          <w:lang w:val="en-US" w:eastAsia="en-US" w:bidi="en-US"/>
        </w:rPr>
        <w:softHyphen/>
        <w:t>tures which</w:t>
      </w:r>
      <w:proofErr w:type="gramEnd"/>
      <w:r>
        <w:rPr>
          <w:lang w:val="en-US" w:eastAsia="en-US" w:bidi="en-US"/>
        </w:rPr>
        <w:t xml:space="preserve"> were treated with plate </w:t>
      </w:r>
      <w:proofErr w:type="spellStart"/>
      <w:r>
        <w:rPr>
          <w:lang w:val="en-US" w:eastAsia="en-US" w:bidi="en-US"/>
        </w:rPr>
        <w:t>osteosynthesis</w:t>
      </w:r>
      <w:proofErr w:type="spellEnd"/>
      <w:r>
        <w:rPr>
          <w:lang w:val="en-US" w:eastAsia="en-US" w:bidi="en-US"/>
        </w:rPr>
        <w:t xml:space="preserve">, nonunion was recorded in 19.0 and 28.6 % of patients respectively, </w:t>
      </w:r>
      <w:proofErr w:type="spellStart"/>
      <w:r>
        <w:rPr>
          <w:lang w:val="en-US" w:eastAsia="en-US" w:bidi="en-US"/>
        </w:rPr>
        <w:t>qnd</w:t>
      </w:r>
      <w:proofErr w:type="spellEnd"/>
      <w:r>
        <w:rPr>
          <w:lang w:val="en-US" w:eastAsia="en-US" w:bidi="en-US"/>
        </w:rPr>
        <w:t xml:space="preserve"> radial nerve neuropathy - was observed in 25.0 and 26.4 °%. The incidence of osteomyelitis at internal </w:t>
      </w:r>
      <w:proofErr w:type="spellStart"/>
      <w:r>
        <w:rPr>
          <w:lang w:val="en-US" w:eastAsia="en-US" w:bidi="en-US"/>
        </w:rPr>
        <w:t>osteosynthesis</w:t>
      </w:r>
      <w:proofErr w:type="spellEnd"/>
      <w:r>
        <w:rPr>
          <w:lang w:val="en-US" w:eastAsia="en-US" w:bidi="en-US"/>
        </w:rPr>
        <w:t xml:space="preserve"> was 2.9-7.7 %.Conclusions: </w:t>
      </w:r>
      <w:proofErr w:type="spellStart"/>
      <w:r>
        <w:rPr>
          <w:lang w:val="en-US" w:eastAsia="en-US" w:bidi="en-US"/>
        </w:rPr>
        <w:t>osteosynthesis</w:t>
      </w:r>
      <w:proofErr w:type="spellEnd"/>
      <w:r>
        <w:rPr>
          <w:lang w:val="en-US" w:eastAsia="en-US" w:bidi="en-US"/>
        </w:rPr>
        <w:t xml:space="preserve"> was used in 36.6 % of cases of tibia shaft fractures and was the most common used method of fragments fixation in isolated shaft fractures: 64.9 %</w:t>
      </w:r>
      <w:r>
        <w:rPr>
          <w:rStyle w:val="Bodytext44pt"/>
          <w:lang w:val="en-US" w:eastAsia="en-US" w:bidi="en-US"/>
        </w:rPr>
        <w:t xml:space="preserve"> — </w:t>
      </w:r>
      <w:r>
        <w:rPr>
          <w:lang w:val="en-US" w:eastAsia="en-US" w:bidi="en-US"/>
        </w:rPr>
        <w:t>femur; 75.6 %</w:t>
      </w:r>
      <w:r>
        <w:rPr>
          <w:rStyle w:val="Bodytext44pt"/>
          <w:lang w:val="en-US" w:eastAsia="en-US" w:bidi="en-US"/>
        </w:rPr>
        <w:t xml:space="preserve"> — </w:t>
      </w:r>
      <w:proofErr w:type="spellStart"/>
      <w:r>
        <w:rPr>
          <w:lang w:val="en-US" w:eastAsia="en-US" w:bidi="en-US"/>
        </w:rPr>
        <w:t>humerus</w:t>
      </w:r>
      <w:proofErr w:type="spellEnd"/>
      <w:r>
        <w:rPr>
          <w:lang w:val="en-US" w:eastAsia="en-US" w:bidi="en-US"/>
        </w:rPr>
        <w:t>; 100.0 %</w:t>
      </w:r>
      <w:r>
        <w:rPr>
          <w:rStyle w:val="Bodytext44pt"/>
          <w:lang w:val="en-US" w:eastAsia="en-US" w:bidi="en-US"/>
        </w:rPr>
        <w:t xml:space="preserve"> —</w:t>
      </w:r>
      <w:r>
        <w:rPr>
          <w:lang w:val="en-US" w:eastAsia="en-US" w:bidi="en-US"/>
        </w:rPr>
        <w:t xml:space="preserve">forearm bone fragments. The second most frequent method of fixation was intramedullary nailing </w:t>
      </w:r>
      <w:proofErr w:type="spellStart"/>
      <w:r>
        <w:rPr>
          <w:lang w:val="en-US" w:eastAsia="en-US" w:bidi="en-US"/>
        </w:rPr>
        <w:t>osteosynthesis</w:t>
      </w:r>
      <w:proofErr w:type="spellEnd"/>
      <w:r>
        <w:rPr>
          <w:lang w:val="en-US" w:eastAsia="en-US" w:bidi="en-US"/>
        </w:rPr>
        <w:t xml:space="preserve">. The main complication of treatment was fragments nonunion, and in the case of </w:t>
      </w:r>
      <w:proofErr w:type="gramStart"/>
      <w:r>
        <w:rPr>
          <w:lang w:val="en-US" w:eastAsia="en-US" w:bidi="en-US"/>
        </w:rPr>
        <w:t>plate</w:t>
      </w:r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osteosynthesis</w:t>
      </w:r>
      <w:proofErr w:type="spellEnd"/>
      <w:r>
        <w:rPr>
          <w:lang w:val="en-US" w:eastAsia="en-US" w:bidi="en-US"/>
        </w:rPr>
        <w:t xml:space="preserve"> at </w:t>
      </w:r>
      <w:proofErr w:type="spellStart"/>
      <w:r>
        <w:rPr>
          <w:lang w:val="en-US" w:eastAsia="en-US" w:bidi="en-US"/>
        </w:rPr>
        <w:t>humerus</w:t>
      </w:r>
      <w:proofErr w:type="spellEnd"/>
      <w:r>
        <w:rPr>
          <w:lang w:val="en-US" w:eastAsia="en-US" w:bidi="en-US"/>
        </w:rPr>
        <w:t xml:space="preserve"> and forearm fractures was radial nerve neuropathy. Key words: shaft fractures, frequency of </w:t>
      </w:r>
      <w:proofErr w:type="spellStart"/>
      <w:r>
        <w:rPr>
          <w:lang w:val="en-US" w:eastAsia="en-US" w:bidi="en-US"/>
        </w:rPr>
        <w:t>non</w:t>
      </w:r>
      <w:r>
        <w:rPr>
          <w:lang w:val="en-US" w:eastAsia="en-US" w:bidi="en-US"/>
        </w:rPr>
        <w:softHyphen/>
        <w:t>unions</w:t>
      </w:r>
      <w:proofErr w:type="spellEnd"/>
      <w:r>
        <w:rPr>
          <w:lang w:val="en-US" w:eastAsia="en-US" w:bidi="en-US"/>
        </w:rPr>
        <w:t>, osteomyelitis, neuropathy.</w:t>
      </w:r>
    </w:p>
    <w:p w:rsidR="00E14225" w:rsidRDefault="006C6A20">
      <w:pPr>
        <w:pStyle w:val="Bodytext40"/>
        <w:shd w:val="clear" w:color="auto" w:fill="auto"/>
        <w:sectPr w:rsidR="00E14225">
          <w:type w:val="continuous"/>
          <w:pgSz w:w="11900" w:h="16840"/>
          <w:pgMar w:top="2268" w:right="788" w:bottom="1218" w:left="1430" w:header="0" w:footer="3" w:gutter="0"/>
          <w:cols w:num="2" w:space="197"/>
          <w:noEndnote/>
          <w:docGrid w:linePitch="360"/>
        </w:sectPr>
      </w:pPr>
      <w:r>
        <w:t>Цель</w:t>
      </w:r>
      <w:r w:rsidRPr="00D1671C">
        <w:rPr>
          <w:lang w:val="en-US"/>
        </w:rPr>
        <w:t xml:space="preserve">: </w:t>
      </w:r>
      <w:r>
        <w:t>определить</w:t>
      </w:r>
      <w:r w:rsidRPr="00D1671C">
        <w:rPr>
          <w:lang w:val="en-US"/>
        </w:rPr>
        <w:t xml:space="preserve"> </w:t>
      </w:r>
      <w:r>
        <w:t>частоту</w:t>
      </w:r>
      <w:r w:rsidRPr="00D1671C">
        <w:rPr>
          <w:lang w:val="en-US"/>
        </w:rPr>
        <w:t xml:space="preserve"> </w:t>
      </w:r>
      <w:r>
        <w:t>осложнений</w:t>
      </w:r>
      <w:r w:rsidRPr="00D1671C">
        <w:rPr>
          <w:lang w:val="en-US"/>
        </w:rPr>
        <w:t xml:space="preserve"> </w:t>
      </w:r>
      <w:r>
        <w:t>после</w:t>
      </w:r>
      <w:r w:rsidRPr="00D1671C">
        <w:rPr>
          <w:lang w:val="en-US"/>
        </w:rPr>
        <w:t xml:space="preserve"> </w:t>
      </w:r>
      <w:r>
        <w:t>лечения</w:t>
      </w:r>
      <w:r w:rsidRPr="00D1671C">
        <w:rPr>
          <w:lang w:val="en-US"/>
        </w:rPr>
        <w:t xml:space="preserve"> </w:t>
      </w:r>
      <w:proofErr w:type="spellStart"/>
      <w:r>
        <w:t>диафизарных</w:t>
      </w:r>
      <w:proofErr w:type="spellEnd"/>
      <w:r w:rsidRPr="00D1671C">
        <w:rPr>
          <w:lang w:val="en-US"/>
        </w:rPr>
        <w:t xml:space="preserve"> </w:t>
      </w:r>
      <w:r>
        <w:t>переломов</w:t>
      </w:r>
      <w:r w:rsidRPr="00D1671C">
        <w:rPr>
          <w:lang w:val="en-US"/>
        </w:rPr>
        <w:t xml:space="preserve"> </w:t>
      </w:r>
      <w:r>
        <w:t>костей</w:t>
      </w:r>
      <w:r w:rsidRPr="00D1671C">
        <w:rPr>
          <w:lang w:val="en-US"/>
        </w:rPr>
        <w:t xml:space="preserve"> </w:t>
      </w:r>
      <w:r>
        <w:t>конечностей</w:t>
      </w:r>
      <w:r w:rsidRPr="00D1671C">
        <w:rPr>
          <w:lang w:val="en-US"/>
        </w:rPr>
        <w:t xml:space="preserve"> </w:t>
      </w:r>
      <w:r>
        <w:t>по</w:t>
      </w:r>
      <w:r w:rsidRPr="00D1671C">
        <w:rPr>
          <w:lang w:val="en-US"/>
        </w:rPr>
        <w:t xml:space="preserve"> </w:t>
      </w:r>
      <w:r>
        <w:t>данным</w:t>
      </w:r>
      <w:r w:rsidRPr="00D1671C">
        <w:rPr>
          <w:lang w:val="en-US"/>
        </w:rPr>
        <w:t xml:space="preserve">. </w:t>
      </w:r>
      <w:r>
        <w:t xml:space="preserve">Межрайонной специализированной травматологической медико-социальной экспертной комиссии Харьковской </w:t>
      </w:r>
      <w:proofErr w:type="spellStart"/>
      <w:r>
        <w:t>облгос</w:t>
      </w:r>
      <w:proofErr w:type="spellEnd"/>
      <w:r>
        <w:t xml:space="preserve">- </w:t>
      </w:r>
      <w:r>
        <w:t xml:space="preserve">администрации (МСЭК). Методы: изучена частота случаев </w:t>
      </w:r>
      <w:proofErr w:type="spellStart"/>
      <w:r>
        <w:t>несращения</w:t>
      </w:r>
      <w:proofErr w:type="spellEnd"/>
      <w:r>
        <w:t xml:space="preserve"> отломков, остеомиелита, </w:t>
      </w:r>
      <w:proofErr w:type="spellStart"/>
      <w:r>
        <w:t>нейропатии</w:t>
      </w:r>
      <w:proofErr w:type="spellEnd"/>
      <w:r>
        <w:t xml:space="preserve"> лучевого нерва у 773 пострадавших с </w:t>
      </w:r>
      <w:proofErr w:type="spellStart"/>
      <w:r>
        <w:t>диафизарным</w:t>
      </w:r>
      <w:proofErr w:type="spellEnd"/>
      <w:r>
        <w:t xml:space="preserve"> переломом конеч</w:t>
      </w:r>
      <w:r>
        <w:softHyphen/>
        <w:t xml:space="preserve">ностей, которые проходили первичное освидетельствование в МСЭК за период 01.01.2016-31.12.2018. Из них 96 %лиц были </w:t>
      </w:r>
      <w:proofErr w:type="spellStart"/>
      <w:r>
        <w:t>предпенсионного</w:t>
      </w:r>
      <w:proofErr w:type="spellEnd"/>
      <w:r>
        <w:t xml:space="preserve"> возраста. Больных с переломом костей голени было 461, предплечья</w:t>
      </w:r>
      <w:r>
        <w:rPr>
          <w:rStyle w:val="Bodytext44pt"/>
        </w:rPr>
        <w:t xml:space="preserve"> — </w:t>
      </w:r>
      <w:r>
        <w:t>49, бедренной кости</w:t>
      </w:r>
      <w:r>
        <w:rPr>
          <w:rStyle w:val="Bodytext44pt"/>
        </w:rPr>
        <w:t xml:space="preserve"> — </w:t>
      </w:r>
      <w:r>
        <w:t>173, плечевой</w:t>
      </w:r>
      <w:r>
        <w:rPr>
          <w:rStyle w:val="Bodytext44pt"/>
        </w:rPr>
        <w:t xml:space="preserve"> — </w:t>
      </w:r>
      <w:r>
        <w:t xml:space="preserve">90. Проанализирована частота </w:t>
      </w:r>
      <w:proofErr w:type="spellStart"/>
      <w:r>
        <w:t>несращения</w:t>
      </w:r>
      <w:proofErr w:type="spellEnd"/>
      <w:r>
        <w:t xml:space="preserve"> в подгруппах в зависимости от способа соединения отлом</w:t>
      </w:r>
      <w:r>
        <w:softHyphen/>
        <w:t xml:space="preserve">ков. Результаты: при изолированных переломах голени после использования накостного остеосинтеза </w:t>
      </w:r>
      <w:proofErr w:type="spellStart"/>
      <w:r>
        <w:t>несращение</w:t>
      </w:r>
      <w:proofErr w:type="spellEnd"/>
      <w:r>
        <w:t xml:space="preserve"> обна</w:t>
      </w:r>
      <w:r>
        <w:softHyphen/>
        <w:t>ружено в 11,9 % случаев, интрамедуллярного блокирующе</w:t>
      </w:r>
      <w:r>
        <w:softHyphen/>
        <w:t>го</w:t>
      </w:r>
      <w:r>
        <w:rPr>
          <w:rStyle w:val="Bodytext44pt"/>
        </w:rPr>
        <w:t xml:space="preserve"> — </w:t>
      </w:r>
      <w:r>
        <w:t>16,0 %, стержневых аппаратов</w:t>
      </w:r>
      <w:r>
        <w:rPr>
          <w:rStyle w:val="Bodytext44pt"/>
        </w:rPr>
        <w:t xml:space="preserve"> — </w:t>
      </w:r>
      <w:r>
        <w:t xml:space="preserve">3,0 %, аппарата </w:t>
      </w:r>
      <w:proofErr w:type="spellStart"/>
      <w:r>
        <w:t>Илизарова</w:t>
      </w:r>
      <w:proofErr w:type="spellEnd"/>
      <w:r>
        <w:rPr>
          <w:rStyle w:val="Bodytext44pt"/>
        </w:rPr>
        <w:t xml:space="preserve"> —</w:t>
      </w:r>
      <w:r>
        <w:t>18,4 %, гипсовой повязки</w:t>
      </w:r>
      <w:r>
        <w:rPr>
          <w:rStyle w:val="Bodytext44pt"/>
        </w:rPr>
        <w:t xml:space="preserve"> — </w:t>
      </w:r>
      <w:r>
        <w:t>7,6%. После лечения перелома бедренной кости с применением накостного остео</w:t>
      </w:r>
      <w:r>
        <w:softHyphen/>
        <w:t xml:space="preserve">синтеза </w:t>
      </w:r>
      <w:proofErr w:type="spellStart"/>
      <w:r>
        <w:t>несращение</w:t>
      </w:r>
      <w:proofErr w:type="spellEnd"/>
      <w:r>
        <w:t xml:space="preserve"> отмечено у 9,4 %, интрамедуллярного блокирующего</w:t>
      </w:r>
      <w:r>
        <w:rPr>
          <w:rStyle w:val="Bodytext44pt"/>
        </w:rPr>
        <w:t xml:space="preserve"> </w:t>
      </w:r>
      <w:r>
        <w:t xml:space="preserve">—у 12,8 %. После накостного остеосинтеза при переломах плечевой кости и костей предплечья </w:t>
      </w:r>
      <w:proofErr w:type="spellStart"/>
      <w:r>
        <w:t>несра</w:t>
      </w:r>
      <w:r>
        <w:softHyphen/>
        <w:t>щение</w:t>
      </w:r>
      <w:proofErr w:type="spellEnd"/>
      <w:r>
        <w:t xml:space="preserve"> зафиксировано у 19,0 и 28,6% больных соответствен</w:t>
      </w:r>
      <w:r>
        <w:softHyphen/>
        <w:t xml:space="preserve">но, а </w:t>
      </w:r>
      <w:proofErr w:type="spellStart"/>
      <w:r>
        <w:t>нейропатия</w:t>
      </w:r>
      <w:proofErr w:type="spellEnd"/>
      <w:r>
        <w:t xml:space="preserve"> лучевого нерва</w:t>
      </w:r>
      <w:r>
        <w:rPr>
          <w:rStyle w:val="Bodytext44pt"/>
        </w:rPr>
        <w:t xml:space="preserve"> </w:t>
      </w:r>
      <w:r>
        <w:t xml:space="preserve">—у 25,0 и 26,4 %. Частота остеомиелита при погружном остеосинтезе составила 2,9-7,7 %&gt;. Выводы: наиболее распространенным способом фиксации отломков при изолированных </w:t>
      </w:r>
      <w:proofErr w:type="spellStart"/>
      <w:r>
        <w:t>диафизарных</w:t>
      </w:r>
      <w:proofErr w:type="spellEnd"/>
      <w:r>
        <w:t xml:space="preserve"> пере</w:t>
      </w:r>
      <w:r>
        <w:softHyphen/>
        <w:t>ломах оказался накостный остеосинтез, использованный в 36,6 % случаев переломов костей голени; 64,9 %</w:t>
      </w:r>
      <w:r>
        <w:rPr>
          <w:rStyle w:val="Bodytext44pt"/>
        </w:rPr>
        <w:t xml:space="preserve"> — </w:t>
      </w:r>
      <w:r>
        <w:t>бедрен</w:t>
      </w:r>
      <w:r>
        <w:softHyphen/>
        <w:t>ной кости; 75,6 %&gt;</w:t>
      </w:r>
      <w:r>
        <w:rPr>
          <w:rStyle w:val="Bodytext44pt"/>
        </w:rPr>
        <w:t xml:space="preserve"> — </w:t>
      </w:r>
      <w:r>
        <w:t>плечевой; 100,0 %</w:t>
      </w:r>
      <w:r>
        <w:rPr>
          <w:rStyle w:val="Bodytext44pt"/>
        </w:rPr>
        <w:t xml:space="preserve"> — </w:t>
      </w:r>
      <w:r>
        <w:t>костей предплечья. Вторым по частоте применения является интрамедулляр</w:t>
      </w:r>
      <w:r>
        <w:softHyphen/>
        <w:t xml:space="preserve">ный блокирующий остеосинтез. Основным осложнением лечения было </w:t>
      </w:r>
      <w:proofErr w:type="spellStart"/>
      <w:r>
        <w:t>несращение</w:t>
      </w:r>
      <w:proofErr w:type="spellEnd"/>
      <w:r>
        <w:t xml:space="preserve"> отломков, а в случае использования накостного остеосинтеза при переломах плечевой кости или костей предплечья</w:t>
      </w:r>
      <w:r>
        <w:rPr>
          <w:rStyle w:val="Bodytext44pt"/>
        </w:rPr>
        <w:t xml:space="preserve"> — </w:t>
      </w:r>
      <w:proofErr w:type="spellStart"/>
      <w:r>
        <w:t>нейропатия</w:t>
      </w:r>
      <w:proofErr w:type="spellEnd"/>
      <w:r>
        <w:t xml:space="preserve"> лучевого нерва. Ключевые слова: </w:t>
      </w:r>
      <w:proofErr w:type="spellStart"/>
      <w:r>
        <w:t>диафизарные</w:t>
      </w:r>
      <w:proofErr w:type="spellEnd"/>
      <w:r>
        <w:t xml:space="preserve"> переломы, медико-социальная эксперти</w:t>
      </w:r>
      <w:r>
        <w:softHyphen/>
        <w:t xml:space="preserve">за, частота </w:t>
      </w:r>
      <w:proofErr w:type="spellStart"/>
      <w:r>
        <w:t>несращения</w:t>
      </w:r>
      <w:proofErr w:type="spellEnd"/>
      <w:r>
        <w:t xml:space="preserve">, остеомиелит, </w:t>
      </w:r>
      <w:proofErr w:type="spellStart"/>
      <w:r>
        <w:t>нейропатия</w:t>
      </w:r>
      <w:proofErr w:type="spellEnd"/>
      <w:r>
        <w:t>.</w:t>
      </w:r>
    </w:p>
    <w:p w:rsidR="00E14225" w:rsidRDefault="00E14225">
      <w:pPr>
        <w:spacing w:line="222" w:lineRule="exact"/>
        <w:rPr>
          <w:sz w:val="18"/>
          <w:szCs w:val="18"/>
        </w:rPr>
      </w:pPr>
    </w:p>
    <w:p w:rsidR="00E14225" w:rsidRDefault="00E14225">
      <w:pPr>
        <w:rPr>
          <w:sz w:val="2"/>
          <w:szCs w:val="2"/>
        </w:rPr>
        <w:sectPr w:rsidR="00E14225">
          <w:type w:val="continuous"/>
          <w:pgSz w:w="11900" w:h="16840"/>
          <w:pgMar w:top="1692" w:right="0" w:bottom="1236" w:left="0" w:header="0" w:footer="3" w:gutter="0"/>
          <w:cols w:space="720"/>
          <w:noEndnote/>
          <w:docGrid w:linePitch="360"/>
        </w:sectPr>
      </w:pPr>
    </w:p>
    <w:p w:rsidR="00E14225" w:rsidRDefault="006C6A20">
      <w:pPr>
        <w:pStyle w:val="Bodytext50"/>
        <w:shd w:val="clear" w:color="auto" w:fill="auto"/>
        <w:spacing w:line="160" w:lineRule="exact"/>
      </w:pPr>
      <w:r>
        <w:rPr>
          <w:rStyle w:val="Bodytext5Bold"/>
        </w:rPr>
        <w:t xml:space="preserve">© </w:t>
      </w:r>
      <w:r>
        <w:t xml:space="preserve">Попсуйшапка О. К., </w:t>
      </w:r>
      <w:proofErr w:type="spellStart"/>
      <w:r>
        <w:t>Литвишко</w:t>
      </w:r>
      <w:proofErr w:type="spellEnd"/>
      <w:r>
        <w:t xml:space="preserve"> В. О., </w:t>
      </w:r>
      <w:proofErr w:type="spellStart"/>
      <w:r>
        <w:t>Ужегова</w:t>
      </w:r>
      <w:proofErr w:type="spellEnd"/>
      <w:r>
        <w:t xml:space="preserve"> О. С., </w:t>
      </w:r>
      <w:proofErr w:type="spellStart"/>
      <w:r>
        <w:rPr>
          <w:lang w:val="uk-UA" w:eastAsia="uk-UA" w:bidi="uk-UA"/>
        </w:rPr>
        <w:t>Підгайська</w:t>
      </w:r>
      <w:proofErr w:type="spellEnd"/>
      <w:r>
        <w:rPr>
          <w:lang w:val="uk-UA" w:eastAsia="uk-UA" w:bidi="uk-UA"/>
        </w:rPr>
        <w:t xml:space="preserve"> </w:t>
      </w:r>
      <w:r>
        <w:t>О. О., 2020</w:t>
      </w:r>
    </w:p>
    <w:p w:rsidR="00E14225" w:rsidRDefault="006C6A20">
      <w:pPr>
        <w:pStyle w:val="Bodytext20"/>
        <w:shd w:val="clear" w:color="auto" w:fill="auto"/>
        <w:spacing w:after="0" w:line="200" w:lineRule="exact"/>
      </w:pPr>
      <w:r>
        <w:t xml:space="preserve">Ключові </w:t>
      </w:r>
      <w:r>
        <w:rPr>
          <w:lang w:val="ru-RU" w:eastAsia="ru-RU" w:bidi="ru-RU"/>
        </w:rPr>
        <w:t xml:space="preserve">слова: </w:t>
      </w:r>
      <w:proofErr w:type="spellStart"/>
      <w:r>
        <w:t>діафізарні</w:t>
      </w:r>
      <w:proofErr w:type="spellEnd"/>
      <w:r>
        <w:t xml:space="preserve"> </w:t>
      </w:r>
      <w:r>
        <w:rPr>
          <w:lang w:val="ru-RU" w:eastAsia="ru-RU" w:bidi="ru-RU"/>
        </w:rPr>
        <w:t xml:space="preserve">переломи, </w:t>
      </w:r>
      <w:r>
        <w:t xml:space="preserve">медико-соціальна експертиза, </w:t>
      </w:r>
      <w:r>
        <w:rPr>
          <w:lang w:val="ru-RU" w:eastAsia="ru-RU" w:bidi="ru-RU"/>
        </w:rPr>
        <w:t xml:space="preserve">частота </w:t>
      </w:r>
      <w:proofErr w:type="spellStart"/>
      <w:r>
        <w:rPr>
          <w:lang w:val="ru-RU" w:eastAsia="ru-RU" w:bidi="ru-RU"/>
        </w:rPr>
        <w:t>незрощення</w:t>
      </w:r>
      <w:proofErr w:type="spellEnd"/>
      <w:r>
        <w:rPr>
          <w:lang w:val="ru-RU" w:eastAsia="ru-RU" w:bidi="ru-RU"/>
        </w:rPr>
        <w:t xml:space="preserve">, </w:t>
      </w:r>
      <w:r>
        <w:t>остеомієліт,</w:t>
      </w:r>
    </w:p>
    <w:p w:rsidR="00E14225" w:rsidRDefault="00E14225">
      <w:pPr>
        <w:pStyle w:val="Bodytext60"/>
        <w:shd w:val="clear" w:color="auto" w:fill="auto"/>
        <w:spacing w:before="0" w:line="220" w:lineRule="exact"/>
        <w:sectPr w:rsidR="00E14225">
          <w:type w:val="continuous"/>
          <w:pgSz w:w="11900" w:h="16840"/>
          <w:pgMar w:top="1692" w:right="742" w:bottom="1236" w:left="1477" w:header="0" w:footer="3" w:gutter="0"/>
          <w:cols w:space="720"/>
          <w:noEndnote/>
          <w:docGrid w:linePitch="360"/>
        </w:sectPr>
      </w:pPr>
    </w:p>
    <w:p w:rsidR="00E14225" w:rsidRDefault="00E14225">
      <w:pPr>
        <w:rPr>
          <w:sz w:val="2"/>
          <w:szCs w:val="2"/>
        </w:rPr>
        <w:sectPr w:rsidR="00E14225">
          <w:type w:val="continuous"/>
          <w:pgSz w:w="11900" w:h="16840"/>
          <w:pgMar w:top="1623" w:right="0" w:bottom="1578" w:left="0" w:header="0" w:footer="3" w:gutter="0"/>
          <w:cols w:space="720"/>
          <w:noEndnote/>
          <w:docGrid w:linePitch="360"/>
        </w:sectPr>
      </w:pPr>
    </w:p>
    <w:p w:rsidR="00E14225" w:rsidRDefault="00E14225">
      <w:pPr>
        <w:pStyle w:val="Bodytext70"/>
        <w:shd w:val="clear" w:color="auto" w:fill="auto"/>
        <w:spacing w:after="29" w:line="210" w:lineRule="exact"/>
      </w:pPr>
    </w:p>
    <w:p w:rsidR="00E14225" w:rsidRDefault="00D1671C" w:rsidP="00D1671C">
      <w:pPr>
        <w:pStyle w:val="Bodytext20"/>
        <w:shd w:val="clear" w:color="auto" w:fill="auto"/>
        <w:spacing w:after="0" w:line="259" w:lineRule="exact"/>
      </w:pPr>
      <w:r>
        <w:t>кр</w:t>
      </w:r>
      <w:r w:rsidR="006C6A20">
        <w:t>итерієм ефекти</w:t>
      </w:r>
      <w:r>
        <w:t>вності лікування переломів - п</w:t>
      </w:r>
      <w:r w:rsidR="006C6A20">
        <w:t>ев</w:t>
      </w:r>
      <w:r>
        <w:t>н</w:t>
      </w:r>
      <w:r w:rsidR="006C6A20">
        <w:t>ий результат, який виражається частотою постраждалого з віднов</w:t>
      </w:r>
      <w:r>
        <w:t>ленням функції кін</w:t>
      </w:r>
      <w:r w:rsidR="006C6A20">
        <w:t xml:space="preserve">цівки. Відомо, що більшість </w:t>
      </w:r>
      <w:r w:rsidR="006C6A20">
        <w:t xml:space="preserve">переломів щитні загоюватися, </w:t>
      </w:r>
      <w:r>
        <w:t>а проблемою є та меншість, зро</w:t>
      </w:r>
      <w:r w:rsidR="006C6A20">
        <w:t>щення не відбувається або розвиваються</w:t>
      </w:r>
      <w:r>
        <w:t xml:space="preserve"> о</w:t>
      </w:r>
      <w:r w:rsidR="006C6A20">
        <w:t>чікувані ускладнення та сталі функціональні, що потребую</w:t>
      </w:r>
      <w:r>
        <w:t xml:space="preserve">ть тривалого лікування “ </w:t>
      </w:r>
      <w:r w:rsidR="006C6A20">
        <w:t xml:space="preserve"> [1-3].</w:t>
      </w:r>
    </w:p>
    <w:p w:rsidR="00E14225" w:rsidRDefault="006C6A20">
      <w:pPr>
        <w:pStyle w:val="Bodytext20"/>
        <w:shd w:val="clear" w:color="auto" w:fill="auto"/>
        <w:spacing w:after="0" w:line="259" w:lineRule="exact"/>
        <w:jc w:val="right"/>
      </w:pPr>
      <w:r>
        <w:lastRenderedPageBreak/>
        <w:t>звісно, це супр</w:t>
      </w:r>
      <w:r w:rsidR="00D1671C">
        <w:t>оводжується негативною реакції .</w:t>
      </w:r>
      <w:r>
        <w:t xml:space="preserve"> - хворого і </w:t>
      </w:r>
      <w:r w:rsidR="00D1671C">
        <w:t xml:space="preserve">намаганням зрозуміти, чому </w:t>
      </w:r>
      <w:proofErr w:type="spellStart"/>
      <w:r w:rsidR="00D1671C">
        <w:t>виник</w:t>
      </w:r>
      <w:r>
        <w:t>ло</w:t>
      </w:r>
      <w:proofErr w:type="spellEnd"/>
      <w:r>
        <w:t xml:space="preserve"> ускладнення, якого на початку лікування ; - те очікував. На жаль, об’єктивної інформації - масштаби зазначеної проблеми немає. Про- -е зона необхідна для порівняльного оцінювання : : е</w:t>
      </w:r>
      <w:r w:rsidR="00D1671C">
        <w:t>фе</w:t>
      </w:r>
      <w:r>
        <w:t>ктивності різни</w:t>
      </w:r>
      <w:r w:rsidR="00D1671C">
        <w:t>х методів лікування, які були ви</w:t>
      </w:r>
      <w:r>
        <w:t>користані в разі аналогічних переломів, а та-</w:t>
      </w:r>
    </w:p>
    <w:p w:rsidR="00E14225" w:rsidRDefault="00D1671C" w:rsidP="00D1671C">
      <w:pPr>
        <w:pStyle w:val="Bodytext20"/>
        <w:shd w:val="clear" w:color="auto" w:fill="auto"/>
        <w:tabs>
          <w:tab w:val="left" w:pos="198"/>
        </w:tabs>
        <w:spacing w:after="0" w:line="259" w:lineRule="exact"/>
        <w:jc w:val="both"/>
      </w:pPr>
      <w:proofErr w:type="spellStart"/>
      <w:r>
        <w:t>ко</w:t>
      </w:r>
      <w:r w:rsidR="006C6A20">
        <w:t>ж</w:t>
      </w:r>
      <w:proofErr w:type="spellEnd"/>
      <w:r w:rsidR="006C6A20">
        <w:t xml:space="preserve"> для надання постраждалому інформації про ймовірність в</w:t>
      </w:r>
      <w:r>
        <w:t>иникнення ускладнення за умов рі</w:t>
      </w:r>
      <w:r w:rsidR="006C6A20">
        <w:t>зного способу лікування, який може бути йому запропонований.</w:t>
      </w:r>
    </w:p>
    <w:p w:rsidR="00E14225" w:rsidRDefault="006C6A20">
      <w:pPr>
        <w:pStyle w:val="Bodytext20"/>
        <w:shd w:val="clear" w:color="auto" w:fill="auto"/>
        <w:spacing w:after="0" w:line="259" w:lineRule="exact"/>
        <w:ind w:firstLine="360"/>
        <w:jc w:val="both"/>
      </w:pPr>
      <w:r>
        <w:t>Дані про частоту ускладнень, які наводять автори після аналізу результатів лікування, че</w:t>
      </w:r>
      <w:r>
        <w:softHyphen/>
        <w:t>рез певні причини можуть не відповідати реаль</w:t>
      </w:r>
      <w:r>
        <w:softHyphen/>
        <w:t>ній дійсності. Публікують свої статті найбільш досвідчені спеціалісти за матеріалами автори</w:t>
      </w:r>
      <w:r>
        <w:softHyphen/>
        <w:t xml:space="preserve">тетних </w:t>
      </w:r>
      <w:proofErr w:type="spellStart"/>
      <w:r>
        <w:t>клінік</w:t>
      </w:r>
      <w:proofErr w:type="spellEnd"/>
      <w:r>
        <w:t>, а нам важливо знати, що відбу</w:t>
      </w:r>
      <w:r>
        <w:softHyphen/>
        <w:t>вається в існуючій системі лікування загалом. Об’єктивну статистику можуть відображати неза</w:t>
      </w:r>
      <w:r>
        <w:softHyphen/>
        <w:t xml:space="preserve">лежні </w:t>
      </w:r>
      <w:proofErr w:type="spellStart"/>
      <w:r>
        <w:t>багатоцентрові</w:t>
      </w:r>
      <w:proofErr w:type="spellEnd"/>
      <w:r>
        <w:t xml:space="preserve"> ретроспективні досліджен</w:t>
      </w:r>
      <w:r>
        <w:softHyphen/>
        <w:t>ня. У цьому плані нашу увагу привернула стаття під назвою «Переломи гомілки: високовартісний тягар незрощень», в якій наведено результати ана</w:t>
      </w:r>
      <w:r>
        <w:softHyphen/>
        <w:t>лізу вибірки постраждалих із переломом гомілки за 2012 рік [4]. За основу взято базу даних страхо</w:t>
      </w:r>
      <w:r>
        <w:softHyphen/>
        <w:t xml:space="preserve">вої компанії СІЛА </w:t>
      </w:r>
      <w:r>
        <w:rPr>
          <w:lang w:val="en-US" w:eastAsia="en-US" w:bidi="en-US"/>
        </w:rPr>
        <w:t>Thompson</w:t>
      </w:r>
      <w:r w:rsidRPr="00D1671C">
        <w:rPr>
          <w:lang w:eastAsia="en-US" w:bidi="en-US"/>
        </w:rPr>
        <w:t xml:space="preserve"> </w:t>
      </w:r>
      <w:r>
        <w:rPr>
          <w:lang w:val="en-US" w:eastAsia="en-US" w:bidi="en-US"/>
        </w:rPr>
        <w:t>Reuters</w:t>
      </w:r>
      <w:r w:rsidRPr="00D1671C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MarketScan</w:t>
      </w:r>
      <w:proofErr w:type="spellEnd"/>
      <w:r w:rsidRPr="00D1671C">
        <w:rPr>
          <w:lang w:eastAsia="en-US" w:bidi="en-US"/>
        </w:rPr>
        <w:t xml:space="preserve">, </w:t>
      </w:r>
      <w:r>
        <w:t>в якій застраховано 16 млн осіб. За вказаний період було 853 постраждалих із переломом великого</w:t>
      </w:r>
      <w:r>
        <w:softHyphen/>
        <w:t>мілкової кістки, з яких у 99 (12 %) зареєстровано незрощення, через що компанія мусила виділити кошти на повторну операцію. У 721 хворого вияв</w:t>
      </w:r>
      <w:r>
        <w:softHyphen/>
        <w:t xml:space="preserve">лено закритий перелом, при цьому незрощення сталося у 69 (10 %). У 132 пацієнтів був відкритий перелом, і в результаті лікування незрощення </w:t>
      </w:r>
      <w:proofErr w:type="spellStart"/>
      <w:r>
        <w:t>ви</w:t>
      </w:r>
      <w:r>
        <w:softHyphen/>
        <w:t>никло</w:t>
      </w:r>
      <w:proofErr w:type="spellEnd"/>
      <w:r>
        <w:t xml:space="preserve"> в ЗО осіб (23 %). Частіше за все викорис</w:t>
      </w:r>
      <w:r>
        <w:softHyphen/>
        <w:t xml:space="preserve">товували </w:t>
      </w:r>
      <w:proofErr w:type="spellStart"/>
      <w:r>
        <w:t>інтрамедулярний</w:t>
      </w:r>
      <w:proofErr w:type="spellEnd"/>
      <w:r>
        <w:t xml:space="preserve"> імплантат (42 %), пластини з гвинтами (31 %) та закриті маніпуля</w:t>
      </w:r>
      <w:r>
        <w:softHyphen/>
        <w:t>ції (27 %).</w:t>
      </w:r>
    </w:p>
    <w:p w:rsidR="00E14225" w:rsidRDefault="006C6A20">
      <w:pPr>
        <w:pStyle w:val="Bodytext20"/>
        <w:shd w:val="clear" w:color="auto" w:fill="auto"/>
        <w:spacing w:after="148" w:line="254" w:lineRule="exact"/>
        <w:ind w:firstLine="320"/>
        <w:jc w:val="both"/>
      </w:pPr>
      <w:r>
        <w:rPr>
          <w:rStyle w:val="Bodytext2105pt"/>
        </w:rPr>
        <w:t>Мета дослідження:</w:t>
      </w:r>
      <w:r>
        <w:t xml:space="preserve"> виявити частоту незро</w:t>
      </w:r>
      <w:r>
        <w:softHyphen/>
        <w:t xml:space="preserve">щення й інших ускладнень після лікування </w:t>
      </w:r>
      <w:proofErr w:type="spellStart"/>
      <w:r>
        <w:t>діафізарних</w:t>
      </w:r>
      <w:proofErr w:type="spellEnd"/>
      <w:r>
        <w:t xml:space="preserve"> переломів кінцівок за даними Між</w:t>
      </w:r>
      <w:r>
        <w:softHyphen/>
        <w:t>районної спеціалізованої травматологічної медико- соціальної експертної комісії КЗОЗ «Обласний центр медико-соціальної експертизи» Харківської облдержадміністрації (МСЕК).</w:t>
      </w:r>
    </w:p>
    <w:p w:rsidR="00E14225" w:rsidRDefault="006C6A20">
      <w:pPr>
        <w:pStyle w:val="Heading50"/>
        <w:keepNext/>
        <w:keepLines/>
        <w:shd w:val="clear" w:color="auto" w:fill="auto"/>
        <w:spacing w:before="0" w:after="7" w:line="220" w:lineRule="exact"/>
        <w:ind w:firstLine="0"/>
      </w:pPr>
      <w:bookmarkStart w:id="2" w:name="bookmark2"/>
      <w:r>
        <w:t>Матеріал і методи</w:t>
      </w:r>
      <w:bookmarkEnd w:id="2"/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 xml:space="preserve">Використано результати експертного огляду 773 хворих із </w:t>
      </w:r>
      <w:proofErr w:type="spellStart"/>
      <w:r>
        <w:t>діафізарними</w:t>
      </w:r>
      <w:proofErr w:type="spellEnd"/>
      <w:r>
        <w:t xml:space="preserve"> переломами кінці</w:t>
      </w:r>
      <w:r>
        <w:softHyphen/>
        <w:t>вок за період 01.01.2016-31.12.2018 (3 роки). Для аналізу відібрано осіб, первинно направлених до МСЕК через 4-12 міс. після травми або які зна</w:t>
      </w:r>
      <w:r>
        <w:softHyphen/>
        <w:t>ходилися на кон</w:t>
      </w:r>
      <w:r w:rsidR="00D1671C">
        <w:t>тролі МСЕК у зв’язку з невизна</w:t>
      </w:r>
      <w:bookmarkStart w:id="3" w:name="_GoBack"/>
      <w:bookmarkEnd w:id="3"/>
      <w:r>
        <w:t xml:space="preserve">ченою ситуацією. У них діагноз кваліфікували як сповільнене зрощення або незрощення та вони були на листку непрацездатності </w:t>
      </w:r>
      <w:r>
        <w:t>або інвалід</w:t>
      </w:r>
      <w:r>
        <w:softHyphen/>
        <w:t>ності. У дослідження не включали хворих із діаг</w:t>
      </w:r>
      <w:r>
        <w:softHyphen/>
        <w:t>нозом перелому зі стійкими та необоротними функціональними порушеннями, які вже мали тривалий термін інвалідності.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У протоколі огляду містилося достатньо інфор</w:t>
      </w:r>
      <w:r>
        <w:softHyphen/>
        <w:t>мації для виявлення ускладнень. Окрім паспортних даних пацієнта, там вказано розгорнутий діагноз із наведенням дати травми й операції, способу з’єднання відламків. Стан процесу загоєння пере</w:t>
      </w:r>
      <w:r>
        <w:softHyphen/>
        <w:t>лому на момент огляду був відображений у діаг</w:t>
      </w:r>
      <w:r>
        <w:softHyphen/>
        <w:t>нозі та визначений такими формулюваннями:</w:t>
      </w:r>
    </w:p>
    <w:p w:rsidR="00E14225" w:rsidRDefault="006C6A20">
      <w:pPr>
        <w:pStyle w:val="Bodytext20"/>
        <w:numPr>
          <w:ilvl w:val="0"/>
          <w:numId w:val="4"/>
        </w:numPr>
        <w:shd w:val="clear" w:color="auto" w:fill="auto"/>
        <w:tabs>
          <w:tab w:val="left" w:pos="529"/>
        </w:tabs>
        <w:spacing w:after="0" w:line="254" w:lineRule="exact"/>
        <w:ind w:firstLine="320"/>
        <w:jc w:val="both"/>
      </w:pPr>
      <w:r>
        <w:t>«перелом, який зростається» — коли через 4 міс. і більше виявлено ознаки, що свідчили про сприятливий перебіг процесу зрощення; наявність кісткового регенерату на рентгенограмі, збере</w:t>
      </w:r>
      <w:r>
        <w:softHyphen/>
        <w:t>ження функції м’язів і суглобів;</w:t>
      </w:r>
    </w:p>
    <w:p w:rsidR="00E14225" w:rsidRDefault="006C6A20">
      <w:pPr>
        <w:pStyle w:val="Bodytext20"/>
        <w:numPr>
          <w:ilvl w:val="0"/>
          <w:numId w:val="4"/>
        </w:numPr>
        <w:shd w:val="clear" w:color="auto" w:fill="auto"/>
        <w:tabs>
          <w:tab w:val="left" w:pos="529"/>
        </w:tabs>
        <w:spacing w:after="0" w:line="254" w:lineRule="exact"/>
        <w:ind w:firstLine="320"/>
        <w:jc w:val="both"/>
      </w:pPr>
      <w:r>
        <w:t>«перелом, який повільно зростається» — коли рентгенологічні ознаки кісткової регенера</w:t>
      </w:r>
      <w:r>
        <w:softHyphen/>
        <w:t>ції відсутні або слабко виражені, але патологічної рухомості відламків на момент огляду не визначе</w:t>
      </w:r>
      <w:r>
        <w:softHyphen/>
        <w:t xml:space="preserve">но (оскільки вони, зазвичай, фіксовані пластиною з гвинтами, або </w:t>
      </w:r>
      <w:proofErr w:type="spellStart"/>
      <w:r>
        <w:t>інтрамедулярним</w:t>
      </w:r>
      <w:proofErr w:type="spellEnd"/>
      <w:r>
        <w:t xml:space="preserve"> блокованим стрижнем). Таким хворим або дозволяли лікуван</w:t>
      </w:r>
      <w:r>
        <w:softHyphen/>
        <w:t>ня за листком непрацездатності, або їх визнавали інвалідами та продовжували контролювати про</w:t>
      </w:r>
      <w:r>
        <w:softHyphen/>
        <w:t>цес консолідації відламків у МСЕК. Деякі з них із плином часу переходили в категорію пацієнтів із незрощенням відламків;</w:t>
      </w:r>
    </w:p>
    <w:p w:rsidR="00E14225" w:rsidRDefault="006C6A20">
      <w:pPr>
        <w:pStyle w:val="Bodytext20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54" w:lineRule="exact"/>
        <w:ind w:firstLine="320"/>
        <w:jc w:val="both"/>
      </w:pPr>
      <w:r>
        <w:t>«незрощення перелому» — коли спливав по</w:t>
      </w:r>
      <w:r>
        <w:softHyphen/>
        <w:t>двійний орієнтовний термін консолідації, а ознак консолідації відламків не спостерігали, нато</w:t>
      </w:r>
      <w:r>
        <w:softHyphen/>
        <w:t>мість визначено їхню патологічну рухомість, зону</w:t>
      </w:r>
      <w:r>
        <w:br w:type="page"/>
      </w:r>
      <w:r>
        <w:lastRenderedPageBreak/>
        <w:t>просвітлення між ними на рентгенограмах, деформа</w:t>
      </w:r>
      <w:r>
        <w:softHyphen/>
        <w:t>цію сегмента, руйнування внутрішнього фіксатора;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- «хибний або тугий хибний суглоб (як особ</w:t>
      </w:r>
      <w:r>
        <w:softHyphen/>
        <w:t>лива форма незрощення відламків)» — коли реєстрували деформацію сегмента зі зоною про</w:t>
      </w:r>
      <w:r>
        <w:softHyphen/>
        <w:t>світлення, закруглення кісткових відламків, фор</w:t>
      </w:r>
      <w:r>
        <w:softHyphen/>
        <w:t>мування замикальних пластин і біль під час на</w:t>
      </w:r>
      <w:r>
        <w:softHyphen/>
        <w:t>вантаження. У таких пацієнтів на першому етапі використовували переважно зовнішні апарати.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 xml:space="preserve">У діагнозі, окрім стану процесу зрощення, </w:t>
      </w:r>
      <w:proofErr w:type="spellStart"/>
      <w:r>
        <w:t>відмі</w:t>
      </w:r>
      <w:r>
        <w:softHyphen/>
        <w:t>чено</w:t>
      </w:r>
      <w:proofErr w:type="spellEnd"/>
      <w:r>
        <w:t xml:space="preserve"> спосіб з’єднання відламків (пластина з гвин</w:t>
      </w:r>
      <w:r>
        <w:softHyphen/>
        <w:t xml:space="preserve">тами, </w:t>
      </w:r>
      <w:proofErr w:type="spellStart"/>
      <w:r>
        <w:t>інтрамедулярний</w:t>
      </w:r>
      <w:proofErr w:type="spellEnd"/>
      <w:r>
        <w:t xml:space="preserve"> блокований стрижень, апарат зовнішньої фіксації, гіпсова пов’язка), а та</w:t>
      </w:r>
      <w:r>
        <w:softHyphen/>
        <w:t xml:space="preserve">кож наявність таких ускладнень як остеомієліт, невропатія, контрактура суглоба, </w:t>
      </w:r>
      <w:proofErr w:type="spellStart"/>
      <w:r>
        <w:t>нейродистро</w:t>
      </w:r>
      <w:proofErr w:type="spellEnd"/>
      <w:r>
        <w:t xml:space="preserve">- </w:t>
      </w:r>
      <w:proofErr w:type="spellStart"/>
      <w:r>
        <w:t>фічний</w:t>
      </w:r>
      <w:proofErr w:type="spellEnd"/>
      <w:r>
        <w:t xml:space="preserve"> синдром.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У дослідженні хворих із діагнозом «хибний або тугий хибний суглоб (як особлива форма незрощення відламків)» віднесено до категорії «незрощення».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Згідно з паспортними даними на МСЕК на</w:t>
      </w:r>
      <w:r>
        <w:softHyphen/>
        <w:t>правлено хворих, які мешкали в Харківській області: більшість у самому місті та Харківсько</w:t>
      </w:r>
      <w:r>
        <w:softHyphen/>
        <w:t>му районі — 503 особи (65 %), решта — в області (270; 35 %). Відповідно, спеціалізовану медичну допомогу надано в травматологічних відділеннях міських лікарень, лікарнях обласного підпоряд</w:t>
      </w:r>
      <w:r>
        <w:softHyphen/>
        <w:t xml:space="preserve">кування, а також </w:t>
      </w:r>
      <w:proofErr w:type="spellStart"/>
      <w:r>
        <w:t>травматолого</w:t>
      </w:r>
      <w:proofErr w:type="spellEnd"/>
      <w:r>
        <w:t xml:space="preserve">-ортопедичних відділеннях центральних районних лікарень міст Чугуїв, Ізюм, Куп’янськ, Лозова, </w:t>
      </w:r>
      <w:proofErr w:type="spellStart"/>
      <w:r>
        <w:t>Балаклія</w:t>
      </w:r>
      <w:proofErr w:type="spellEnd"/>
      <w:r>
        <w:t xml:space="preserve">, </w:t>
      </w:r>
      <w:proofErr w:type="spellStart"/>
      <w:r>
        <w:t>Крас</w:t>
      </w:r>
      <w:proofErr w:type="spellEnd"/>
      <w:r>
        <w:t xml:space="preserve">- </w:t>
      </w:r>
      <w:proofErr w:type="spellStart"/>
      <w:r>
        <w:t>ноград</w:t>
      </w:r>
      <w:proofErr w:type="spellEnd"/>
      <w:r>
        <w:t>, Богодухів.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Розподіл пацієнтів за віком на момент виник</w:t>
      </w:r>
      <w:r>
        <w:softHyphen/>
        <w:t>нення перелому наведено в табл. 1. Як ми бачи</w:t>
      </w:r>
      <w:r>
        <w:softHyphen/>
        <w:t>мо, 96 % склали особи працездатного (не пенсій</w:t>
      </w:r>
      <w:r>
        <w:softHyphen/>
        <w:t>ного віку), лише 4 % постраждалих були старші за 60 років. Основна частина хворих (68 %) були офіційно працевлаштованими, решта — ні.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Локалізацію зламаного сегмента наведено в табл. 2.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Додатково слід зауважити, що серед указаних хворих у 66 були множинні переломи, 53 мали ушкодження двох сегментів, 13 — трьох. Час</w:t>
      </w:r>
      <w:r>
        <w:softHyphen/>
      </w:r>
      <w:r>
        <w:br w:type="column"/>
      </w:r>
      <w:proofErr w:type="spellStart"/>
      <w:r>
        <w:t>тіше</w:t>
      </w:r>
      <w:proofErr w:type="spellEnd"/>
      <w:r>
        <w:t xml:space="preserve"> спостерігали такі поєднання: «стегно - го</w:t>
      </w:r>
      <w:r>
        <w:softHyphen/>
        <w:t>мілка» — 17, «гомілка - гомілка» — 11, «стег</w:t>
      </w:r>
      <w:r>
        <w:softHyphen/>
        <w:t>но - стегно» — 8, «стегно - передпліччя» — 7, «гомілка - плече» — 5, «стегно - плече» — 4, у решти 14 — перелом гомілки або стегна по</w:t>
      </w:r>
      <w:r>
        <w:softHyphen/>
        <w:t>єднувався з переломом п’ятки (6), таза (3) та ін</w:t>
      </w:r>
      <w:r>
        <w:softHyphen/>
        <w:t>шими (5). Припускаючи, що в разі переломів де</w:t>
      </w:r>
      <w:r>
        <w:softHyphen/>
        <w:t>кількох сегментів імовірність ускладнень може зростати, ми окремо проаналізували групи хво</w:t>
      </w:r>
      <w:r>
        <w:softHyphen/>
        <w:t>рих з ізольованими (707 осіб) і множинними (66) переломами.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Ми вважали доцільним провести аналіз часто</w:t>
      </w:r>
      <w:r>
        <w:softHyphen/>
        <w:t>ти ускладнень окремо для кожного сегмента, ура</w:t>
      </w:r>
      <w:r>
        <w:softHyphen/>
        <w:t>ховуючи анатомо-функціональну ідентичність, яка зумовлює схожість початкових умов за наяв</w:t>
      </w:r>
      <w:r>
        <w:softHyphen/>
        <w:t>ності аналогічних переломів. Було цікавим вия</w:t>
      </w:r>
      <w:r>
        <w:softHyphen/>
        <w:t>вити, які способи фіксації відламків використано на кожному сегменті та з якою частотою виникли певні ускладнення.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Увага була зосереджена на основних, прогнос</w:t>
      </w:r>
      <w:r>
        <w:softHyphen/>
        <w:t xml:space="preserve">тично несприятливих ускладненнях: незрощенні відламків, остеомієліті та </w:t>
      </w:r>
      <w:proofErr w:type="spellStart"/>
      <w:r>
        <w:t>нейропатії</w:t>
      </w:r>
      <w:proofErr w:type="spellEnd"/>
      <w:r>
        <w:t xml:space="preserve"> променевого </w:t>
      </w:r>
      <w:proofErr w:type="spellStart"/>
      <w:r>
        <w:t>нерва</w:t>
      </w:r>
      <w:proofErr w:type="spellEnd"/>
      <w:r>
        <w:t xml:space="preserve"> (у разі переломів верхньої кінцівки).</w:t>
      </w:r>
    </w:p>
    <w:p w:rsidR="00E14225" w:rsidRDefault="006C6A20">
      <w:pPr>
        <w:pStyle w:val="Bodytext20"/>
        <w:shd w:val="clear" w:color="auto" w:fill="auto"/>
        <w:spacing w:after="148" w:line="254" w:lineRule="exact"/>
        <w:ind w:firstLine="320"/>
        <w:jc w:val="both"/>
      </w:pPr>
      <w:r>
        <w:t xml:space="preserve">Статистичний аналіз проводили </w:t>
      </w:r>
      <w:proofErr w:type="spellStart"/>
      <w:r>
        <w:t>непарамет</w:t>
      </w:r>
      <w:proofErr w:type="spellEnd"/>
      <w:r>
        <w:t xml:space="preserve">- </w:t>
      </w:r>
      <w:proofErr w:type="spellStart"/>
      <w:r>
        <w:t>ричним</w:t>
      </w:r>
      <w:proofErr w:type="spellEnd"/>
      <w:r>
        <w:t xml:space="preserve"> методом %</w:t>
      </w:r>
      <w:r>
        <w:rPr>
          <w:vertAlign w:val="superscript"/>
        </w:rPr>
        <w:t>2</w:t>
      </w:r>
      <w:r>
        <w:t xml:space="preserve"> із використанням програми </w:t>
      </w:r>
      <w:r>
        <w:rPr>
          <w:lang w:val="en-US" w:eastAsia="en-US" w:bidi="en-US"/>
        </w:rPr>
        <w:t>IBM</w:t>
      </w:r>
      <w:r w:rsidRPr="00D1671C">
        <w:rPr>
          <w:lang w:eastAsia="en-US" w:bidi="en-US"/>
        </w:rPr>
        <w:t xml:space="preserve"> </w:t>
      </w:r>
      <w:r>
        <w:rPr>
          <w:lang w:val="en-US" w:eastAsia="en-US" w:bidi="en-US"/>
        </w:rPr>
        <w:t>SPSS</w:t>
      </w:r>
      <w:r w:rsidRPr="00D1671C">
        <w:rPr>
          <w:lang w:eastAsia="en-US" w:bidi="en-US"/>
        </w:rPr>
        <w:t xml:space="preserve"> </w:t>
      </w:r>
      <w:r>
        <w:rPr>
          <w:lang w:val="en-US" w:eastAsia="en-US" w:bidi="en-US"/>
        </w:rPr>
        <w:t>Statistics</w:t>
      </w:r>
      <w:r w:rsidRPr="00D1671C">
        <w:rPr>
          <w:lang w:eastAsia="en-US" w:bidi="en-US"/>
        </w:rPr>
        <w:t xml:space="preserve"> </w:t>
      </w:r>
      <w:r>
        <w:t>20 для оцінювання частоти виникнення ускладнень за умов використання різних способів лікування перелому певної лока</w:t>
      </w:r>
      <w:r>
        <w:softHyphen/>
        <w:t>лізації. Критичний рівень значущості обрано як р &lt; 0,05.</w:t>
      </w:r>
    </w:p>
    <w:p w:rsidR="00E14225" w:rsidRDefault="006C6A20">
      <w:pPr>
        <w:pStyle w:val="Bodytext60"/>
        <w:shd w:val="clear" w:color="auto" w:fill="auto"/>
        <w:spacing w:before="0" w:after="31" w:line="220" w:lineRule="exact"/>
        <w:jc w:val="both"/>
      </w:pPr>
      <w:r>
        <w:t>Результати та їх обговорення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Результати розподілу хворих з ізольовани</w:t>
      </w:r>
      <w:r>
        <w:softHyphen/>
        <w:t>ми переломами кісток гомілки за способами фіксації відламків і частотою ускладнень ми наводимо в табл. 3.</w:t>
      </w:r>
    </w:p>
    <w:p w:rsidR="00E14225" w:rsidRDefault="00BC6530">
      <w:pPr>
        <w:pStyle w:val="Bodytext20"/>
        <w:shd w:val="clear" w:color="auto" w:fill="auto"/>
        <w:spacing w:after="0" w:line="254" w:lineRule="exact"/>
        <w:ind w:firstLine="320"/>
        <w:jc w:val="both"/>
        <w:sectPr w:rsidR="00E14225">
          <w:type w:val="continuous"/>
          <w:pgSz w:w="11900" w:h="16840"/>
          <w:pgMar w:top="1623" w:right="947" w:bottom="1578" w:left="1288" w:header="0" w:footer="3" w:gutter="0"/>
          <w:cols w:num="2" w:space="189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254000" distL="63500" distR="63500" simplePos="0" relativeHeight="377487104" behindDoc="1" locked="0" layoutInCell="1" allowOverlap="1">
                <wp:simplePos x="0" y="0"/>
                <wp:positionH relativeFrom="margin">
                  <wp:posOffset>29210</wp:posOffset>
                </wp:positionH>
                <wp:positionV relativeFrom="margin">
                  <wp:posOffset>7007225</wp:posOffset>
                </wp:positionV>
                <wp:extent cx="2950210" cy="1471930"/>
                <wp:effectExtent l="0" t="0" r="3175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225" w:rsidRDefault="006C6A20">
                            <w:pPr>
                              <w:pStyle w:val="Tablecaption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ablecaption2Exact"/>
                                <w:i/>
                                <w:iCs/>
                              </w:rPr>
                              <w:t>Таблиця 1</w:t>
                            </w:r>
                          </w:p>
                          <w:p w:rsidR="00E14225" w:rsidRDefault="006C6A20">
                            <w:pPr>
                              <w:pStyle w:val="Tablecaption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ablecaptionExact"/>
                                <w:b/>
                                <w:bCs/>
                              </w:rPr>
                              <w:t>Розподіл хворих за віком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0"/>
                              <w:gridCol w:w="1541"/>
                              <w:gridCol w:w="1555"/>
                            </w:tblGrid>
                            <w:tr w:rsidR="00E14225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Bodytext26pt"/>
                                    </w:rPr>
                                    <w:t>Вік, роки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Bodytext26pt"/>
                                    </w:rPr>
                                    <w:t>Кількість хворих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4225" w:rsidRDefault="00E14225"/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6pt"/>
                                    </w:rPr>
                                    <w:t>абс</w:t>
                                  </w:r>
                                  <w:proofErr w:type="spellEnd"/>
                                  <w:r>
                                    <w:rPr>
                                      <w:rStyle w:val="Bodytext26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19-40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43,0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41-60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53,0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61-80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81 і більше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0,4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773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</w:tbl>
                          <w:p w:rsidR="00E14225" w:rsidRDefault="00E142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3pt;margin-top:551.75pt;width:232.3pt;height:115.9pt;z-index:-1258293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NnrQ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" filled="f" stroked="f">
                <v:textbox style="mso-fit-shape-to-text:t" inset="0,0,0,0">
                  <w:txbxContent>
                    <w:p w:rsidR="00E14225" w:rsidRDefault="006C6A20">
                      <w:pPr>
                        <w:pStyle w:val="Tablecaption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ablecaption2Exact"/>
                          <w:i/>
                          <w:iCs/>
                        </w:rPr>
                        <w:t>Таблиця 1</w:t>
                      </w:r>
                    </w:p>
                    <w:p w:rsidR="00E14225" w:rsidRDefault="006C6A20">
                      <w:pPr>
                        <w:pStyle w:val="Tablecaption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ablecaptionExact"/>
                          <w:b/>
                          <w:bCs/>
                        </w:rPr>
                        <w:t>Розподіл хворих за віком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0"/>
                        <w:gridCol w:w="1541"/>
                        <w:gridCol w:w="1555"/>
                      </w:tblGrid>
                      <w:tr w:rsidR="00E14225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Bodytext26pt"/>
                              </w:rPr>
                              <w:t>Вік, роки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Bodytext26pt"/>
                              </w:rPr>
                              <w:t>Кількість хворих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4225" w:rsidRDefault="00E14225"/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6pt"/>
                              </w:rPr>
                              <w:t>абс</w:t>
                            </w:r>
                            <w:proofErr w:type="spellEnd"/>
                            <w:r>
                              <w:rPr>
                                <w:rStyle w:val="Bodytext26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%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19-40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43,0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41-60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53,0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61-80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3,6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81 і більше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0,4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773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100,0</w:t>
                            </w:r>
                          </w:p>
                        </w:tc>
                      </w:tr>
                    </w:tbl>
                    <w:p w:rsidR="00E14225" w:rsidRDefault="00E1422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257175" distL="63500" distR="63500" simplePos="0" relativeHeight="377487105" behindDoc="1" locked="0" layoutInCell="1" allowOverlap="1">
                <wp:simplePos x="0" y="0"/>
                <wp:positionH relativeFrom="margin">
                  <wp:posOffset>3159125</wp:posOffset>
                </wp:positionH>
                <wp:positionV relativeFrom="margin">
                  <wp:posOffset>6998335</wp:posOffset>
                </wp:positionV>
                <wp:extent cx="2950210" cy="147828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225" w:rsidRDefault="006C6A20">
                            <w:pPr>
                              <w:pStyle w:val="Tablecaption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ablecaption2Exact"/>
                                <w:i/>
                                <w:iCs/>
                              </w:rPr>
                              <w:t>Таблиця 2</w:t>
                            </w:r>
                          </w:p>
                          <w:p w:rsidR="00E14225" w:rsidRDefault="006C6A20">
                            <w:pPr>
                              <w:pStyle w:val="Tablecaption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TablecaptionExact"/>
                                <w:b/>
                                <w:bCs/>
                              </w:rPr>
                              <w:t>Розподіл хворих за локалізацією перелому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0"/>
                              <w:gridCol w:w="1546"/>
                              <w:gridCol w:w="1550"/>
                            </w:tblGrid>
                            <w:tr w:rsidR="00E14225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Bodytext26pt"/>
                                    </w:rPr>
                                    <w:t>Вік, роки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Bodytext26pt"/>
                                    </w:rPr>
                                    <w:t>Кількість хворих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4225" w:rsidRDefault="00E14225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2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6pt"/>
                                    </w:rPr>
                                    <w:t>абс</w:t>
                                  </w:r>
                                  <w:proofErr w:type="spellEnd"/>
                                  <w:r>
                                    <w:rPr>
                                      <w:rStyle w:val="Bodytext26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Гомілка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59,0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Стегно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23,0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Плече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Передпліччя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E14225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773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4225" w:rsidRDefault="006C6A2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</w:tbl>
                          <w:p w:rsidR="00E14225" w:rsidRDefault="00E1422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8.75pt;margin-top:551.05pt;width:232.3pt;height:116.4pt;z-index:-125829375;visibility:visible;mso-wrap-style:square;mso-width-percent:0;mso-height-percent:0;mso-wrap-distance-left:5pt;mso-wrap-distance-top:0;mso-wrap-distance-right:5pt;mso-wrap-distance-bottom:20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bW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" filled="f" stroked="f">
                <v:textbox style="mso-fit-shape-to-text:t" inset="0,0,0,0">
                  <w:txbxContent>
                    <w:p w:rsidR="00E14225" w:rsidRDefault="006C6A20">
                      <w:pPr>
                        <w:pStyle w:val="Tablecaption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ablecaption2Exact"/>
                          <w:i/>
                          <w:iCs/>
                        </w:rPr>
                        <w:t>Таблиця 2</w:t>
                      </w:r>
                    </w:p>
                    <w:p w:rsidR="00E14225" w:rsidRDefault="006C6A20">
                      <w:pPr>
                        <w:pStyle w:val="Tablecaption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TablecaptionExact"/>
                          <w:b/>
                          <w:bCs/>
                        </w:rPr>
                        <w:t>Розподіл хворих за локалізацією перелому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0"/>
                        <w:gridCol w:w="1546"/>
                        <w:gridCol w:w="1550"/>
                      </w:tblGrid>
                      <w:tr w:rsidR="00E14225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Bodytext26pt"/>
                              </w:rPr>
                              <w:t>Вік, роки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r>
                              <w:rPr>
                                <w:rStyle w:val="Bodytext26pt"/>
                              </w:rPr>
                              <w:t>Кількість хворих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4225" w:rsidRDefault="00E14225"/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2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6pt"/>
                              </w:rPr>
                              <w:t>абс</w:t>
                            </w:r>
                            <w:proofErr w:type="spellEnd"/>
                            <w:r>
                              <w:rPr>
                                <w:rStyle w:val="Bodytext26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%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Гомілка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59,0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Стегно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23,0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Плече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12,0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Передпліччя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6,0</w:t>
                            </w:r>
                          </w:p>
                        </w:tc>
                      </w:tr>
                      <w:tr w:rsidR="00E14225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Bodytext285pt"/>
                              </w:rPr>
                              <w:t>Усього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773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14225" w:rsidRDefault="006C6A2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100,0</w:t>
                            </w:r>
                          </w:p>
                        </w:tc>
                      </w:tr>
                    </w:tbl>
                    <w:p w:rsidR="00E14225" w:rsidRDefault="00E1422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C6A20">
        <w:t xml:space="preserve">У 55 % хворих із </w:t>
      </w:r>
      <w:proofErr w:type="spellStart"/>
      <w:r w:rsidR="006C6A20">
        <w:t>діафізарним</w:t>
      </w:r>
      <w:proofErr w:type="spellEnd"/>
      <w:r w:rsidR="006C6A20">
        <w:t xml:space="preserve"> переломом кіс</w:t>
      </w:r>
      <w:r w:rsidR="006C6A20">
        <w:softHyphen/>
        <w:t xml:space="preserve">ток гомілки був виконаний накістковий або </w:t>
      </w:r>
      <w:proofErr w:type="spellStart"/>
      <w:r w:rsidR="006C6A20">
        <w:t>інтрамедулярний</w:t>
      </w:r>
      <w:proofErr w:type="spellEnd"/>
      <w:r w:rsidR="006C6A20">
        <w:t xml:space="preserve"> блокований остеосинтез. Далі за частотою застосування виявилася гіпсо</w:t>
      </w:r>
      <w:r w:rsidR="006C6A20">
        <w:softHyphen/>
        <w:t>ва пов’язка — 21 %, потім — стрижневий апа</w:t>
      </w:r>
      <w:r w:rsidR="006C6A20">
        <w:softHyphen/>
        <w:t xml:space="preserve">рат і апарат </w:t>
      </w:r>
      <w:proofErr w:type="spellStart"/>
      <w:r w:rsidR="006C6A20">
        <w:t>Ілізарова</w:t>
      </w:r>
      <w:proofErr w:type="spellEnd"/>
      <w:r w:rsidR="006C6A20">
        <w:t xml:space="preserve"> 15 і 9 % відповідно (табл. 3).</w:t>
      </w:r>
    </w:p>
    <w:p w:rsidR="00E14225" w:rsidRDefault="006C6A20">
      <w:pPr>
        <w:pStyle w:val="Bodytext20"/>
        <w:shd w:val="clear" w:color="auto" w:fill="auto"/>
        <w:spacing w:after="0" w:line="254" w:lineRule="exact"/>
        <w:jc w:val="both"/>
      </w:pPr>
      <w:r>
        <w:lastRenderedPageBreak/>
        <w:t>Із отриманих даних можна припустити, що біль</w:t>
      </w:r>
      <w:r>
        <w:softHyphen/>
        <w:t>шість закритих переломів з однією площиною зламу лікують із використанням зануреного остеосинтезу. Значну частину переломів гомілки фіксують гіпсовою пов’язкою та, ймовірно, це ви</w:t>
      </w:r>
      <w:r>
        <w:softHyphen/>
        <w:t>конують у разі закритих переломів із невеликим зміщенням відламків або у випадку відмови па</w:t>
      </w:r>
      <w:r>
        <w:softHyphen/>
        <w:t>цієнта від хірургічного втручання. Припускаємо, що апарати зовнішньої фіксації травматологи ви</w:t>
      </w:r>
      <w:r>
        <w:softHyphen/>
        <w:t>мушені застосовувати в постраждалих із відкри</w:t>
      </w:r>
      <w:r>
        <w:softHyphen/>
        <w:t xml:space="preserve">тими або </w:t>
      </w:r>
      <w:proofErr w:type="spellStart"/>
      <w:r>
        <w:t>багатовідламковими</w:t>
      </w:r>
      <w:proofErr w:type="spellEnd"/>
      <w:r>
        <w:t xml:space="preserve"> переломами.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 xml:space="preserve">У результаті проведеного аналізу виявлено, що у хворих з ізольованим </w:t>
      </w:r>
      <w:proofErr w:type="spellStart"/>
      <w:r>
        <w:t>діафізарним</w:t>
      </w:r>
      <w:proofErr w:type="spellEnd"/>
      <w:r>
        <w:t xml:space="preserve"> переломом кісток гомілки частота ускладнень для обраних способів лікування статистично значущо відріз</w:t>
      </w:r>
      <w:r>
        <w:softHyphen/>
        <w:t>няється (х</w:t>
      </w:r>
      <w:r>
        <w:rPr>
          <w:vertAlign w:val="superscript"/>
        </w:rPr>
        <w:t>2</w:t>
      </w:r>
      <w:r>
        <w:t xml:space="preserve"> = 18,493; р &lt; 0,001) (табл. 3). Основним ускладненням у них було незрощення відламків з ознаками, які вказували на необхідність повтор</w:t>
      </w:r>
      <w:r>
        <w:softHyphen/>
        <w:t>ного хірургічного лікування. Після остеосинтезу виявлено 11,9-16 % (табл. 3) таких ускладнень, що співпадає з незалежними даними страхової ком</w:t>
      </w:r>
      <w:r>
        <w:softHyphen/>
        <w:t xml:space="preserve">панії США </w:t>
      </w:r>
      <w:r>
        <w:rPr>
          <w:lang w:val="en-US" w:eastAsia="en-US" w:bidi="en-US"/>
        </w:rPr>
        <w:t>Thompson</w:t>
      </w:r>
      <w:r w:rsidRPr="00D1671C">
        <w:rPr>
          <w:lang w:eastAsia="en-US" w:bidi="en-US"/>
        </w:rPr>
        <w:t xml:space="preserve"> </w:t>
      </w:r>
      <w:r>
        <w:rPr>
          <w:lang w:val="en-US" w:eastAsia="en-US" w:bidi="en-US"/>
        </w:rPr>
        <w:t>Reuters</w:t>
      </w:r>
      <w:r w:rsidRPr="00D1671C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MarketScan</w:t>
      </w:r>
      <w:proofErr w:type="spellEnd"/>
      <w:r w:rsidRPr="00D1671C">
        <w:rPr>
          <w:lang w:eastAsia="en-US" w:bidi="en-US"/>
        </w:rPr>
        <w:t xml:space="preserve"> </w:t>
      </w:r>
      <w:r>
        <w:t>[4], а та</w:t>
      </w:r>
      <w:r>
        <w:softHyphen/>
        <w:t>кож із результатами аналізу матеріалів Харків</w:t>
      </w:r>
      <w:r>
        <w:softHyphen/>
        <w:t>ської МСЕК, опублікованими нами раніше [5, 6]. Причому вказане ускладнення спостерігали знач</w:t>
      </w:r>
      <w:r>
        <w:softHyphen/>
        <w:t xml:space="preserve">но частіше, ніж остеомієліт. </w:t>
      </w:r>
      <w:r>
        <w:t xml:space="preserve">Найвищий відсоток незрощень (18,4 %) встановлено у хворих, яким застосовано апарат </w:t>
      </w:r>
      <w:proofErr w:type="spellStart"/>
      <w:r>
        <w:t>Ілізарова</w:t>
      </w:r>
      <w:proofErr w:type="spellEnd"/>
      <w:r>
        <w:t xml:space="preserve">, що, швидше за все, пов’язано з найбільшим ступенем руйнування </w:t>
      </w:r>
      <w:proofErr w:type="spellStart"/>
      <w:r>
        <w:t>нав</w:t>
      </w:r>
      <w:proofErr w:type="spellEnd"/>
      <w:r>
        <w:t xml:space="preserve">- </w:t>
      </w:r>
      <w:proofErr w:type="spellStart"/>
      <w:r>
        <w:t>коловідламкових</w:t>
      </w:r>
      <w:proofErr w:type="spellEnd"/>
      <w:r>
        <w:t xml:space="preserve"> тканин. Водночас за умов вико</w:t>
      </w:r>
      <w:r>
        <w:softHyphen/>
        <w:t>ристання стрижневих апаратів виявлено наймен</w:t>
      </w:r>
      <w:r>
        <w:softHyphen/>
        <w:t>шу частоту незрощень (3 %) (табл. 3).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>У 22 пацієнтів МСЕК зафіксувала наявність остеомієліту кісток гомілки, переважно у ви</w:t>
      </w:r>
      <w:r>
        <w:softHyphen/>
        <w:t xml:space="preserve">падках, коли лікування проводили зануреним </w:t>
      </w:r>
      <w:r>
        <w:rPr>
          <w:lang w:val="ru-RU" w:eastAsia="ru-RU" w:bidi="ru-RU"/>
        </w:rPr>
        <w:t xml:space="preserve">остеосинтезом </w:t>
      </w:r>
      <w:r>
        <w:t xml:space="preserve">(8,1 і 6,2 %) та апаратом </w:t>
      </w:r>
      <w:proofErr w:type="spellStart"/>
      <w:r>
        <w:t>Ілізаро</w:t>
      </w:r>
      <w:r>
        <w:softHyphen/>
        <w:t>ва</w:t>
      </w:r>
      <w:proofErr w:type="spellEnd"/>
      <w:r>
        <w:t xml:space="preserve"> (7,9 %) (табл. 3). Якщо в останньому випадку виникнення остеомієліту можна пояснити наяв</w:t>
      </w:r>
      <w:r>
        <w:softHyphen/>
        <w:t>ністю обтяженого перелому, то в разі зануреного остеосинтезу він, імовірно, мав ятрогенне похо</w:t>
      </w:r>
      <w:r>
        <w:softHyphen/>
        <w:t>дження. У 8 хворих остеомієліт поєднувався з не- зрощенням відламків.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 xml:space="preserve">Далі розглянемо групу хворих із </w:t>
      </w:r>
      <w:proofErr w:type="spellStart"/>
      <w:r>
        <w:t>діафізарним</w:t>
      </w:r>
      <w:proofErr w:type="spellEnd"/>
      <w:r>
        <w:t xml:space="preserve"> переломом стегнової кістки (табл. 4).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  <w:sectPr w:rsidR="00E14225">
          <w:headerReference w:type="even" r:id="rId10"/>
          <w:headerReference w:type="default" r:id="rId11"/>
          <w:pgSz w:w="11900" w:h="16840"/>
          <w:pgMar w:top="1623" w:right="947" w:bottom="1578" w:left="1288" w:header="0" w:footer="3" w:gutter="0"/>
          <w:cols w:num="2" w:space="189"/>
          <w:noEndnote/>
          <w:docGrid w:linePitch="360"/>
        </w:sectPr>
      </w:pPr>
      <w:r>
        <w:t>Під час статистичного аналізу не виявлено різни</w:t>
      </w:r>
      <w:r>
        <w:softHyphen/>
        <w:t>ці між частотою ускладнень за умов лікування з ви</w:t>
      </w:r>
      <w:r>
        <w:softHyphen/>
        <w:t>користанням накісткового остеосинтезу пласти</w:t>
      </w:r>
      <w:r>
        <w:softHyphen/>
        <w:t xml:space="preserve">ною або </w:t>
      </w:r>
      <w:proofErr w:type="spellStart"/>
      <w:r>
        <w:t>інтрамедулярного</w:t>
      </w:r>
      <w:proofErr w:type="spellEnd"/>
      <w:r>
        <w:t xml:space="preserve"> блокованого стрижня </w:t>
      </w:r>
      <w:r>
        <w:rPr>
          <w:rStyle w:val="Bodytext285pt0"/>
        </w:rPr>
        <w:t>(Х</w:t>
      </w:r>
      <w:r>
        <w:rPr>
          <w:rStyle w:val="Bodytext285pt0"/>
          <w:vertAlign w:val="superscript"/>
        </w:rPr>
        <w:t>2</w:t>
      </w:r>
      <w:r>
        <w:rPr>
          <w:rStyle w:val="Bodytext285pt0"/>
        </w:rPr>
        <w:t xml:space="preserve"> </w:t>
      </w:r>
      <w:r>
        <w:t xml:space="preserve">= 1,181; р = 0,278) у пацієнтів з ізольованим </w:t>
      </w:r>
      <w:proofErr w:type="spellStart"/>
      <w:r>
        <w:t>діафізарним</w:t>
      </w:r>
      <w:proofErr w:type="spellEnd"/>
      <w:r>
        <w:t xml:space="preserve"> переломом стегнової кістки (табл. 4).</w:t>
      </w:r>
    </w:p>
    <w:p w:rsidR="00E14225" w:rsidRDefault="00E14225">
      <w:pPr>
        <w:spacing w:line="209" w:lineRule="exact"/>
        <w:rPr>
          <w:sz w:val="17"/>
          <w:szCs w:val="17"/>
        </w:rPr>
      </w:pPr>
    </w:p>
    <w:p w:rsidR="00E14225" w:rsidRDefault="00E14225">
      <w:pPr>
        <w:rPr>
          <w:sz w:val="2"/>
          <w:szCs w:val="2"/>
        </w:rPr>
        <w:sectPr w:rsidR="00E14225">
          <w:type w:val="continuous"/>
          <w:pgSz w:w="11900" w:h="16840"/>
          <w:pgMar w:top="1591" w:right="0" w:bottom="1494" w:left="0" w:header="0" w:footer="3" w:gutter="0"/>
          <w:cols w:space="720"/>
          <w:noEndnote/>
          <w:docGrid w:linePitch="360"/>
        </w:sectPr>
      </w:pPr>
    </w:p>
    <w:p w:rsidR="00E14225" w:rsidRDefault="006C6A20">
      <w:pPr>
        <w:pStyle w:val="Tablecaption20"/>
        <w:framePr w:w="9600" w:wrap="notBeside" w:vAnchor="text" w:hAnchor="text" w:xAlign="center" w:y="1"/>
        <w:shd w:val="clear" w:color="auto" w:fill="auto"/>
        <w:spacing w:line="197" w:lineRule="exact"/>
      </w:pPr>
      <w:r>
        <w:t>Таблиця З</w:t>
      </w:r>
    </w:p>
    <w:p w:rsidR="00E14225" w:rsidRDefault="006C6A20">
      <w:pPr>
        <w:pStyle w:val="Tablecaption0"/>
        <w:framePr w:w="9600" w:wrap="notBeside" w:vAnchor="text" w:hAnchor="text" w:xAlign="center" w:y="1"/>
        <w:shd w:val="clear" w:color="auto" w:fill="auto"/>
        <w:spacing w:line="197" w:lineRule="exact"/>
        <w:jc w:val="center"/>
      </w:pPr>
      <w:r>
        <w:t xml:space="preserve">Розподіл хворих з ізольованим </w:t>
      </w:r>
      <w:proofErr w:type="spellStart"/>
      <w:r>
        <w:t>діафізарним</w:t>
      </w:r>
      <w:proofErr w:type="spellEnd"/>
      <w:r>
        <w:t xml:space="preserve"> переломом кісток гомілки (и = 437) за способом фіксації відламків і частотою ускладнень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845"/>
        <w:gridCol w:w="840"/>
        <w:gridCol w:w="840"/>
        <w:gridCol w:w="840"/>
        <w:gridCol w:w="845"/>
        <w:gridCol w:w="840"/>
        <w:gridCol w:w="840"/>
        <w:gridCol w:w="850"/>
      </w:tblGrid>
      <w:tr w:rsidR="00E14225">
        <w:trPr>
          <w:trHeight w:hRule="exact" w:val="264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Спосіб фіксації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Без ускладнень</w:t>
            </w:r>
          </w:p>
        </w:tc>
        <w:tc>
          <w:tcPr>
            <w:tcW w:w="5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Частота ускладнень у кожній підгрупі</w:t>
            </w:r>
          </w:p>
        </w:tc>
      </w:tr>
      <w:tr w:rsidR="00E14225">
        <w:trPr>
          <w:trHeight w:hRule="exact" w:val="254"/>
          <w:jc w:val="center"/>
        </w:trPr>
        <w:tc>
          <w:tcPr>
            <w:tcW w:w="2861" w:type="dxa"/>
            <w:vMerge/>
            <w:shd w:val="clear" w:color="auto" w:fill="FFFFFF"/>
          </w:tcPr>
          <w:p w:rsidR="00E14225" w:rsidRDefault="00E14225">
            <w:pPr>
              <w:framePr w:w="9600" w:wrap="notBeside" w:vAnchor="text" w:hAnchor="text" w:xAlign="center" w:y="1"/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14225" w:rsidRDefault="00E14225">
            <w:pPr>
              <w:framePr w:w="9600" w:wrap="notBeside" w:vAnchor="text" w:hAnchor="text" w:xAlign="center" w:y="1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незрощення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остеомієліт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загалом</w:t>
            </w:r>
          </w:p>
        </w:tc>
      </w:tr>
      <w:tr w:rsidR="00E14225">
        <w:trPr>
          <w:trHeight w:hRule="exact" w:val="254"/>
          <w:jc w:val="center"/>
        </w:trPr>
        <w:tc>
          <w:tcPr>
            <w:tcW w:w="2861" w:type="dxa"/>
            <w:vMerge/>
            <w:shd w:val="clear" w:color="auto" w:fill="FFFFFF"/>
          </w:tcPr>
          <w:p w:rsidR="00E14225" w:rsidRDefault="00E14225">
            <w:pPr>
              <w:framePr w:w="9600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</w:tr>
      <w:tr w:rsidR="00E14225">
        <w:trPr>
          <w:trHeight w:hRule="exact" w:val="283"/>
          <w:jc w:val="center"/>
        </w:trPr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 xml:space="preserve">Накістковий </w:t>
            </w:r>
            <w:r>
              <w:rPr>
                <w:rStyle w:val="Bodytext285pt"/>
                <w:lang w:val="ru-RU" w:eastAsia="ru-RU" w:bidi="ru-RU"/>
              </w:rPr>
              <w:t xml:space="preserve">остеосинтез </w:t>
            </w:r>
            <w:r>
              <w:rPr>
                <w:rStyle w:val="Bodytext285pt"/>
              </w:rPr>
              <w:t>(п = 160)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80"/>
            </w:pPr>
            <w:r>
              <w:rPr>
                <w:rStyle w:val="Bodytext285pt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20,0</w:t>
            </w:r>
          </w:p>
        </w:tc>
      </w:tr>
      <w:tr w:rsidR="00E14225">
        <w:trPr>
          <w:trHeight w:hRule="exact" w:val="480"/>
          <w:jc w:val="center"/>
        </w:trPr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97" w:lineRule="exact"/>
            </w:pPr>
            <w:proofErr w:type="spellStart"/>
            <w:r>
              <w:rPr>
                <w:rStyle w:val="Bodytext285pt"/>
              </w:rPr>
              <w:t>Інтрамедулярний</w:t>
            </w:r>
            <w:proofErr w:type="spellEnd"/>
            <w:r>
              <w:rPr>
                <w:rStyle w:val="Bodytext285pt"/>
              </w:rPr>
              <w:t xml:space="preserve"> блокований </w:t>
            </w:r>
            <w:r>
              <w:rPr>
                <w:rStyle w:val="Bodytext285pt"/>
                <w:lang w:val="ru-RU" w:eastAsia="ru-RU" w:bidi="ru-RU"/>
              </w:rPr>
              <w:t xml:space="preserve">остеосинтез </w:t>
            </w:r>
            <w:r>
              <w:rPr>
                <w:rStyle w:val="Bodytext285pt"/>
              </w:rPr>
              <w:t>(п = 81)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80"/>
            </w:pPr>
            <w:r>
              <w:rPr>
                <w:rStyle w:val="Bodytext285pt"/>
              </w:rPr>
              <w:t>77,8 '' 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22,2</w:t>
            </w:r>
          </w:p>
        </w:tc>
      </w:tr>
      <w:tr w:rsidR="00E14225">
        <w:trPr>
          <w:trHeight w:hRule="exact" w:val="278"/>
          <w:jc w:val="center"/>
        </w:trPr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 xml:space="preserve">Стрижневий апарат (п </w:t>
            </w:r>
            <w:r>
              <w:rPr>
                <w:rStyle w:val="Bodytext285pt1"/>
              </w:rPr>
              <w:t xml:space="preserve">= </w:t>
            </w:r>
            <w:r>
              <w:rPr>
                <w:rStyle w:val="Bodytext285pt"/>
              </w:rPr>
              <w:t>66)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80"/>
            </w:pPr>
            <w:r>
              <w:rPr>
                <w:rStyle w:val="Bodytext285pt"/>
              </w:rPr>
              <w:t>95,5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4,5</w:t>
            </w:r>
          </w:p>
        </w:tc>
      </w:tr>
      <w:tr w:rsidR="00E14225">
        <w:trPr>
          <w:trHeight w:hRule="exact" w:val="283"/>
          <w:jc w:val="center"/>
        </w:trPr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 xml:space="preserve">Апарат </w:t>
            </w:r>
            <w:proofErr w:type="spellStart"/>
            <w:r>
              <w:rPr>
                <w:rStyle w:val="Bodytext285pt"/>
              </w:rPr>
              <w:t>Ілізарова</w:t>
            </w:r>
            <w:proofErr w:type="spellEnd"/>
            <w:r>
              <w:rPr>
                <w:rStyle w:val="Bodytext285pt"/>
              </w:rPr>
              <w:t xml:space="preserve"> (п = 38)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80"/>
            </w:pPr>
            <w:r>
              <w:rPr>
                <w:rStyle w:val="Bodytext285pt"/>
              </w:rPr>
              <w:t>73,7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26,3</w:t>
            </w:r>
          </w:p>
        </w:tc>
      </w:tr>
      <w:tr w:rsidR="00E14225">
        <w:trPr>
          <w:trHeight w:hRule="exact" w:val="278"/>
          <w:jc w:val="center"/>
        </w:trPr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>Гіпсова пов’язка (п = 92)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80"/>
            </w:pPr>
            <w:r>
              <w:rPr>
                <w:rStyle w:val="Bodytext285pt"/>
              </w:rPr>
              <w:t>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1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7,6</w:t>
            </w:r>
          </w:p>
        </w:tc>
      </w:tr>
      <w:tr w:rsidR="00E14225">
        <w:trPr>
          <w:trHeight w:hRule="exact" w:val="298"/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>Усього (п = 437)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80"/>
            </w:pPr>
            <w:r>
              <w:rPr>
                <w:rStyle w:val="Bodytext285pt"/>
              </w:rPr>
              <w:t>94,0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16,0</w:t>
            </w:r>
          </w:p>
        </w:tc>
      </w:tr>
    </w:tbl>
    <w:p w:rsidR="00E14225" w:rsidRDefault="006C6A20">
      <w:pPr>
        <w:pStyle w:val="Tablecaption20"/>
        <w:framePr w:w="9600" w:wrap="notBeside" w:vAnchor="text" w:hAnchor="text" w:xAlign="center" w:y="1"/>
        <w:shd w:val="clear" w:color="auto" w:fill="auto"/>
        <w:spacing w:line="202" w:lineRule="exact"/>
      </w:pPr>
      <w:r>
        <w:t>Таблиця 4</w:t>
      </w:r>
    </w:p>
    <w:p w:rsidR="00E14225" w:rsidRDefault="00E14225">
      <w:pPr>
        <w:framePr w:w="9600" w:wrap="notBeside" w:vAnchor="text" w:hAnchor="text" w:xAlign="center" w:y="1"/>
        <w:rPr>
          <w:sz w:val="2"/>
          <w:szCs w:val="2"/>
        </w:rPr>
      </w:pPr>
    </w:p>
    <w:p w:rsidR="00E14225" w:rsidRDefault="00E14225">
      <w:pPr>
        <w:rPr>
          <w:sz w:val="2"/>
          <w:szCs w:val="2"/>
        </w:rPr>
      </w:pPr>
    </w:p>
    <w:p w:rsidR="00E14225" w:rsidRDefault="006C6A20">
      <w:pPr>
        <w:pStyle w:val="Tablecaption0"/>
        <w:framePr w:w="9595" w:wrap="notBeside" w:vAnchor="text" w:hAnchor="text" w:xAlign="center" w:y="1"/>
        <w:shd w:val="clear" w:color="auto" w:fill="auto"/>
        <w:spacing w:line="202" w:lineRule="exact"/>
        <w:jc w:val="center"/>
      </w:pPr>
      <w:r>
        <w:t xml:space="preserve">Розподіл хворих з ізольованим </w:t>
      </w:r>
      <w:proofErr w:type="spellStart"/>
      <w:r>
        <w:t>діафізарним</w:t>
      </w:r>
      <w:proofErr w:type="spellEnd"/>
      <w:r>
        <w:t xml:space="preserve"> переломом стегнової кістки (п = 131) за способом фіксації відламків і частотою ускладнень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840"/>
        <w:gridCol w:w="840"/>
        <w:gridCol w:w="840"/>
        <w:gridCol w:w="840"/>
        <w:gridCol w:w="840"/>
        <w:gridCol w:w="845"/>
        <w:gridCol w:w="840"/>
        <w:gridCol w:w="845"/>
      </w:tblGrid>
      <w:tr w:rsidR="00E14225">
        <w:trPr>
          <w:trHeight w:hRule="exact" w:val="259"/>
          <w:jc w:val="center"/>
        </w:trPr>
        <w:tc>
          <w:tcPr>
            <w:tcW w:w="28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Спосіб фіксації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Без ускладнень</w:t>
            </w:r>
          </w:p>
        </w:tc>
        <w:tc>
          <w:tcPr>
            <w:tcW w:w="5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Частота ускладнень у кожній підгрупі</w:t>
            </w:r>
          </w:p>
        </w:tc>
      </w:tr>
      <w:tr w:rsidR="00E14225">
        <w:trPr>
          <w:trHeight w:hRule="exact" w:val="254"/>
          <w:jc w:val="center"/>
        </w:trPr>
        <w:tc>
          <w:tcPr>
            <w:tcW w:w="2866" w:type="dxa"/>
            <w:vMerge/>
            <w:shd w:val="clear" w:color="auto" w:fill="FFFFFF"/>
          </w:tcPr>
          <w:p w:rsidR="00E14225" w:rsidRDefault="00E14225">
            <w:pPr>
              <w:framePr w:w="9595" w:wrap="notBeside" w:vAnchor="text" w:hAnchor="text" w:xAlign="center" w:y="1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14225" w:rsidRDefault="00E14225">
            <w:pPr>
              <w:framePr w:w="9595" w:wrap="notBeside" w:vAnchor="text" w:hAnchor="text" w:xAlign="center" w:y="1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незрощення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остеомієліт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загалом</w:t>
            </w:r>
          </w:p>
        </w:tc>
      </w:tr>
      <w:tr w:rsidR="00E14225">
        <w:trPr>
          <w:trHeight w:hRule="exact" w:val="259"/>
          <w:jc w:val="center"/>
        </w:trPr>
        <w:tc>
          <w:tcPr>
            <w:tcW w:w="2866" w:type="dxa"/>
            <w:vMerge/>
            <w:shd w:val="clear" w:color="auto" w:fill="FFFFFF"/>
          </w:tcPr>
          <w:p w:rsidR="00E14225" w:rsidRDefault="00E14225">
            <w:pPr>
              <w:framePr w:w="9595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</w:tr>
      <w:tr w:rsidR="00E14225">
        <w:trPr>
          <w:trHeight w:hRule="exact" w:val="283"/>
          <w:jc w:val="center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 xml:space="preserve">Накістковий </w:t>
            </w:r>
            <w:r>
              <w:rPr>
                <w:rStyle w:val="Bodytext285pt"/>
                <w:lang w:val="ru-RU" w:eastAsia="ru-RU" w:bidi="ru-RU"/>
              </w:rPr>
              <w:t xml:space="preserve">остеосинтез </w:t>
            </w:r>
            <w:r>
              <w:rPr>
                <w:rStyle w:val="Bodytext285pt"/>
              </w:rPr>
              <w:t>(п = 85)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87,1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12pt"/>
              </w:rPr>
              <w:t>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12,9</w:t>
            </w:r>
          </w:p>
        </w:tc>
      </w:tr>
      <w:tr w:rsidR="00E14225">
        <w:trPr>
          <w:trHeight w:hRule="exact" w:val="475"/>
          <w:jc w:val="center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97" w:lineRule="exact"/>
            </w:pPr>
            <w:proofErr w:type="spellStart"/>
            <w:r>
              <w:rPr>
                <w:rStyle w:val="Bodytext285pt"/>
              </w:rPr>
              <w:t>Інтрамедулярний</w:t>
            </w:r>
            <w:proofErr w:type="spellEnd"/>
            <w:r>
              <w:rPr>
                <w:rStyle w:val="Bodytext285pt"/>
              </w:rPr>
              <w:t xml:space="preserve"> блокований </w:t>
            </w:r>
            <w:r>
              <w:rPr>
                <w:rStyle w:val="Bodytext285pt"/>
                <w:lang w:val="ru-RU" w:eastAsia="ru-RU" w:bidi="ru-RU"/>
              </w:rPr>
              <w:t xml:space="preserve">остеосинтез </w:t>
            </w:r>
            <w:r>
              <w:rPr>
                <w:rStyle w:val="Bodytext285pt"/>
              </w:rPr>
              <w:t>(п = 39)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20,5</w:t>
            </w:r>
          </w:p>
        </w:tc>
      </w:tr>
      <w:tr w:rsidR="00E14225">
        <w:trPr>
          <w:trHeight w:hRule="exact" w:val="283"/>
          <w:jc w:val="center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tabs>
                <w:tab w:val="left" w:leader="hyphen" w:pos="2818"/>
              </w:tabs>
              <w:spacing w:after="0" w:line="170" w:lineRule="exact"/>
              <w:jc w:val="both"/>
            </w:pPr>
            <w:r>
              <w:rPr>
                <w:rStyle w:val="Bodytext285pt"/>
              </w:rPr>
              <w:t>■</w:t>
            </w:r>
            <w:r>
              <w:rPr>
                <w:rStyle w:val="Bodytext285pt"/>
              </w:rPr>
              <w:tab/>
            </w:r>
          </w:p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>Стрижневий апарат (п = 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1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2"/>
              </w:rPr>
              <w:t>—</w:t>
            </w:r>
          </w:p>
        </w:tc>
      </w:tr>
      <w:tr w:rsidR="00E14225">
        <w:trPr>
          <w:trHeight w:hRule="exact" w:val="278"/>
          <w:jc w:val="center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 xml:space="preserve">Апарат </w:t>
            </w:r>
            <w:proofErr w:type="spellStart"/>
            <w:r>
              <w:rPr>
                <w:rStyle w:val="Bodytext285pt"/>
              </w:rPr>
              <w:t>Ілізарова</w:t>
            </w:r>
            <w:proofErr w:type="spellEnd"/>
            <w:r>
              <w:rPr>
                <w:rStyle w:val="Bodytext285pt"/>
              </w:rPr>
              <w:t xml:space="preserve"> (п = 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1"/>
              </w:rPr>
              <w:t>—</w:t>
            </w:r>
          </w:p>
        </w:tc>
      </w:tr>
      <w:tr w:rsidR="00E14225">
        <w:trPr>
          <w:trHeight w:hRule="exact" w:val="298"/>
          <w:jc w:val="center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 xml:space="preserve">Усього (п </w:t>
            </w:r>
            <w:r>
              <w:rPr>
                <w:rStyle w:val="Bodytext285pt1"/>
              </w:rPr>
              <w:t xml:space="preserve">= </w:t>
            </w:r>
            <w:r>
              <w:rPr>
                <w:rStyle w:val="Bodytext285pt"/>
              </w:rPr>
              <w:t>131)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85,5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14,5</w:t>
            </w:r>
          </w:p>
        </w:tc>
      </w:tr>
    </w:tbl>
    <w:p w:rsidR="00E14225" w:rsidRDefault="00E14225">
      <w:pPr>
        <w:framePr w:w="9595" w:wrap="notBeside" w:vAnchor="text" w:hAnchor="text" w:xAlign="center" w:y="1"/>
        <w:rPr>
          <w:sz w:val="2"/>
          <w:szCs w:val="2"/>
        </w:rPr>
      </w:pPr>
    </w:p>
    <w:p w:rsidR="00E14225" w:rsidRDefault="00E14225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840"/>
        <w:gridCol w:w="840"/>
        <w:gridCol w:w="840"/>
        <w:gridCol w:w="840"/>
        <w:gridCol w:w="840"/>
        <w:gridCol w:w="840"/>
        <w:gridCol w:w="840"/>
        <w:gridCol w:w="850"/>
      </w:tblGrid>
      <w:tr w:rsidR="00E14225">
        <w:trPr>
          <w:trHeight w:hRule="exact" w:val="274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lastRenderedPageBreak/>
              <w:t>Спосіб фіксації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Без ускладнень</w:t>
            </w:r>
          </w:p>
        </w:tc>
        <w:tc>
          <w:tcPr>
            <w:tcW w:w="5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Частота ускладнень у кожній підгрупі</w:t>
            </w:r>
          </w:p>
        </w:tc>
      </w:tr>
      <w:tr w:rsidR="00E14225">
        <w:trPr>
          <w:trHeight w:hRule="exact" w:val="250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25" w:rsidRDefault="00E14225">
            <w:pPr>
              <w:framePr w:w="9590" w:h="2395" w:hSpace="34" w:wrap="notBeside" w:vAnchor="text" w:hAnchor="text" w:x="35" w:y="702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14225" w:rsidRDefault="00E14225">
            <w:pPr>
              <w:framePr w:w="9590" w:h="2395" w:hSpace="34" w:wrap="notBeside" w:vAnchor="text" w:hAnchor="text" w:x="35" w:y="702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незрощення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остеомієліт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загалом</w:t>
            </w:r>
          </w:p>
        </w:tc>
      </w:tr>
      <w:tr w:rsidR="00E14225">
        <w:trPr>
          <w:trHeight w:hRule="exact" w:val="254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225" w:rsidRDefault="00E14225">
            <w:pPr>
              <w:framePr w:w="9590" w:h="2395" w:hSpace="34" w:wrap="notBeside" w:vAnchor="text" w:hAnchor="text" w:x="35" w:y="702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%</w:t>
            </w:r>
          </w:p>
        </w:tc>
      </w:tr>
      <w:tr w:rsidR="00E14225">
        <w:trPr>
          <w:trHeight w:hRule="exact" w:val="27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 xml:space="preserve">Накістковий </w:t>
            </w:r>
            <w:r>
              <w:rPr>
                <w:rStyle w:val="Bodytext285pt"/>
                <w:lang w:val="ru-RU" w:eastAsia="ru-RU" w:bidi="ru-RU"/>
              </w:rPr>
              <w:t xml:space="preserve">остеосинтез </w:t>
            </w:r>
            <w:r>
              <w:rPr>
                <w:rStyle w:val="Bodytext285pt"/>
              </w:rPr>
              <w:t>(п = 68)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25,0</w:t>
            </w:r>
          </w:p>
        </w:tc>
      </w:tr>
      <w:tr w:rsidR="00E14225">
        <w:trPr>
          <w:trHeight w:hRule="exact" w:val="48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97" w:lineRule="exact"/>
            </w:pPr>
            <w:proofErr w:type="spellStart"/>
            <w:r>
              <w:rPr>
                <w:rStyle w:val="Bodytext285pt"/>
              </w:rPr>
              <w:t>Інтрамедулярний</w:t>
            </w:r>
            <w:proofErr w:type="spellEnd"/>
            <w:r>
              <w:rPr>
                <w:rStyle w:val="Bodytext285pt"/>
              </w:rPr>
              <w:t xml:space="preserve"> блокований </w:t>
            </w:r>
            <w:r>
              <w:rPr>
                <w:rStyle w:val="Bodytext285pt"/>
                <w:lang w:val="ru-RU" w:eastAsia="ru-RU" w:bidi="ru-RU"/>
              </w:rPr>
              <w:t xml:space="preserve">остеосинтез </w:t>
            </w:r>
            <w:r>
              <w:rPr>
                <w:rStyle w:val="Bodytext285pt"/>
              </w:rPr>
              <w:t>(п = 14)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</w:tr>
      <w:tr w:rsidR="00E14225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>Стрижневий апарат (п = 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66,7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33,3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</w:tr>
      <w:tr w:rsidR="00E14225">
        <w:trPr>
          <w:trHeight w:hRule="exact" w:val="27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 xml:space="preserve">Апарат </w:t>
            </w:r>
            <w:proofErr w:type="spellStart"/>
            <w:r>
              <w:rPr>
                <w:rStyle w:val="Bodytext285pt"/>
              </w:rPr>
              <w:t>Ілізарова</w:t>
            </w:r>
            <w:proofErr w:type="spellEnd"/>
            <w:r>
              <w:rPr>
                <w:rStyle w:val="Bodytext285pt"/>
              </w:rPr>
              <w:t xml:space="preserve"> (п = 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ind w:left="260"/>
            </w:pPr>
            <w:r>
              <w:rPr>
                <w:rStyle w:val="Bodytext285pt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—</w:t>
            </w:r>
          </w:p>
        </w:tc>
      </w:tr>
      <w:tr w:rsidR="00E14225">
        <w:trPr>
          <w:trHeight w:hRule="exact" w:val="29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>Усього (п = 90)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90" w:h="2395" w:hSpace="34" w:wrap="notBeside" w:vAnchor="text" w:hAnchor="text" w:x="35" w:y="702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18,9</w:t>
            </w:r>
          </w:p>
        </w:tc>
      </w:tr>
    </w:tbl>
    <w:p w:rsidR="00E14225" w:rsidRDefault="006C6A20">
      <w:pPr>
        <w:pStyle w:val="Tablecaption0"/>
        <w:framePr w:w="5482" w:h="451" w:hSpace="34" w:wrap="notBeside" w:vAnchor="text" w:hAnchor="text" w:x="2094" w:y="156"/>
        <w:shd w:val="clear" w:color="auto" w:fill="auto"/>
        <w:spacing w:line="197" w:lineRule="exact"/>
        <w:jc w:val="center"/>
      </w:pPr>
      <w:r>
        <w:t xml:space="preserve">Розподіл хворих із </w:t>
      </w:r>
      <w:proofErr w:type="spellStart"/>
      <w:r>
        <w:t>діафізарним</w:t>
      </w:r>
      <w:proofErr w:type="spellEnd"/>
      <w:r>
        <w:t xml:space="preserve"> переломом плечової кістки (п = 90) за способом фіксації відламків і частотою ускладнень</w:t>
      </w:r>
    </w:p>
    <w:p w:rsidR="00E14225" w:rsidRDefault="006C6A20">
      <w:pPr>
        <w:pStyle w:val="Tablecaption20"/>
        <w:framePr w:w="797" w:h="222" w:hSpace="34" w:wrap="notBeside" w:vAnchor="text" w:hAnchor="text" w:x="8853" w:y="-5"/>
        <w:shd w:val="clear" w:color="auto" w:fill="auto"/>
        <w:spacing w:line="170" w:lineRule="exact"/>
        <w:jc w:val="left"/>
      </w:pPr>
      <w:r>
        <w:t>Таблиця 5</w:t>
      </w:r>
    </w:p>
    <w:p w:rsidR="00E14225" w:rsidRDefault="006C6A20">
      <w:pPr>
        <w:pStyle w:val="Tablecaption20"/>
        <w:framePr w:w="802" w:h="227" w:hSpace="34" w:wrap="notBeside" w:vAnchor="text" w:hAnchor="text" w:x="8843" w:y="3398"/>
        <w:shd w:val="clear" w:color="auto" w:fill="auto"/>
        <w:spacing w:line="170" w:lineRule="exact"/>
        <w:jc w:val="left"/>
      </w:pPr>
      <w:r>
        <w:t>Таблиця б</w:t>
      </w:r>
    </w:p>
    <w:p w:rsidR="00E14225" w:rsidRDefault="00E14225">
      <w:pPr>
        <w:rPr>
          <w:sz w:val="2"/>
          <w:szCs w:val="2"/>
        </w:rPr>
      </w:pPr>
    </w:p>
    <w:p w:rsidR="00E14225" w:rsidRDefault="006C6A20">
      <w:pPr>
        <w:pStyle w:val="Tablecaption0"/>
        <w:framePr w:w="9557" w:wrap="notBeside" w:vAnchor="text" w:hAnchor="text" w:xAlign="center" w:y="1"/>
        <w:shd w:val="clear" w:color="auto" w:fill="auto"/>
        <w:spacing w:line="197" w:lineRule="exact"/>
        <w:jc w:val="center"/>
      </w:pPr>
      <w:r>
        <w:t xml:space="preserve">Розподіл хворих із </w:t>
      </w:r>
      <w:proofErr w:type="spellStart"/>
      <w:r>
        <w:t>діафізарним</w:t>
      </w:r>
      <w:proofErr w:type="spellEnd"/>
      <w:r>
        <w:t xml:space="preserve"> переломом кісток передпліччя (п = 49) за способом фіксації відламків і частотою ускладнень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840"/>
        <w:gridCol w:w="840"/>
        <w:gridCol w:w="840"/>
        <w:gridCol w:w="840"/>
        <w:gridCol w:w="840"/>
        <w:gridCol w:w="840"/>
        <w:gridCol w:w="840"/>
        <w:gridCol w:w="854"/>
      </w:tblGrid>
      <w:tr w:rsidR="00E14225">
        <w:trPr>
          <w:trHeight w:hRule="exact" w:val="269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Спосіб фіксації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Без ускладнень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Частота ускладнень у кожній підгрупі</w:t>
            </w:r>
          </w:p>
        </w:tc>
      </w:tr>
      <w:tr w:rsidR="00E14225">
        <w:trPr>
          <w:trHeight w:hRule="exact" w:val="254"/>
          <w:jc w:val="center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14225" w:rsidRDefault="00E1422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14225" w:rsidRDefault="00E1422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E14225" w:rsidRDefault="00E1422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незрощення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остеомієліт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загалом</w:t>
            </w:r>
          </w:p>
        </w:tc>
      </w:tr>
      <w:tr w:rsidR="00E14225">
        <w:trPr>
          <w:trHeight w:hRule="exact" w:val="250"/>
          <w:jc w:val="center"/>
        </w:trPr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E14225" w:rsidRDefault="00E14225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proofErr w:type="spellStart"/>
            <w:r>
              <w:rPr>
                <w:rStyle w:val="Bodytext26pt"/>
              </w:rPr>
              <w:t>абс</w:t>
            </w:r>
            <w:proofErr w:type="spellEnd"/>
            <w:r>
              <w:rPr>
                <w:rStyle w:val="Bodytext26pt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Bodytext26pt"/>
              </w:rPr>
              <w:t>%</w:t>
            </w:r>
          </w:p>
        </w:tc>
      </w:tr>
      <w:tr w:rsidR="00E14225">
        <w:trPr>
          <w:trHeight w:hRule="exact" w:val="29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Bodytext285pt"/>
              </w:rPr>
              <w:t xml:space="preserve">Накістковий </w:t>
            </w:r>
            <w:r>
              <w:rPr>
                <w:rStyle w:val="Bodytext285pt"/>
                <w:lang w:val="ru-RU" w:eastAsia="ru-RU" w:bidi="ru-RU"/>
              </w:rPr>
              <w:t xml:space="preserve">остеосинтез </w:t>
            </w:r>
            <w:r>
              <w:rPr>
                <w:rStyle w:val="Bodytext285pt"/>
              </w:rPr>
              <w:t xml:space="preserve">(п </w:t>
            </w:r>
            <w:r>
              <w:rPr>
                <w:rStyle w:val="Bodytext26pt"/>
              </w:rPr>
              <w:t xml:space="preserve">= </w:t>
            </w:r>
            <w:r>
              <w:rPr>
                <w:rStyle w:val="Bodytext285pt"/>
              </w:rPr>
              <w:t>49)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40,8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із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225" w:rsidRDefault="006C6A20">
            <w:pPr>
              <w:pStyle w:val="Bodytext20"/>
              <w:framePr w:w="955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26,5</w:t>
            </w:r>
          </w:p>
        </w:tc>
      </w:tr>
    </w:tbl>
    <w:p w:rsidR="00E14225" w:rsidRDefault="00E14225">
      <w:pPr>
        <w:framePr w:w="9557" w:wrap="notBeside" w:vAnchor="text" w:hAnchor="text" w:xAlign="center" w:y="1"/>
        <w:rPr>
          <w:sz w:val="2"/>
          <w:szCs w:val="2"/>
        </w:rPr>
      </w:pPr>
    </w:p>
    <w:p w:rsidR="00E14225" w:rsidRDefault="00E14225">
      <w:pPr>
        <w:rPr>
          <w:sz w:val="2"/>
          <w:szCs w:val="2"/>
        </w:rPr>
      </w:pPr>
    </w:p>
    <w:p w:rsidR="00E14225" w:rsidRDefault="00E14225">
      <w:pPr>
        <w:rPr>
          <w:sz w:val="2"/>
          <w:szCs w:val="2"/>
        </w:rPr>
        <w:sectPr w:rsidR="00E14225">
          <w:type w:val="continuous"/>
          <w:pgSz w:w="11900" w:h="16840"/>
          <w:pgMar w:top="1591" w:right="884" w:bottom="1494" w:left="1358" w:header="0" w:footer="3" w:gutter="0"/>
          <w:cols w:space="720"/>
          <w:noEndnote/>
          <w:docGrid w:linePitch="360"/>
        </w:sectPr>
      </w:pPr>
    </w:p>
    <w:p w:rsidR="00E14225" w:rsidRDefault="00E14225">
      <w:pPr>
        <w:spacing w:before="2" w:after="2" w:line="240" w:lineRule="exact"/>
        <w:rPr>
          <w:sz w:val="19"/>
          <w:szCs w:val="19"/>
        </w:rPr>
      </w:pPr>
    </w:p>
    <w:p w:rsidR="00E14225" w:rsidRDefault="00E14225">
      <w:pPr>
        <w:rPr>
          <w:sz w:val="2"/>
          <w:szCs w:val="2"/>
        </w:rPr>
        <w:sectPr w:rsidR="00E14225">
          <w:type w:val="continuous"/>
          <w:pgSz w:w="11900" w:h="16840"/>
          <w:pgMar w:top="1701" w:right="0" w:bottom="1558" w:left="0" w:header="0" w:footer="3" w:gutter="0"/>
          <w:cols w:space="720"/>
          <w:noEndnote/>
          <w:docGrid w:linePitch="360"/>
        </w:sectPr>
      </w:pPr>
    </w:p>
    <w:p w:rsidR="00E14225" w:rsidRDefault="006C6A20">
      <w:pPr>
        <w:pStyle w:val="Bodytext20"/>
        <w:shd w:val="clear" w:color="auto" w:fill="auto"/>
        <w:spacing w:after="0" w:line="259" w:lineRule="exact"/>
        <w:jc w:val="both"/>
      </w:pPr>
      <w:r>
        <w:t xml:space="preserve">Загалом ці способи використано в 95 % </w:t>
      </w:r>
      <w:proofErr w:type="spellStart"/>
      <w:r>
        <w:t>постраж</w:t>
      </w:r>
      <w:proofErr w:type="spellEnd"/>
      <w:r>
        <w:t xml:space="preserve">- </w:t>
      </w:r>
      <w:proofErr w:type="spellStart"/>
      <w:r>
        <w:t>далих</w:t>
      </w:r>
      <w:proofErr w:type="spellEnd"/>
      <w:r>
        <w:t xml:space="preserve"> із таким переломом і частота незрощення відламків становила 9,4 і 12,8 % відповідно, остео</w:t>
      </w:r>
      <w:r>
        <w:softHyphen/>
        <w:t xml:space="preserve">мієліту — 3,5 і 7,7 % (табл. 4). Ураховуючи, що переломи стегнової кістки здебільшого закриті, а занурений </w:t>
      </w:r>
      <w:r>
        <w:rPr>
          <w:lang w:val="ru-RU" w:eastAsia="ru-RU" w:bidi="ru-RU"/>
        </w:rPr>
        <w:t xml:space="preserve">остеосинтез </w:t>
      </w:r>
      <w:r>
        <w:t>не виконують у разі від</w:t>
      </w:r>
      <w:r>
        <w:softHyphen/>
        <w:t>критого перелому, то можна думати про ятроген</w:t>
      </w:r>
      <w:r>
        <w:softHyphen/>
        <w:t>не походження остеомієліту.</w:t>
      </w:r>
    </w:p>
    <w:p w:rsidR="00E14225" w:rsidRDefault="006C6A20">
      <w:pPr>
        <w:pStyle w:val="Bodytext20"/>
        <w:shd w:val="clear" w:color="auto" w:fill="auto"/>
        <w:spacing w:after="0" w:line="259" w:lineRule="exact"/>
        <w:ind w:firstLine="320"/>
        <w:jc w:val="both"/>
      </w:pPr>
      <w:r>
        <w:t xml:space="preserve">У групі пацієнтів із множинними переломами частота ускладнень після </w:t>
      </w:r>
      <w:proofErr w:type="spellStart"/>
      <w:r>
        <w:t>діафізарних</w:t>
      </w:r>
      <w:proofErr w:type="spellEnd"/>
      <w:r>
        <w:t xml:space="preserve"> переломів кісток гомілки "бо стегнової кістки була такою: у підгрупі, де </w:t>
      </w:r>
      <w:proofErr w:type="spellStart"/>
      <w:r>
        <w:t>діафізарний</w:t>
      </w:r>
      <w:proofErr w:type="spellEnd"/>
      <w:r>
        <w:t xml:space="preserve"> перелом стегнової кіст</w:t>
      </w:r>
      <w:r>
        <w:softHyphen/>
        <w:t>ки поєднувався з переломами іншої локалізації, частота його незрощення становила 14 %. У під</w:t>
      </w:r>
      <w:r>
        <w:softHyphen/>
        <w:t xml:space="preserve">групі з поєднанням </w:t>
      </w:r>
      <w:proofErr w:type="spellStart"/>
      <w:r>
        <w:t>діафізарного</w:t>
      </w:r>
      <w:proofErr w:type="spellEnd"/>
      <w:r>
        <w:t xml:space="preserve"> перелому кісток гомілки з іншими незрощення виявлено у 12,5 % випадків. Як ми бачимо, це збігається з частотою вказаного ускладнення у хворих з ізольованим переломом кісток гомілки або стегнової кістки.</w:t>
      </w:r>
    </w:p>
    <w:p w:rsidR="00E14225" w:rsidRDefault="006C6A20">
      <w:pPr>
        <w:pStyle w:val="Bodytext20"/>
        <w:shd w:val="clear" w:color="auto" w:fill="auto"/>
        <w:spacing w:after="0" w:line="259" w:lineRule="exact"/>
        <w:ind w:firstLine="320"/>
        <w:jc w:val="both"/>
      </w:pPr>
      <w:r>
        <w:t>На відміну від переломів нижньої кінцівки пере</w:t>
      </w:r>
      <w:r>
        <w:softHyphen/>
        <w:t>ломи верхньої були майже у всіх хворих ізольова</w:t>
      </w:r>
      <w:r>
        <w:softHyphen/>
        <w:t>ними. Результати аналізу наводимо в табл. 5 та 6.</w:t>
      </w:r>
    </w:p>
    <w:p w:rsidR="00E14225" w:rsidRDefault="006C6A20">
      <w:pPr>
        <w:pStyle w:val="Bodytext20"/>
        <w:shd w:val="clear" w:color="auto" w:fill="auto"/>
        <w:spacing w:after="0" w:line="259" w:lineRule="exact"/>
        <w:ind w:firstLine="320"/>
        <w:jc w:val="both"/>
      </w:pPr>
      <w:r>
        <w:t>Підсумовуючи проведений статистичний аналіз зазначимо, що не виявлено різниці між частотою виникнення незрощень за умов лікування на</w:t>
      </w:r>
      <w:r>
        <w:softHyphen/>
        <w:t xml:space="preserve">кістковим </w:t>
      </w:r>
      <w:r w:rsidRPr="00D1671C">
        <w:rPr>
          <w:lang w:eastAsia="ru-RU" w:bidi="ru-RU"/>
        </w:rPr>
        <w:t xml:space="preserve">остеосинтезом, </w:t>
      </w:r>
      <w:proofErr w:type="spellStart"/>
      <w:r>
        <w:t>інтрамедулярним</w:t>
      </w:r>
      <w:proofErr w:type="spellEnd"/>
      <w:r>
        <w:t xml:space="preserve"> бло</w:t>
      </w:r>
      <w:r>
        <w:softHyphen/>
        <w:t>куванням або стрижневим апаратом (%</w:t>
      </w:r>
      <w:r>
        <w:rPr>
          <w:vertAlign w:val="superscript"/>
        </w:rPr>
        <w:t>2</w:t>
      </w:r>
      <w:r>
        <w:t xml:space="preserve"> = 2,956; р = 0,229) у пацієнтів із </w:t>
      </w:r>
      <w:proofErr w:type="spellStart"/>
      <w:r>
        <w:t>діафізарним</w:t>
      </w:r>
      <w:proofErr w:type="spellEnd"/>
      <w:r>
        <w:t xml:space="preserve"> переломом плечової кістки (табл. 5).</w:t>
      </w:r>
    </w:p>
    <w:p w:rsidR="00E14225" w:rsidRDefault="006C6A20">
      <w:pPr>
        <w:pStyle w:val="Bodytext20"/>
        <w:shd w:val="clear" w:color="auto" w:fill="auto"/>
        <w:spacing w:after="0" w:line="259" w:lineRule="exact"/>
        <w:ind w:firstLine="320"/>
        <w:jc w:val="both"/>
      </w:pPr>
      <w:r>
        <w:t>Слід прокоментувати підгрупи хворих із пе</w:t>
      </w:r>
      <w:r>
        <w:softHyphen/>
        <w:t>реломами на рівні верхньої кінцівки, яких ліку</w:t>
      </w:r>
      <w:r>
        <w:softHyphen/>
        <w:t xml:space="preserve">вали з використанням накісткового </w:t>
      </w:r>
      <w:r w:rsidRPr="00D1671C">
        <w:rPr>
          <w:lang w:eastAsia="ru-RU" w:bidi="ru-RU"/>
        </w:rPr>
        <w:t>остеосинте</w:t>
      </w:r>
      <w:r w:rsidRPr="00D1671C">
        <w:rPr>
          <w:lang w:eastAsia="ru-RU" w:bidi="ru-RU"/>
        </w:rPr>
        <w:softHyphen/>
        <w:t xml:space="preserve">зу, </w:t>
      </w:r>
      <w:r>
        <w:t>оскільки це була основна методика фіксації:</w:t>
      </w:r>
    </w:p>
    <w:p w:rsidR="00E14225" w:rsidRDefault="006C6A20">
      <w:pPr>
        <w:pStyle w:val="Bodytext20"/>
        <w:numPr>
          <w:ilvl w:val="0"/>
          <w:numId w:val="5"/>
        </w:numPr>
        <w:shd w:val="clear" w:color="auto" w:fill="auto"/>
        <w:tabs>
          <w:tab w:val="left" w:pos="495"/>
        </w:tabs>
        <w:spacing w:after="151" w:line="259" w:lineRule="exact"/>
        <w:jc w:val="both"/>
      </w:pPr>
      <w:r>
        <w:t>% переломів плечової кістки, 100,0 % — кіс</w:t>
      </w:r>
      <w:r>
        <w:softHyphen/>
        <w:t xml:space="preserve">ток передпліччя. Частота незрощення відламків після накісткового </w:t>
      </w:r>
      <w:r>
        <w:rPr>
          <w:lang w:val="ru-RU" w:eastAsia="ru-RU" w:bidi="ru-RU"/>
        </w:rPr>
        <w:t xml:space="preserve">остеосинтезу </w:t>
      </w:r>
      <w:r>
        <w:t>плечової кістки становила 19,1 %, кісток передпліччя — 28,6 % (табл. 5, 6). Ще одним тяжким частим ускладнен</w:t>
      </w:r>
      <w:r>
        <w:softHyphen/>
        <w:t xml:space="preserve">ням після накісткового </w:t>
      </w:r>
      <w:r>
        <w:rPr>
          <w:lang w:val="ru-RU" w:eastAsia="ru-RU" w:bidi="ru-RU"/>
        </w:rPr>
        <w:t xml:space="preserve">остеосинтезу </w:t>
      </w:r>
      <w:r>
        <w:t xml:space="preserve">виявилася </w:t>
      </w:r>
      <w:proofErr w:type="spellStart"/>
      <w:r>
        <w:t>нейропатія</w:t>
      </w:r>
      <w:proofErr w:type="spellEnd"/>
      <w:r>
        <w:t xml:space="preserve"> променевого </w:t>
      </w:r>
      <w:proofErr w:type="spellStart"/>
      <w:r>
        <w:t>нерва</w:t>
      </w:r>
      <w:proofErr w:type="spellEnd"/>
      <w:r>
        <w:t xml:space="preserve"> — 25 і 26,5 % від</w:t>
      </w:r>
      <w:r>
        <w:softHyphen/>
        <w:t xml:space="preserve">повідно. Про її виникнення саме через операцію накісткового </w:t>
      </w:r>
      <w:r>
        <w:rPr>
          <w:lang w:val="ru-RU" w:eastAsia="ru-RU" w:bidi="ru-RU"/>
        </w:rPr>
        <w:t xml:space="preserve">остеосинтезу </w:t>
      </w:r>
      <w:r>
        <w:t xml:space="preserve">свідчить наступне: за нашими даними частота первинної </w:t>
      </w:r>
      <w:proofErr w:type="spellStart"/>
      <w:r>
        <w:t>нейропа</w:t>
      </w:r>
      <w:proofErr w:type="spellEnd"/>
      <w:r>
        <w:t xml:space="preserve">- </w:t>
      </w:r>
      <w:proofErr w:type="spellStart"/>
      <w:r>
        <w:t>тії</w:t>
      </w:r>
      <w:proofErr w:type="spellEnd"/>
      <w:r>
        <w:t xml:space="preserve"> променевого </w:t>
      </w:r>
      <w:proofErr w:type="spellStart"/>
      <w:r>
        <w:t>нерва</w:t>
      </w:r>
      <w:proofErr w:type="spellEnd"/>
      <w:r>
        <w:t xml:space="preserve"> після перелому плечової кістки становить 5 % [5, 6], що значно менше, ніж у протоколах МСЕК. У разі переломів кісток пе</w:t>
      </w:r>
      <w:r>
        <w:softHyphen/>
        <w:t>редпліччя глибока гілка променевого нерву пер</w:t>
      </w:r>
      <w:r>
        <w:softHyphen/>
        <w:t xml:space="preserve">вино ушкоджується дуже </w:t>
      </w:r>
      <w:proofErr w:type="spellStart"/>
      <w:r>
        <w:t>рідко</w:t>
      </w:r>
      <w:proofErr w:type="spellEnd"/>
      <w:r>
        <w:t xml:space="preserve"> та значно більша ймовірність її травми існує під час хірургічного доступу до проксимальної частини променевої кістки. Як ми бачимо з табл. 5, у випадку вико</w:t>
      </w:r>
      <w:r>
        <w:softHyphen/>
        <w:t xml:space="preserve">нання </w:t>
      </w:r>
      <w:proofErr w:type="spellStart"/>
      <w:r>
        <w:t>інтрамедулярного</w:t>
      </w:r>
      <w:proofErr w:type="spellEnd"/>
      <w:r>
        <w:t xml:space="preserve"> </w:t>
      </w:r>
      <w:r>
        <w:rPr>
          <w:lang w:val="ru-RU" w:eastAsia="ru-RU" w:bidi="ru-RU"/>
        </w:rPr>
        <w:t xml:space="preserve">остеосинтезу </w:t>
      </w:r>
      <w:r>
        <w:t>відламків плечової кістки (коли не було широкого доступу) вказане ускладнення не виникало.</w:t>
      </w:r>
    </w:p>
    <w:p w:rsidR="00E14225" w:rsidRDefault="006C6A20">
      <w:pPr>
        <w:pStyle w:val="Heading50"/>
        <w:keepNext/>
        <w:keepLines/>
        <w:shd w:val="clear" w:color="auto" w:fill="auto"/>
        <w:spacing w:before="0" w:after="27" w:line="220" w:lineRule="exact"/>
        <w:ind w:firstLine="0"/>
        <w:jc w:val="both"/>
      </w:pPr>
      <w:bookmarkStart w:id="4" w:name="bookmark3"/>
      <w:r>
        <w:t>Висновки</w:t>
      </w:r>
      <w:bookmarkEnd w:id="4"/>
    </w:p>
    <w:p w:rsidR="00E14225" w:rsidRDefault="006C6A20">
      <w:pPr>
        <w:pStyle w:val="Bodytext20"/>
        <w:shd w:val="clear" w:color="auto" w:fill="auto"/>
        <w:spacing w:after="0" w:line="259" w:lineRule="exact"/>
        <w:ind w:firstLine="320"/>
        <w:jc w:val="both"/>
      </w:pPr>
      <w:r>
        <w:t xml:space="preserve">Найпоширенішим способом фіксації відламків у разі ізольованих </w:t>
      </w:r>
      <w:proofErr w:type="spellStart"/>
      <w:r>
        <w:t>діафізарних</w:t>
      </w:r>
      <w:proofErr w:type="spellEnd"/>
      <w:r>
        <w:t xml:space="preserve"> переломів виявив</w:t>
      </w:r>
      <w:r>
        <w:softHyphen/>
        <w:t xml:space="preserve">ся накістковий </w:t>
      </w:r>
      <w:r w:rsidRPr="00D1671C">
        <w:rPr>
          <w:lang w:eastAsia="ru-RU" w:bidi="ru-RU"/>
        </w:rPr>
        <w:t xml:space="preserve">остеосинтез. </w:t>
      </w:r>
      <w:r>
        <w:t>Його використано у 36,6 % постраждалих з ізольованим перело</w:t>
      </w:r>
      <w:r>
        <w:softHyphen/>
        <w:t>мом кісток гомілки, у 64,9 % — стегнової кістки,</w:t>
      </w:r>
    </w:p>
    <w:p w:rsidR="00E14225" w:rsidRDefault="006C6A20">
      <w:pPr>
        <w:pStyle w:val="Bodytext20"/>
        <w:numPr>
          <w:ilvl w:val="0"/>
          <w:numId w:val="6"/>
        </w:numPr>
        <w:shd w:val="clear" w:color="auto" w:fill="auto"/>
        <w:tabs>
          <w:tab w:val="left" w:pos="481"/>
        </w:tabs>
        <w:spacing w:after="0" w:line="259" w:lineRule="exact"/>
        <w:jc w:val="both"/>
      </w:pPr>
      <w:r>
        <w:t>% — плечової, 100,0 % — кісток передпліччя.</w:t>
      </w:r>
    </w:p>
    <w:p w:rsidR="00E14225" w:rsidRDefault="006C6A20">
      <w:pPr>
        <w:pStyle w:val="Bodytext20"/>
        <w:shd w:val="clear" w:color="auto" w:fill="auto"/>
        <w:spacing w:after="0" w:line="254" w:lineRule="exact"/>
        <w:jc w:val="both"/>
      </w:pPr>
      <w:r>
        <w:rPr>
          <w:lang w:val="ru-RU" w:eastAsia="ru-RU" w:bidi="ru-RU"/>
        </w:rPr>
        <w:t xml:space="preserve">Другим за частотою </w:t>
      </w:r>
      <w:r>
        <w:t xml:space="preserve">визначено застосування </w:t>
      </w:r>
      <w:proofErr w:type="spellStart"/>
      <w:r>
        <w:t>інт</w:t>
      </w:r>
      <w:proofErr w:type="spellEnd"/>
      <w:r>
        <w:t xml:space="preserve">- </w:t>
      </w:r>
      <w:proofErr w:type="spellStart"/>
      <w:r>
        <w:rPr>
          <w:lang w:val="ru-RU" w:eastAsia="ru-RU" w:bidi="ru-RU"/>
        </w:rPr>
        <w:t>рамедулярного</w:t>
      </w:r>
      <w:proofErr w:type="spellEnd"/>
      <w:r>
        <w:rPr>
          <w:lang w:val="ru-RU" w:eastAsia="ru-RU" w:bidi="ru-RU"/>
        </w:rPr>
        <w:t xml:space="preserve"> </w:t>
      </w:r>
      <w:r>
        <w:t xml:space="preserve">блокованого </w:t>
      </w:r>
      <w:r>
        <w:rPr>
          <w:lang w:val="ru-RU" w:eastAsia="ru-RU" w:bidi="ru-RU"/>
        </w:rPr>
        <w:t xml:space="preserve">остеосинтезу. </w:t>
      </w:r>
      <w:r>
        <w:t>Апара</w:t>
      </w:r>
      <w:r>
        <w:softHyphen/>
        <w:t>ти зовнішньої фіксації та гіпсову пов’язку вико</w:t>
      </w:r>
      <w:r>
        <w:softHyphen/>
        <w:t>ристано в основному для стабілізації переломів кісток гомілки.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 xml:space="preserve">Головним ускладненням лікування </w:t>
      </w:r>
      <w:proofErr w:type="spellStart"/>
      <w:r>
        <w:t>діафізар</w:t>
      </w:r>
      <w:proofErr w:type="spellEnd"/>
      <w:r>
        <w:t>- них переломів було незрощення відламків, яке супроводжувалося відсутністю суцільного кіст</w:t>
      </w:r>
      <w:r>
        <w:softHyphen/>
        <w:t>кового регенерату та їхньою патологічною ру</w:t>
      </w:r>
      <w:r>
        <w:softHyphen/>
        <w:t xml:space="preserve">хомістю. Частота незрощень після накісткового </w:t>
      </w:r>
      <w:r w:rsidRPr="00D1671C">
        <w:rPr>
          <w:lang w:eastAsia="ru-RU" w:bidi="ru-RU"/>
        </w:rPr>
        <w:t xml:space="preserve">остеосинтезу </w:t>
      </w:r>
      <w:r>
        <w:t>переломів кісток гомілки складала 11.9 %, стегнової кістки — 9,4 %, плечової кіст</w:t>
      </w:r>
      <w:r>
        <w:softHyphen/>
        <w:t xml:space="preserve">ки — 19,1 %, передпліччя — 28,6 %; після </w:t>
      </w:r>
      <w:proofErr w:type="spellStart"/>
      <w:r>
        <w:t>інт</w:t>
      </w:r>
      <w:proofErr w:type="spellEnd"/>
      <w:r>
        <w:t xml:space="preserve">- </w:t>
      </w:r>
      <w:proofErr w:type="spellStart"/>
      <w:r>
        <w:t>рамедулярного</w:t>
      </w:r>
      <w:proofErr w:type="spellEnd"/>
      <w:r>
        <w:t xml:space="preserve"> блокованого </w:t>
      </w:r>
      <w:r w:rsidRPr="00D1671C">
        <w:rPr>
          <w:lang w:eastAsia="ru-RU" w:bidi="ru-RU"/>
        </w:rPr>
        <w:t xml:space="preserve">остеосинтезу </w:t>
      </w:r>
      <w:r>
        <w:t>кісток гомілки або стегнової кістки — 16 та 12,8 % від</w:t>
      </w:r>
      <w:r>
        <w:softHyphen/>
        <w:t xml:space="preserve">повідно. У результаті лікування переломів кісток гомілки за допомогою гіпсової пов’язки </w:t>
      </w:r>
      <w:proofErr w:type="spellStart"/>
      <w:r>
        <w:t>виникло</w:t>
      </w:r>
      <w:proofErr w:type="spellEnd"/>
      <w:r>
        <w:t xml:space="preserve"> </w:t>
      </w:r>
      <w:r>
        <w:rPr>
          <w:rStyle w:val="Bodytext2105pt"/>
        </w:rPr>
        <w:t>~.6 %</w:t>
      </w:r>
      <w:r>
        <w:t xml:space="preserve"> незрощень, стрижневого апарата — 3 %, апарата </w:t>
      </w:r>
      <w:proofErr w:type="spellStart"/>
      <w:r>
        <w:t>Ілізарова</w:t>
      </w:r>
      <w:proofErr w:type="spellEnd"/>
      <w:r>
        <w:t>— 18,4 %.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t xml:space="preserve">У хворих із переломом плечової кістки або кісток передпліччя в разі використання накісткового </w:t>
      </w:r>
      <w:r>
        <w:rPr>
          <w:lang w:val="ru-RU" w:eastAsia="ru-RU" w:bidi="ru-RU"/>
        </w:rPr>
        <w:t>остео</w:t>
      </w:r>
      <w:r>
        <w:rPr>
          <w:lang w:val="ru-RU" w:eastAsia="ru-RU" w:bidi="ru-RU"/>
        </w:rPr>
        <w:softHyphen/>
        <w:t xml:space="preserve">синтезу </w:t>
      </w:r>
      <w:r>
        <w:t xml:space="preserve">зафіксовано </w:t>
      </w:r>
      <w:proofErr w:type="spellStart"/>
      <w:r>
        <w:t>нейропатію</w:t>
      </w:r>
      <w:proofErr w:type="spellEnd"/>
      <w:r>
        <w:t xml:space="preserve"> променевого </w:t>
      </w:r>
      <w:proofErr w:type="spellStart"/>
      <w:r>
        <w:t>нерва</w:t>
      </w:r>
      <w:proofErr w:type="spellEnd"/>
      <w:r>
        <w:t>.</w:t>
      </w:r>
    </w:p>
    <w:p w:rsidR="00E14225" w:rsidRDefault="006C6A20">
      <w:pPr>
        <w:pStyle w:val="Bodytext20"/>
        <w:shd w:val="clear" w:color="auto" w:fill="auto"/>
        <w:spacing w:after="0" w:line="254" w:lineRule="exact"/>
        <w:ind w:firstLine="320"/>
        <w:jc w:val="both"/>
      </w:pPr>
      <w:r>
        <w:lastRenderedPageBreak/>
        <w:t xml:space="preserve">Після застосування зануреного </w:t>
      </w:r>
      <w:r w:rsidRPr="00D1671C">
        <w:rPr>
          <w:lang w:eastAsia="ru-RU" w:bidi="ru-RU"/>
        </w:rPr>
        <w:t xml:space="preserve">остеосинтезу </w:t>
      </w:r>
      <w:r>
        <w:t>остеомієліт виявлено у 14,3 % хворих з перело</w:t>
      </w:r>
      <w:r>
        <w:softHyphen/>
        <w:t>мом кісток гомілки, 11,2 % — стегнової, 2,9 % — плечової, 4,1 % — передпліччя.</w:t>
      </w:r>
    </w:p>
    <w:p w:rsidR="00E14225" w:rsidRPr="00D1671C" w:rsidRDefault="006C6A20">
      <w:pPr>
        <w:pStyle w:val="Bodytext30"/>
        <w:shd w:val="clear" w:color="auto" w:fill="auto"/>
        <w:spacing w:after="15" w:line="170" w:lineRule="exact"/>
        <w:ind w:firstLine="0"/>
        <w:jc w:val="right"/>
        <w:rPr>
          <w:lang w:val="ru-RU"/>
        </w:rPr>
      </w:pPr>
      <w:r>
        <w:rPr>
          <w:rStyle w:val="Bodytext3Bold"/>
        </w:rPr>
        <w:t xml:space="preserve">Конфлікт інтересів. </w:t>
      </w:r>
      <w:r>
        <w:rPr>
          <w:lang w:val="uk-UA" w:eastAsia="uk-UA" w:bidi="uk-UA"/>
        </w:rPr>
        <w:t>Автори декларують відсутність</w:t>
      </w:r>
    </w:p>
    <w:p w:rsidR="00E14225" w:rsidRPr="00D1671C" w:rsidRDefault="006C6A20">
      <w:pPr>
        <w:pStyle w:val="Bodytext30"/>
        <w:shd w:val="clear" w:color="auto" w:fill="auto"/>
        <w:spacing w:after="133" w:line="170" w:lineRule="exact"/>
        <w:ind w:left="360"/>
        <w:rPr>
          <w:lang w:val="ru-RU"/>
        </w:rPr>
      </w:pPr>
      <w:r>
        <w:rPr>
          <w:lang w:val="uk-UA" w:eastAsia="uk-UA" w:bidi="uk-UA"/>
        </w:rPr>
        <w:t>конфлікту інтересів.</w:t>
      </w:r>
    </w:p>
    <w:p w:rsidR="00E14225" w:rsidRDefault="006C6A20">
      <w:pPr>
        <w:pStyle w:val="Heading50"/>
        <w:keepNext/>
        <w:keepLines/>
        <w:shd w:val="clear" w:color="auto" w:fill="auto"/>
        <w:spacing w:before="0" w:after="0" w:line="220" w:lineRule="exact"/>
        <w:ind w:left="360"/>
        <w:jc w:val="both"/>
      </w:pPr>
      <w:bookmarkStart w:id="5" w:name="bookmark4"/>
      <w:r>
        <w:t>Список літератури</w:t>
      </w:r>
      <w:bookmarkEnd w:id="5"/>
    </w:p>
    <w:p w:rsidR="00E14225" w:rsidRDefault="006C6A20">
      <w:pPr>
        <w:pStyle w:val="Bodytext30"/>
        <w:numPr>
          <w:ilvl w:val="0"/>
          <w:numId w:val="7"/>
        </w:numPr>
        <w:shd w:val="clear" w:color="auto" w:fill="auto"/>
        <w:tabs>
          <w:tab w:val="left" w:pos="333"/>
        </w:tabs>
        <w:spacing w:after="0" w:line="197" w:lineRule="exact"/>
        <w:ind w:left="360"/>
      </w:pPr>
      <w:r>
        <w:t xml:space="preserve">Delayed union and </w:t>
      </w:r>
      <w:proofErr w:type="spellStart"/>
      <w:r>
        <w:t>nonunions</w:t>
      </w:r>
      <w:proofErr w:type="spellEnd"/>
      <w:r>
        <w:t>: Epidemiology, clinical is</w:t>
      </w:r>
      <w:r>
        <w:softHyphen/>
        <w:t xml:space="preserve">sues, and financial aspects </w:t>
      </w:r>
      <w:r>
        <w:rPr>
          <w:lang w:val="uk-UA" w:eastAsia="uk-UA" w:bidi="uk-UA"/>
        </w:rPr>
        <w:t xml:space="preserve">/ </w:t>
      </w:r>
      <w:r>
        <w:t xml:space="preserve">D. </w:t>
      </w:r>
      <w:proofErr w:type="spellStart"/>
      <w:r>
        <w:t>Hak</w:t>
      </w:r>
      <w:proofErr w:type="spellEnd"/>
      <w:r>
        <w:t xml:space="preserve">, D. Fitzpatrick, J. Bishop [et al.] </w:t>
      </w:r>
      <w:r>
        <w:rPr>
          <w:lang w:val="uk-UA" w:eastAsia="uk-UA" w:bidi="uk-UA"/>
        </w:rPr>
        <w:t xml:space="preserve">// </w:t>
      </w:r>
      <w:r>
        <w:t>Injury. — 2014. — Vol. 45 (Suppl. 2). — P. S3-S7. — DOI: 10.1016/j.injury.2014.04.002.</w:t>
      </w:r>
    </w:p>
    <w:p w:rsidR="00E14225" w:rsidRDefault="006C6A20">
      <w:pPr>
        <w:pStyle w:val="Bodytext30"/>
        <w:numPr>
          <w:ilvl w:val="0"/>
          <w:numId w:val="7"/>
        </w:numPr>
        <w:shd w:val="clear" w:color="auto" w:fill="auto"/>
        <w:tabs>
          <w:tab w:val="left" w:pos="333"/>
        </w:tabs>
        <w:spacing w:after="0" w:line="197" w:lineRule="exact"/>
        <w:ind w:left="360"/>
      </w:pPr>
      <w:r>
        <w:t xml:space="preserve">Incidence, Costs and Predictors </w:t>
      </w:r>
      <w:proofErr w:type="spellStart"/>
      <w:r>
        <w:t>ofNon</w:t>
      </w:r>
      <w:proofErr w:type="spellEnd"/>
      <w:r>
        <w:t xml:space="preserve">-Union, Delayed Union and Mal-Union Following Long Bone Fracture </w:t>
      </w:r>
      <w:r>
        <w:rPr>
          <w:lang w:val="uk-UA" w:eastAsia="uk-UA" w:bidi="uk-UA"/>
        </w:rPr>
        <w:t xml:space="preserve">/ </w:t>
      </w:r>
      <w:r>
        <w:t xml:space="preserve">C. L. </w:t>
      </w:r>
      <w:proofErr w:type="spellStart"/>
      <w:r>
        <w:t>Ekegren</w:t>
      </w:r>
      <w:proofErr w:type="spellEnd"/>
      <w:r>
        <w:t xml:space="preserve">, E. R. Edwards, R. De </w:t>
      </w:r>
      <w:proofErr w:type="spellStart"/>
      <w:r>
        <w:t>Steiger</w:t>
      </w:r>
      <w:proofErr w:type="spellEnd"/>
      <w:r>
        <w:t xml:space="preserve">, B. J. </w:t>
      </w:r>
      <w:proofErr w:type="spellStart"/>
      <w:r>
        <w:t>Gabbe</w:t>
      </w:r>
      <w:proofErr w:type="spellEnd"/>
      <w:r>
        <w:t xml:space="preserve"> </w:t>
      </w:r>
      <w:r>
        <w:rPr>
          <w:lang w:val="uk-UA" w:eastAsia="uk-UA" w:bidi="uk-UA"/>
        </w:rPr>
        <w:t xml:space="preserve">// </w:t>
      </w:r>
      <w:r>
        <w:t>International Journal of Environmental Research and Public Health. — 2018</w:t>
      </w:r>
      <w:proofErr w:type="gramStart"/>
      <w:r>
        <w:t>.—</w:t>
      </w:r>
      <w:proofErr w:type="gramEnd"/>
      <w:r>
        <w:t xml:space="preserve"> Vol. 15(12).—Article ID: 2845.— DOI: </w:t>
      </w:r>
      <w:r>
        <w:rPr>
          <w:lang w:val="uk-UA" w:eastAsia="uk-UA" w:bidi="uk-UA"/>
        </w:rPr>
        <w:t xml:space="preserve">10.3390/ </w:t>
      </w:r>
      <w:r>
        <w:t>ijerphl5122845.</w:t>
      </w:r>
    </w:p>
    <w:p w:rsidR="00E14225" w:rsidRDefault="006C6A20">
      <w:pPr>
        <w:pStyle w:val="Bodytext30"/>
        <w:numPr>
          <w:ilvl w:val="0"/>
          <w:numId w:val="7"/>
        </w:numPr>
        <w:shd w:val="clear" w:color="auto" w:fill="auto"/>
        <w:tabs>
          <w:tab w:val="left" w:pos="333"/>
        </w:tabs>
        <w:spacing w:after="0" w:line="197" w:lineRule="exact"/>
        <w:ind w:left="360"/>
      </w:pPr>
      <w:proofErr w:type="spellStart"/>
      <w:r>
        <w:t>Diaphyseal</w:t>
      </w:r>
      <w:proofErr w:type="spellEnd"/>
      <w:r>
        <w:t xml:space="preserve"> long bone </w:t>
      </w:r>
      <w:proofErr w:type="spellStart"/>
      <w:r>
        <w:t>nonunions</w:t>
      </w:r>
      <w:proofErr w:type="spellEnd"/>
      <w:r>
        <w:t xml:space="preserve"> — types, </w:t>
      </w:r>
      <w:proofErr w:type="spellStart"/>
      <w:r>
        <w:t>aetiology</w:t>
      </w:r>
      <w:proofErr w:type="spellEnd"/>
      <w:r>
        <w:t xml:space="preserve">, economics, and treatment recommendations </w:t>
      </w:r>
      <w:r>
        <w:rPr>
          <w:lang w:val="uk-UA" w:eastAsia="uk-UA" w:bidi="uk-UA"/>
        </w:rPr>
        <w:t xml:space="preserve">/ </w:t>
      </w:r>
      <w:r>
        <w:t xml:space="preserve">M. Rupp, C. </w:t>
      </w:r>
      <w:proofErr w:type="spellStart"/>
      <w:r>
        <w:t>Biehl</w:t>
      </w:r>
      <w:proofErr w:type="spellEnd"/>
      <w:r>
        <w:t xml:space="preserve">, M. </w:t>
      </w:r>
      <w:proofErr w:type="spellStart"/>
      <w:r>
        <w:t>Budak</w:t>
      </w:r>
      <w:proofErr w:type="spellEnd"/>
      <w:r>
        <w:t xml:space="preserve"> </w:t>
      </w:r>
      <w:r>
        <w:t xml:space="preserve">[et al.] </w:t>
      </w:r>
      <w:r>
        <w:rPr>
          <w:lang w:val="uk-UA" w:eastAsia="uk-UA" w:bidi="uk-UA"/>
        </w:rPr>
        <w:t xml:space="preserve">// </w:t>
      </w:r>
      <w:r>
        <w:t xml:space="preserve">International </w:t>
      </w:r>
      <w:proofErr w:type="spellStart"/>
      <w:r>
        <w:t>Orthopaedics</w:t>
      </w:r>
      <w:proofErr w:type="spellEnd"/>
      <w:r>
        <w:t xml:space="preserve"> (SICOT). — 2018. — Vol. 14. — Article ID: 42. — P. 247-258. — DOI: </w:t>
      </w:r>
      <w:r>
        <w:rPr>
          <w:lang w:val="uk-UA" w:eastAsia="uk-UA" w:bidi="uk-UA"/>
        </w:rPr>
        <w:t xml:space="preserve">10.1007/ </w:t>
      </w:r>
      <w:r>
        <w:t>S00264-017-3734-5.</w:t>
      </w:r>
    </w:p>
    <w:p w:rsidR="00E14225" w:rsidRDefault="006C6A20">
      <w:pPr>
        <w:pStyle w:val="Bodytext30"/>
        <w:numPr>
          <w:ilvl w:val="0"/>
          <w:numId w:val="7"/>
        </w:numPr>
        <w:shd w:val="clear" w:color="auto" w:fill="auto"/>
        <w:tabs>
          <w:tab w:val="left" w:pos="333"/>
        </w:tabs>
        <w:spacing w:after="0" w:line="197" w:lineRule="exact"/>
        <w:ind w:left="360"/>
      </w:pPr>
      <w:r>
        <w:t xml:space="preserve">Tibia shaft fractures: costly burden of </w:t>
      </w:r>
      <w:proofErr w:type="spellStart"/>
      <w:r>
        <w:t>nonunions</w:t>
      </w:r>
      <w:proofErr w:type="spellEnd"/>
      <w:r>
        <w:t xml:space="preserve"> </w:t>
      </w:r>
      <w:r>
        <w:rPr>
          <w:lang w:val="uk-UA" w:eastAsia="uk-UA" w:bidi="uk-UA"/>
        </w:rPr>
        <w:t xml:space="preserve">/ </w:t>
      </w:r>
      <w:r>
        <w:t xml:space="preserve">E. </w:t>
      </w:r>
      <w:proofErr w:type="spellStart"/>
      <w:r>
        <w:t>Antonova</w:t>
      </w:r>
      <w:proofErr w:type="spellEnd"/>
      <w:r>
        <w:t xml:space="preserve">, T. K. Le, R. Burge, J. </w:t>
      </w:r>
      <w:proofErr w:type="spellStart"/>
      <w:r>
        <w:t>Mershon</w:t>
      </w:r>
      <w:proofErr w:type="spellEnd"/>
      <w:r>
        <w:t xml:space="preserve"> </w:t>
      </w:r>
      <w:r>
        <w:rPr>
          <w:lang w:val="uk-UA" w:eastAsia="uk-UA" w:bidi="uk-UA"/>
        </w:rPr>
        <w:t xml:space="preserve">// </w:t>
      </w:r>
      <w:r>
        <w:t xml:space="preserve">Journal BMC Musculoskeletal Disorders. — Vol. 14(1). —DOI: </w:t>
      </w:r>
      <w:r>
        <w:rPr>
          <w:lang w:val="uk-UA" w:eastAsia="uk-UA" w:bidi="uk-UA"/>
        </w:rPr>
        <w:t>10.1186/1471-2474-14-42.</w:t>
      </w:r>
    </w:p>
    <w:p w:rsidR="00E14225" w:rsidRPr="00D1671C" w:rsidRDefault="006C6A20">
      <w:pPr>
        <w:pStyle w:val="Bodytext30"/>
        <w:numPr>
          <w:ilvl w:val="0"/>
          <w:numId w:val="7"/>
        </w:numPr>
        <w:shd w:val="clear" w:color="auto" w:fill="auto"/>
        <w:tabs>
          <w:tab w:val="left" w:pos="333"/>
        </w:tabs>
        <w:spacing w:after="0" w:line="197" w:lineRule="exact"/>
        <w:ind w:left="360"/>
        <w:rPr>
          <w:lang w:val="ru-RU"/>
        </w:rPr>
      </w:pPr>
      <w:proofErr w:type="spellStart"/>
      <w:r>
        <w:rPr>
          <w:lang w:val="uk-UA" w:eastAsia="uk-UA" w:bidi="uk-UA"/>
        </w:rPr>
        <w:t>Попсуйшапка</w:t>
      </w:r>
      <w:proofErr w:type="spellEnd"/>
      <w:r>
        <w:rPr>
          <w:lang w:val="uk-UA" w:eastAsia="uk-UA" w:bidi="uk-UA"/>
        </w:rPr>
        <w:t xml:space="preserve"> </w:t>
      </w:r>
      <w:r>
        <w:t>A</w:t>
      </w:r>
      <w:r w:rsidRPr="00D1671C">
        <w:rPr>
          <w:lang w:val="ru-RU"/>
        </w:rPr>
        <w:t xml:space="preserve">. </w:t>
      </w:r>
      <w:r>
        <w:t>K</w:t>
      </w:r>
      <w:r w:rsidRPr="00D1671C">
        <w:rPr>
          <w:lang w:val="ru-RU"/>
        </w:rPr>
        <w:t xml:space="preserve">. </w:t>
      </w:r>
      <w:r>
        <w:rPr>
          <w:lang w:val="uk-UA" w:eastAsia="uk-UA" w:bidi="uk-UA"/>
        </w:rPr>
        <w:t xml:space="preserve">Частота </w:t>
      </w:r>
      <w:proofErr w:type="spellStart"/>
      <w:r>
        <w:rPr>
          <w:lang w:val="ru-RU" w:eastAsia="ru-RU" w:bidi="ru-RU"/>
        </w:rPr>
        <w:t>несращения</w:t>
      </w:r>
      <w:proofErr w:type="spellEnd"/>
      <w:r>
        <w:rPr>
          <w:lang w:val="ru-RU" w:eastAsia="ru-RU" w:bidi="ru-RU"/>
        </w:rPr>
        <w:t xml:space="preserve"> отломков при изолированных </w:t>
      </w:r>
      <w:proofErr w:type="spellStart"/>
      <w:r>
        <w:rPr>
          <w:lang w:val="ru-RU" w:eastAsia="ru-RU" w:bidi="ru-RU"/>
        </w:rPr>
        <w:t>диафизарных</w:t>
      </w:r>
      <w:proofErr w:type="spellEnd"/>
      <w:r>
        <w:rPr>
          <w:lang w:val="ru-RU" w:eastAsia="ru-RU" w:bidi="ru-RU"/>
        </w:rPr>
        <w:t xml:space="preserve"> переломах длинных костей конечностей / А. К. Попсуйшапка, О. Е. </w:t>
      </w:r>
      <w:proofErr w:type="spellStart"/>
      <w:r>
        <w:rPr>
          <w:lang w:val="ru-RU" w:eastAsia="ru-RU" w:bidi="ru-RU"/>
        </w:rPr>
        <w:t>Ужегова</w:t>
      </w:r>
      <w:proofErr w:type="spellEnd"/>
      <w:r>
        <w:rPr>
          <w:lang w:val="ru-RU" w:eastAsia="ru-RU" w:bidi="ru-RU"/>
        </w:rPr>
        <w:t xml:space="preserve">, В. А. Лит- </w:t>
      </w:r>
      <w:proofErr w:type="spellStart"/>
      <w:r>
        <w:rPr>
          <w:lang w:val="ru-RU" w:eastAsia="ru-RU" w:bidi="ru-RU"/>
        </w:rPr>
        <w:t>вишко</w:t>
      </w:r>
      <w:proofErr w:type="spellEnd"/>
      <w:r>
        <w:rPr>
          <w:lang w:val="ru-RU" w:eastAsia="ru-RU" w:bidi="ru-RU"/>
        </w:rPr>
        <w:t xml:space="preserve"> // Ортопедия, травматология и протезирование. — 2013. — № 1 (590). — С. 39-43. — </w:t>
      </w:r>
      <w:r>
        <w:t>DOI</w:t>
      </w:r>
      <w:r w:rsidRPr="00D1671C">
        <w:rPr>
          <w:lang w:val="ru-RU"/>
        </w:rPr>
        <w:t xml:space="preserve">: </w:t>
      </w:r>
      <w:r>
        <w:rPr>
          <w:lang w:val="ru-RU" w:eastAsia="ru-RU" w:bidi="ru-RU"/>
        </w:rPr>
        <w:t>10.15674/0030- 59872013139.</w:t>
      </w:r>
    </w:p>
    <w:p w:rsidR="00E14225" w:rsidRPr="00D1671C" w:rsidRDefault="006C6A20">
      <w:pPr>
        <w:pStyle w:val="Bodytext30"/>
        <w:numPr>
          <w:ilvl w:val="0"/>
          <w:numId w:val="7"/>
        </w:numPr>
        <w:shd w:val="clear" w:color="auto" w:fill="auto"/>
        <w:tabs>
          <w:tab w:val="left" w:pos="333"/>
        </w:tabs>
        <w:spacing w:after="210" w:line="197" w:lineRule="exact"/>
        <w:ind w:left="360"/>
        <w:rPr>
          <w:lang w:val="ru-RU"/>
        </w:rPr>
      </w:pPr>
      <w:proofErr w:type="spellStart"/>
      <w:r>
        <w:rPr>
          <w:lang w:val="ru-RU" w:eastAsia="ru-RU" w:bidi="ru-RU"/>
        </w:rPr>
        <w:t>Литвишко</w:t>
      </w:r>
      <w:proofErr w:type="spellEnd"/>
      <w:r>
        <w:rPr>
          <w:lang w:val="ru-RU" w:eastAsia="ru-RU" w:bidi="ru-RU"/>
        </w:rPr>
        <w:t xml:space="preserve"> В. О. </w:t>
      </w:r>
      <w:r>
        <w:rPr>
          <w:lang w:val="uk-UA" w:eastAsia="uk-UA" w:bidi="uk-UA"/>
        </w:rPr>
        <w:t xml:space="preserve">Закономірності утворення кісткового </w:t>
      </w:r>
      <w:r>
        <w:rPr>
          <w:lang w:val="ru-RU" w:eastAsia="ru-RU" w:bidi="ru-RU"/>
        </w:rPr>
        <w:t xml:space="preserve">регенерату </w:t>
      </w:r>
      <w:r>
        <w:rPr>
          <w:lang w:val="uk-UA" w:eastAsia="uk-UA" w:bidi="uk-UA"/>
        </w:rPr>
        <w:t xml:space="preserve">після </w:t>
      </w:r>
      <w:proofErr w:type="spellStart"/>
      <w:r>
        <w:rPr>
          <w:lang w:val="uk-UA" w:eastAsia="uk-UA" w:bidi="uk-UA"/>
        </w:rPr>
        <w:t>діафізарного</w:t>
      </w:r>
      <w:proofErr w:type="spellEnd"/>
      <w:r>
        <w:rPr>
          <w:lang w:val="uk-UA" w:eastAsia="uk-UA" w:bidi="uk-UA"/>
        </w:rPr>
        <w:t xml:space="preserve"> перелому </w:t>
      </w:r>
      <w:proofErr w:type="gramStart"/>
      <w:r>
        <w:rPr>
          <w:lang w:val="uk-UA" w:eastAsia="uk-UA" w:bidi="uk-UA"/>
        </w:rPr>
        <w:t>за умов</w:t>
      </w:r>
      <w:proofErr w:type="gramEnd"/>
      <w:r>
        <w:rPr>
          <w:lang w:val="uk-UA" w:eastAsia="uk-UA" w:bidi="uk-UA"/>
        </w:rPr>
        <w:t xml:space="preserve"> функці</w:t>
      </w:r>
      <w:r>
        <w:rPr>
          <w:lang w:val="uk-UA" w:eastAsia="uk-UA" w:bidi="uk-UA"/>
        </w:rPr>
        <w:softHyphen/>
        <w:t xml:space="preserve">онального лікування з використанням пружно-стійкого з’єднання відламків: </w:t>
      </w:r>
      <w:proofErr w:type="spellStart"/>
      <w:r>
        <w:rPr>
          <w:lang w:val="uk-UA" w:eastAsia="uk-UA" w:bidi="uk-UA"/>
        </w:rPr>
        <w:t>дис</w:t>
      </w:r>
      <w:proofErr w:type="spellEnd"/>
      <w:r>
        <w:rPr>
          <w:lang w:val="uk-UA" w:eastAsia="uk-UA" w:bidi="uk-UA"/>
        </w:rPr>
        <w:t xml:space="preserve">. ... д-ра мед. наук / В. О. </w:t>
      </w:r>
      <w:proofErr w:type="spellStart"/>
      <w:r>
        <w:rPr>
          <w:lang w:val="uk-UA" w:eastAsia="uk-UA" w:bidi="uk-UA"/>
        </w:rPr>
        <w:t>Лит</w:t>
      </w:r>
      <w:r>
        <w:rPr>
          <w:lang w:val="uk-UA" w:eastAsia="uk-UA" w:bidi="uk-UA"/>
        </w:rPr>
        <w:softHyphen/>
        <w:t>вишко</w:t>
      </w:r>
      <w:proofErr w:type="spellEnd"/>
      <w:r>
        <w:rPr>
          <w:lang w:val="uk-UA" w:eastAsia="uk-UA" w:bidi="uk-UA"/>
        </w:rPr>
        <w:t>. — Харків, 2019. — 351 с.</w:t>
      </w:r>
    </w:p>
    <w:p w:rsidR="00E14225" w:rsidRDefault="006C6A20">
      <w:pPr>
        <w:pStyle w:val="Bodytext80"/>
        <w:shd w:val="clear" w:color="auto" w:fill="auto"/>
        <w:spacing w:before="0" w:line="160" w:lineRule="exact"/>
        <w:sectPr w:rsidR="00E14225">
          <w:type w:val="continuous"/>
          <w:pgSz w:w="11900" w:h="16840"/>
          <w:pgMar w:top="1701" w:right="836" w:bottom="1558" w:left="1418" w:header="0" w:footer="3" w:gutter="0"/>
          <w:cols w:num="2" w:space="199"/>
          <w:noEndnote/>
          <w:docGrid w:linePitch="360"/>
        </w:sectPr>
      </w:pPr>
      <w:r>
        <w:t>Стаття надійшла до редакції 24.01.2020</w:t>
      </w:r>
    </w:p>
    <w:p w:rsidR="00E14225" w:rsidRDefault="00E14225">
      <w:pPr>
        <w:spacing w:line="240" w:lineRule="exact"/>
        <w:rPr>
          <w:sz w:val="19"/>
          <w:szCs w:val="19"/>
        </w:rPr>
      </w:pPr>
    </w:p>
    <w:p w:rsidR="00E14225" w:rsidRDefault="00E14225">
      <w:pPr>
        <w:spacing w:before="35" w:after="35" w:line="240" w:lineRule="exact"/>
        <w:rPr>
          <w:sz w:val="19"/>
          <w:szCs w:val="19"/>
        </w:rPr>
      </w:pPr>
    </w:p>
    <w:p w:rsidR="00E14225" w:rsidRDefault="00E14225">
      <w:pPr>
        <w:rPr>
          <w:sz w:val="2"/>
          <w:szCs w:val="2"/>
        </w:rPr>
        <w:sectPr w:rsidR="00E14225">
          <w:type w:val="continuous"/>
          <w:pgSz w:w="11900" w:h="16840"/>
          <w:pgMar w:top="1147" w:right="0" w:bottom="1009" w:left="0" w:header="0" w:footer="3" w:gutter="0"/>
          <w:cols w:space="720"/>
          <w:noEndnote/>
          <w:docGrid w:linePitch="360"/>
        </w:sectPr>
      </w:pPr>
    </w:p>
    <w:p w:rsidR="00E14225" w:rsidRPr="00D1671C" w:rsidRDefault="006C6A20">
      <w:pPr>
        <w:pStyle w:val="Bodytext90"/>
        <w:shd w:val="clear" w:color="auto" w:fill="auto"/>
        <w:rPr>
          <w:lang w:val="en-US"/>
        </w:rPr>
      </w:pPr>
      <w:r>
        <w:rPr>
          <w:lang w:val="en-US" w:eastAsia="en-US" w:bidi="en-US"/>
        </w:rPr>
        <w:t>FREQUENCY OF COMPLICATIONS</w:t>
      </w:r>
    </w:p>
    <w:p w:rsidR="00E14225" w:rsidRPr="00D1671C" w:rsidRDefault="006C6A20">
      <w:pPr>
        <w:pStyle w:val="Bodytext90"/>
        <w:shd w:val="clear" w:color="auto" w:fill="auto"/>
        <w:rPr>
          <w:lang w:val="en-US"/>
        </w:rPr>
      </w:pPr>
      <w:r>
        <w:rPr>
          <w:lang w:val="en-US" w:eastAsia="en-US" w:bidi="en-US"/>
        </w:rPr>
        <w:t>AT SHAFT FRACTURES ACCORDING TO KHARKIV TRAUMATOLOGICAL MEDICAL-SOCIAL EXPERT COMMITTEE (MSEC) DATA</w:t>
      </w:r>
    </w:p>
    <w:p w:rsidR="00E14225" w:rsidRDefault="006C6A20">
      <w:pPr>
        <w:pStyle w:val="Bodytext20"/>
        <w:shd w:val="clear" w:color="auto" w:fill="auto"/>
        <w:spacing w:after="84" w:line="200" w:lineRule="exact"/>
      </w:pPr>
      <w:r>
        <w:rPr>
          <w:lang w:val="en-US" w:eastAsia="en-US" w:bidi="en-US"/>
        </w:rPr>
        <w:t xml:space="preserve">O. K. </w:t>
      </w:r>
      <w:proofErr w:type="spellStart"/>
      <w:r>
        <w:rPr>
          <w:lang w:val="en-US" w:eastAsia="en-US" w:bidi="en-US"/>
        </w:rPr>
        <w:t>Popsuyshapka</w:t>
      </w:r>
      <w:proofErr w:type="spellEnd"/>
      <w:r>
        <w:rPr>
          <w:lang w:val="en-US" w:eastAsia="en-US" w:bidi="en-US"/>
        </w:rPr>
        <w:t xml:space="preserve"> ', V. O. </w:t>
      </w:r>
      <w:proofErr w:type="spellStart"/>
      <w:r>
        <w:rPr>
          <w:lang w:val="en-US" w:eastAsia="en-US" w:bidi="en-US"/>
        </w:rPr>
        <w:t>Lytvyshko</w:t>
      </w:r>
      <w:proofErr w:type="spellEnd"/>
      <w:r>
        <w:rPr>
          <w:lang w:val="en-US" w:eastAsia="en-US" w:bidi="en-US"/>
        </w:rPr>
        <w:t xml:space="preserve"> </w:t>
      </w:r>
      <w:r>
        <w:rPr>
          <w:vertAlign w:val="superscript"/>
          <w:lang w:val="en-US" w:eastAsia="en-US" w:bidi="en-US"/>
        </w:rPr>
        <w:t>2</w:t>
      </w:r>
      <w:r>
        <w:rPr>
          <w:lang w:val="en-US" w:eastAsia="en-US" w:bidi="en-US"/>
        </w:rPr>
        <w:t xml:space="preserve">, O. Ye. </w:t>
      </w:r>
      <w:proofErr w:type="spellStart"/>
      <w:r>
        <w:rPr>
          <w:lang w:val="en-US" w:eastAsia="en-US" w:bidi="en-US"/>
        </w:rPr>
        <w:t>Uzhehova</w:t>
      </w:r>
      <w:proofErr w:type="spellEnd"/>
      <w:r>
        <w:rPr>
          <w:lang w:val="en-US" w:eastAsia="en-US" w:bidi="en-US"/>
        </w:rPr>
        <w:t xml:space="preserve"> \ O. O. </w:t>
      </w:r>
      <w:proofErr w:type="spellStart"/>
      <w:r>
        <w:rPr>
          <w:lang w:val="en-US" w:eastAsia="en-US" w:bidi="en-US"/>
        </w:rPr>
        <w:t>Pidgaiska</w:t>
      </w:r>
      <w:proofErr w:type="spellEnd"/>
      <w:r>
        <w:rPr>
          <w:lang w:val="en-US" w:eastAsia="en-US" w:bidi="en-US"/>
        </w:rPr>
        <w:t xml:space="preserve"> </w:t>
      </w:r>
      <w:r>
        <w:rPr>
          <w:vertAlign w:val="superscript"/>
          <w:lang w:val="en-US" w:eastAsia="en-US" w:bidi="en-US"/>
        </w:rPr>
        <w:t>4</w:t>
      </w:r>
    </w:p>
    <w:p w:rsidR="00E14225" w:rsidRDefault="006C6A20">
      <w:pPr>
        <w:pStyle w:val="Bodytext30"/>
        <w:shd w:val="clear" w:color="auto" w:fill="auto"/>
        <w:spacing w:after="0" w:line="250" w:lineRule="exact"/>
        <w:ind w:right="1020" w:firstLine="0"/>
        <w:jc w:val="left"/>
      </w:pPr>
      <w:proofErr w:type="spellStart"/>
      <w:r>
        <w:t>Kharkiv</w:t>
      </w:r>
      <w:proofErr w:type="spellEnd"/>
      <w:r>
        <w:t xml:space="preserve"> Medical Academy of Postgraduate Education. </w:t>
      </w:r>
      <w:proofErr w:type="gramStart"/>
      <w:r>
        <w:t xml:space="preserve">Ukraine </w:t>
      </w:r>
      <w:r>
        <w:rPr>
          <w:vertAlign w:val="superscript"/>
        </w:rPr>
        <w:t>;</w:t>
      </w:r>
      <w:proofErr w:type="gramEnd"/>
      <w:r>
        <w:t xml:space="preserve"> CHI «</w:t>
      </w:r>
      <w:proofErr w:type="spellStart"/>
      <w:r>
        <w:t>Kononenko</w:t>
      </w:r>
      <w:proofErr w:type="spellEnd"/>
      <w:r>
        <w:t xml:space="preserve"> </w:t>
      </w:r>
      <w:proofErr w:type="spellStart"/>
      <w:r>
        <w:t>Chuguyev</w:t>
      </w:r>
      <w:proofErr w:type="spellEnd"/>
      <w:r>
        <w:t xml:space="preserve"> Central District Hospital», </w:t>
      </w:r>
      <w:proofErr w:type="spellStart"/>
      <w:r>
        <w:t>Kharkiv</w:t>
      </w:r>
      <w:proofErr w:type="spellEnd"/>
      <w:r>
        <w:t xml:space="preserve"> region. Ukraine </w:t>
      </w:r>
      <w:r>
        <w:rPr>
          <w:vertAlign w:val="superscript"/>
        </w:rPr>
        <w:t>3</w:t>
      </w:r>
      <w:r>
        <w:t xml:space="preserve"> CHI «Regional center of medical-social examination» </w:t>
      </w:r>
      <w:proofErr w:type="spellStart"/>
      <w:r>
        <w:t>Kharkiv</w:t>
      </w:r>
      <w:proofErr w:type="spellEnd"/>
      <w:r>
        <w:t xml:space="preserve"> Regional State Administration. Ukraine </w:t>
      </w:r>
      <w:proofErr w:type="spellStart"/>
      <w:r>
        <w:rPr>
          <w:vertAlign w:val="superscript"/>
        </w:rPr>
        <w:t>i</w:t>
      </w:r>
      <w:proofErr w:type="spellEnd"/>
      <w:r>
        <w:t xml:space="preserve"> </w:t>
      </w:r>
      <w:proofErr w:type="spellStart"/>
      <w:r>
        <w:t>Sytenko</w:t>
      </w:r>
      <w:proofErr w:type="spellEnd"/>
      <w:r>
        <w:t xml:space="preserve"> Institute of Spine and Joint Pathology National Academy of Medical Sciences of Ukraine, </w:t>
      </w:r>
      <w:proofErr w:type="spellStart"/>
      <w:r>
        <w:t>Kharkiv</w:t>
      </w:r>
      <w:proofErr w:type="spellEnd"/>
      <w:r>
        <w:t xml:space="preserve"> 23 </w:t>
      </w:r>
      <w:proofErr w:type="spellStart"/>
      <w:r>
        <w:t>Olexii</w:t>
      </w:r>
      <w:proofErr w:type="spellEnd"/>
      <w:r>
        <w:t xml:space="preserve"> </w:t>
      </w:r>
      <w:proofErr w:type="spellStart"/>
      <w:r>
        <w:t>Popsuishapka</w:t>
      </w:r>
      <w:proofErr w:type="spellEnd"/>
      <w:r>
        <w:t xml:space="preserve">, MD, Prof, in Traumatology and </w:t>
      </w:r>
      <w:proofErr w:type="spellStart"/>
      <w:r>
        <w:t>Orthopaedics</w:t>
      </w:r>
      <w:proofErr w:type="spellEnd"/>
      <w:r>
        <w:t xml:space="preserve">: </w:t>
      </w:r>
      <w:hyperlink r:id="rId12" w:history="1">
        <w:r>
          <w:rPr>
            <w:rStyle w:val="a3"/>
          </w:rPr>
          <w:t>alexecorn@gmail.com</w:t>
        </w:r>
      </w:hyperlink>
      <w:r>
        <w:t xml:space="preserve"> 23 </w:t>
      </w:r>
      <w:proofErr w:type="spellStart"/>
      <w:r>
        <w:t>Valerii</w:t>
      </w:r>
      <w:proofErr w:type="spellEnd"/>
      <w:r>
        <w:t xml:space="preserve"> </w:t>
      </w:r>
      <w:proofErr w:type="spellStart"/>
      <w:r>
        <w:t>Litvishko</w:t>
      </w:r>
      <w:proofErr w:type="spellEnd"/>
      <w:r>
        <w:t xml:space="preserve">, PhD in Traumatology and </w:t>
      </w:r>
      <w:proofErr w:type="spellStart"/>
      <w:r>
        <w:t>Orthopaedics</w:t>
      </w:r>
      <w:proofErr w:type="spellEnd"/>
      <w:r>
        <w:t xml:space="preserve">: </w:t>
      </w:r>
      <w:hyperlink r:id="rId13" w:history="1">
        <w:r>
          <w:rPr>
            <w:rStyle w:val="a3"/>
          </w:rPr>
          <w:t>lvaort@yandex.ua</w:t>
        </w:r>
      </w:hyperlink>
      <w:r>
        <w:t xml:space="preserve"> 23 Olga </w:t>
      </w:r>
      <w:proofErr w:type="spellStart"/>
      <w:r>
        <w:t>Uzhegova</w:t>
      </w:r>
      <w:proofErr w:type="spellEnd"/>
      <w:r>
        <w:t xml:space="preserve">: </w:t>
      </w:r>
      <w:hyperlink r:id="rId14" w:history="1">
        <w:r>
          <w:rPr>
            <w:rStyle w:val="a3"/>
          </w:rPr>
          <w:t>travnnsek@ukr.net</w:t>
        </w:r>
      </w:hyperlink>
    </w:p>
    <w:p w:rsidR="00E14225" w:rsidRDefault="006C6A20">
      <w:pPr>
        <w:pStyle w:val="Bodytext30"/>
        <w:shd w:val="clear" w:color="auto" w:fill="auto"/>
        <w:spacing w:after="0" w:line="250" w:lineRule="exact"/>
        <w:ind w:firstLine="0"/>
        <w:jc w:val="left"/>
        <w:sectPr w:rsidR="00E14225">
          <w:type w:val="continuous"/>
          <w:pgSz w:w="11900" w:h="16840"/>
          <w:pgMar w:top="1147" w:right="1054" w:bottom="1009" w:left="1227" w:header="0" w:footer="3" w:gutter="0"/>
          <w:cols w:space="720"/>
          <w:noEndnote/>
          <w:docGrid w:linePitch="360"/>
        </w:sectPr>
      </w:pPr>
      <w:proofErr w:type="gramStart"/>
      <w:r>
        <w:t>23</w:t>
      </w:r>
      <w:proofErr w:type="gramEnd"/>
      <w:r>
        <w:t xml:space="preserve"> Olga </w:t>
      </w:r>
      <w:proofErr w:type="spellStart"/>
      <w:r>
        <w:t>Pidgaiska</w:t>
      </w:r>
      <w:proofErr w:type="spellEnd"/>
      <w:r>
        <w:t xml:space="preserve">, PhD in Traumatology and </w:t>
      </w:r>
      <w:proofErr w:type="spellStart"/>
      <w:r>
        <w:t>Orthopaedics</w:t>
      </w:r>
      <w:proofErr w:type="spellEnd"/>
      <w:r>
        <w:t xml:space="preserve">: </w:t>
      </w:r>
      <w:hyperlink r:id="rId15" w:history="1">
        <w:r>
          <w:rPr>
            <w:rStyle w:val="a3"/>
          </w:rPr>
          <w:t>podgayo@yahoo.com</w:t>
        </w:r>
      </w:hyperlink>
    </w:p>
    <w:p w:rsidR="00E14225" w:rsidRDefault="006C6A20">
      <w:pPr>
        <w:pStyle w:val="Bodytext90"/>
        <w:shd w:val="clear" w:color="auto" w:fill="auto"/>
        <w:spacing w:line="274" w:lineRule="exact"/>
        <w:ind w:left="320"/>
        <w:jc w:val="center"/>
      </w:pPr>
      <w:r>
        <w:lastRenderedPageBreak/>
        <w:t>НАЦИОНАЛЬНАЯ АКАДЕМИЯ МЕДИЦИНСКИХ НАУК УКРАИНЫ</w:t>
      </w:r>
      <w:r>
        <w:br/>
        <w:t>ГУ «ИНСТИТУТ ПАТОЛОГИИ ПОЗВОНОЧНИКА И СУСТАВОВ</w:t>
      </w:r>
      <w:r>
        <w:br/>
        <w:t>ИМ. ПРОФ. М. И. СИТЕНКО НАМИ УКРАИНЫ»</w:t>
      </w:r>
    </w:p>
    <w:p w:rsidR="00E14225" w:rsidRDefault="006C6A20">
      <w:pPr>
        <w:pStyle w:val="Bodytext90"/>
        <w:shd w:val="clear" w:color="auto" w:fill="auto"/>
        <w:spacing w:after="158" w:line="274" w:lineRule="exact"/>
        <w:ind w:left="320"/>
        <w:jc w:val="center"/>
      </w:pPr>
      <w:r>
        <w:t>ВОО «УКРАИНСКАЯ АССОЦИАЦИЯ ОРТОПЕДОВ-ТРАВМАТОЛОГОВ»</w:t>
      </w:r>
    </w:p>
    <w:p w:rsidR="00E14225" w:rsidRDefault="006C6A20">
      <w:pPr>
        <w:pStyle w:val="Heading10"/>
        <w:keepNext/>
        <w:keepLines/>
        <w:shd w:val="clear" w:color="auto" w:fill="auto"/>
        <w:spacing w:before="0"/>
        <w:ind w:left="120"/>
      </w:pPr>
      <w:bookmarkStart w:id="6" w:name="bookmark5"/>
      <w:proofErr w:type="gramStart"/>
      <w:r>
        <w:t>ОРТОПЕДИЯ,</w:t>
      </w:r>
      <w:r>
        <w:br/>
        <w:t>ТРАВМАТОЛОГИЯ</w:t>
      </w:r>
      <w:proofErr w:type="gramEnd"/>
      <w:r>
        <w:br/>
        <w:t>и ПРОТЕЗИРОВАНИЕ</w:t>
      </w:r>
      <w:bookmarkEnd w:id="6"/>
    </w:p>
    <w:p w:rsidR="00E14225" w:rsidRDefault="006C6A20">
      <w:pPr>
        <w:pStyle w:val="Bodytext100"/>
        <w:shd w:val="clear" w:color="auto" w:fill="auto"/>
        <w:spacing w:after="194"/>
        <w:ind w:left="120"/>
      </w:pPr>
      <w:r>
        <w:t>Ежеквартальный научно-практический журнал</w:t>
      </w:r>
      <w:r>
        <w:br/>
      </w:r>
      <w:r>
        <w:rPr>
          <w:rStyle w:val="Bodytext1012pt"/>
        </w:rPr>
        <w:t>Основан в мае 1927 г.</w:t>
      </w:r>
    </w:p>
    <w:p w:rsidR="00E14225" w:rsidRDefault="006C6A20">
      <w:pPr>
        <w:pStyle w:val="Heading20"/>
        <w:keepNext/>
        <w:keepLines/>
        <w:shd w:val="clear" w:color="auto" w:fill="auto"/>
        <w:spacing w:before="0" w:after="294" w:line="580" w:lineRule="exact"/>
        <w:ind w:left="620"/>
      </w:pPr>
      <w:bookmarkStart w:id="7" w:name="bookmark6"/>
      <w:r>
        <w:t>№ 1 (</w:t>
      </w:r>
      <w:proofErr w:type="gramStart"/>
      <w:r>
        <w:t>618)январь</w:t>
      </w:r>
      <w:proofErr w:type="gramEnd"/>
      <w:r>
        <w:t xml:space="preserve"> - март 2020</w:t>
      </w:r>
      <w:bookmarkEnd w:id="7"/>
    </w:p>
    <w:p w:rsidR="00E14225" w:rsidRDefault="00BC6530">
      <w:pPr>
        <w:pStyle w:val="Bodytext110"/>
        <w:shd w:val="clear" w:color="auto" w:fill="auto"/>
        <w:spacing w:before="0" w:line="210" w:lineRule="exact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121150" simplePos="0" relativeHeight="377487106" behindDoc="1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227330</wp:posOffset>
                </wp:positionV>
                <wp:extent cx="1987550" cy="3050540"/>
                <wp:effectExtent l="0" t="2540" r="0" b="44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05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Bodytext12Exact"/>
                              </w:rPr>
                              <w:t>Главный редактор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after="100" w:line="170" w:lineRule="exact"/>
                            </w:pPr>
                            <w:r>
                              <w:rPr>
                                <w:rStyle w:val="Bodytext12Exact"/>
                              </w:rPr>
                              <w:t>Корж Н. А. (Харьков, Украина)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after="176" w:line="226" w:lineRule="exact"/>
                            </w:pPr>
                            <w:r>
                              <w:rPr>
                                <w:rStyle w:val="Bodytext12Exact"/>
                              </w:rPr>
                              <w:t>Зам. главного редактора Шевченко С. Д. (Харьков, Украина) Филиппенко В. А. (Харьков, Украина)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30" w:lineRule="exact"/>
                              <w:ind w:right="2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Батпенов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Н. Д. (Астана, Казахстан) </w:t>
                            </w:r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Benedetto</w:t>
                            </w:r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2Exact"/>
                              </w:rPr>
                              <w:t>К. (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Фельдкирх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, Австрия) </w:t>
                            </w:r>
                            <w:proofErr w:type="spellStart"/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Blacha</w:t>
                            </w:r>
                            <w:proofErr w:type="spellEnd"/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J</w:t>
                            </w:r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Bodytext12Exact"/>
                              </w:rPr>
                              <w:t>(Люблин, Польша)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35" w:lineRule="exact"/>
                            </w:pPr>
                            <w:r>
                              <w:rPr>
                                <w:rStyle w:val="Bodytext12Exact"/>
                              </w:rPr>
                              <w:t>Бурьянов А. А. (Киев, Украина)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35" w:lineRule="exact"/>
                            </w:pP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Вырва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О. Е. (Харьков, Украина)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35" w:lineRule="exact"/>
                            </w:pP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Гайко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Г. В. (Киев, Украина)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35" w:lineRule="exact"/>
                            </w:pP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Головаха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М. Л. (Запорожье,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Gosheger</w:t>
                            </w:r>
                            <w:proofErr w:type="spellEnd"/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G</w:t>
                            </w:r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Bodytext12Exac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Мюнстер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, Германия) </w:t>
                            </w:r>
                            <w:proofErr w:type="spellStart"/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Grifka</w:t>
                            </w:r>
                            <w:proofErr w:type="spellEnd"/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J</w:t>
                            </w:r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Bodytext12Exac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Бад-Аббах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>, Германия)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35" w:lineRule="exact"/>
                            </w:pPr>
                            <w:proofErr w:type="spellStart"/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Guo</w:t>
                            </w:r>
                            <w:proofErr w:type="spellEnd"/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W</w:t>
                            </w:r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Bodytext12Exact"/>
                              </w:rPr>
                              <w:t>(Пекин, Китай)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35" w:lineRule="exact"/>
                            </w:pP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Дедух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Н. В. (Киев,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Загородний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Н. В. (Москва, РФ) Истомин А. Г. (Харьков,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Jerosch</w:t>
                            </w:r>
                            <w:proofErr w:type="spellEnd"/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J</w:t>
                            </w:r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Bodytext12Exac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Нойс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, Германия)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Климовицкий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В. Г. (Лиман, Украина)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.7pt;margin-top:17.9pt;width:156.5pt;height:240.2pt;z-index:-125829374;visibility:visible;mso-wrap-style:square;mso-width-percent:0;mso-height-percent:0;mso-wrap-distance-left:5pt;mso-wrap-distance-top:0;mso-wrap-distance-right:3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Kq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" filled="f" stroked="f">
                <v:textbox style="mso-fit-shape-to-text:t" inset="0,0,0,0">
                  <w:txbxContent>
                    <w:p w:rsidR="00E14225" w:rsidRDefault="006C6A20">
                      <w:pPr>
                        <w:pStyle w:val="Bodytext1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Bodytext12Exact"/>
                        </w:rPr>
                        <w:t>Главный редактор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after="100" w:line="170" w:lineRule="exact"/>
                      </w:pPr>
                      <w:r>
                        <w:rPr>
                          <w:rStyle w:val="Bodytext12Exact"/>
                        </w:rPr>
                        <w:t>Корж Н. А. (Харьков, Украина)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after="176" w:line="226" w:lineRule="exact"/>
                      </w:pPr>
                      <w:r>
                        <w:rPr>
                          <w:rStyle w:val="Bodytext12Exact"/>
                        </w:rPr>
                        <w:t xml:space="preserve">Зам. главного редактора </w:t>
                      </w:r>
                      <w:r>
                        <w:rPr>
                          <w:rStyle w:val="Bodytext12Exact"/>
                        </w:rPr>
                        <w:t>Шевченко С. Д. (Харьков, Украина) Филиппенко В. А. (Харьков, Украина)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30" w:lineRule="exact"/>
                        <w:ind w:right="240"/>
                        <w:jc w:val="both"/>
                      </w:pPr>
                      <w:r>
                        <w:rPr>
                          <w:rStyle w:val="Bodytext12Exact"/>
                        </w:rPr>
                        <w:t xml:space="preserve">Батпенов Н. Д. (Астана, Казахстан) </w:t>
                      </w:r>
                      <w:r>
                        <w:rPr>
                          <w:rStyle w:val="Bodytext12Exact"/>
                          <w:lang w:val="en-US" w:eastAsia="en-US" w:bidi="en-US"/>
                        </w:rPr>
                        <w:t xml:space="preserve">Benedetto </w:t>
                      </w:r>
                      <w:r>
                        <w:rPr>
                          <w:rStyle w:val="Bodytext12Exact"/>
                        </w:rPr>
                        <w:t xml:space="preserve">К. (Фельдкирх, Австрия) </w:t>
                      </w:r>
                      <w:r>
                        <w:rPr>
                          <w:rStyle w:val="Bodytext12Exact"/>
                          <w:lang w:val="en-US" w:eastAsia="en-US" w:bidi="en-US"/>
                        </w:rPr>
                        <w:t xml:space="preserve">Blacha J. </w:t>
                      </w:r>
                      <w:r>
                        <w:rPr>
                          <w:rStyle w:val="Bodytext12Exact"/>
                        </w:rPr>
                        <w:t>(Люблин, Польша)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35" w:lineRule="exact"/>
                      </w:pPr>
                      <w:r>
                        <w:rPr>
                          <w:rStyle w:val="Bodytext12Exact"/>
                        </w:rPr>
                        <w:t>Бурьянов А. А. (Киев, Украина)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35" w:lineRule="exact"/>
                      </w:pPr>
                      <w:r>
                        <w:rPr>
                          <w:rStyle w:val="Bodytext12Exact"/>
                        </w:rPr>
                        <w:t>Вырва О. Е. (Харьков, Украина)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35" w:lineRule="exact"/>
                      </w:pPr>
                      <w:r>
                        <w:rPr>
                          <w:rStyle w:val="Bodytext12Exact"/>
                        </w:rPr>
                        <w:t>Гайко Г. В. (Киев, Украина)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35" w:lineRule="exact"/>
                      </w:pPr>
                      <w:r>
                        <w:rPr>
                          <w:rStyle w:val="Bodytext12Exact"/>
                        </w:rPr>
                        <w:t xml:space="preserve">Головаха М. Л. (Запорожье, Украина) </w:t>
                      </w:r>
                      <w:r>
                        <w:rPr>
                          <w:rStyle w:val="Bodytext12Exact"/>
                          <w:lang w:val="en-US" w:eastAsia="en-US" w:bidi="en-US"/>
                        </w:rPr>
                        <w:t xml:space="preserve">Gosheger G. </w:t>
                      </w:r>
                      <w:r>
                        <w:rPr>
                          <w:rStyle w:val="Bodytext12Exact"/>
                        </w:rPr>
                        <w:t xml:space="preserve">(Мюнстер, Германия) </w:t>
                      </w:r>
                      <w:r>
                        <w:rPr>
                          <w:rStyle w:val="Bodytext12Exact"/>
                          <w:lang w:val="en-US" w:eastAsia="en-US" w:bidi="en-US"/>
                        </w:rPr>
                        <w:t xml:space="preserve">Grifka J. </w:t>
                      </w:r>
                      <w:r>
                        <w:rPr>
                          <w:rStyle w:val="Bodytext12Exact"/>
                        </w:rPr>
                        <w:t>(Бад-Аббах, Германия)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35" w:lineRule="exact"/>
                      </w:pPr>
                      <w:r>
                        <w:rPr>
                          <w:rStyle w:val="Bodytext12Exact"/>
                          <w:lang w:val="en-US" w:eastAsia="en-US" w:bidi="en-US"/>
                        </w:rPr>
                        <w:t xml:space="preserve">Guo W. </w:t>
                      </w:r>
                      <w:r>
                        <w:rPr>
                          <w:rStyle w:val="Bodytext12Exact"/>
                        </w:rPr>
                        <w:t>(Пекин, Китай)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35" w:lineRule="exact"/>
                      </w:pPr>
                      <w:r>
                        <w:rPr>
                          <w:rStyle w:val="Bodytext12Exact"/>
                        </w:rPr>
                        <w:t xml:space="preserve">Дедух Н. В. (Киев, Украина) Загородний Н. В. (Москва, РФ) Истомин А. Г. (Харьков, Украина) </w:t>
                      </w:r>
                      <w:r>
                        <w:rPr>
                          <w:rStyle w:val="Bodytext12Exact"/>
                          <w:lang w:val="en-US" w:eastAsia="en-US" w:bidi="en-US"/>
                        </w:rPr>
                        <w:t xml:space="preserve">Jerosch J. </w:t>
                      </w:r>
                      <w:r>
                        <w:rPr>
                          <w:rStyle w:val="Bodytext12Exact"/>
                        </w:rPr>
                        <w:t xml:space="preserve">(Нойс, Германия) Климовицкий В. </w:t>
                      </w:r>
                      <w:r>
                        <w:rPr>
                          <w:rStyle w:val="Bodytext12Exact"/>
                        </w:rPr>
                        <w:t>Г. (Лиман, Украина)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9395" distB="0" distL="3060065" distR="1127760" simplePos="0" relativeHeight="377487107" behindDoc="1" locked="0" layoutInCell="1" allowOverlap="1">
                <wp:simplePos x="0" y="0"/>
                <wp:positionH relativeFrom="margin">
                  <wp:posOffset>3298190</wp:posOffset>
                </wp:positionH>
                <wp:positionV relativeFrom="paragraph">
                  <wp:posOffset>467995</wp:posOffset>
                </wp:positionV>
                <wp:extent cx="1920240" cy="2870200"/>
                <wp:effectExtent l="635" t="0" r="3175" b="12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87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Bodytext12Exact"/>
                              </w:rPr>
                              <w:t xml:space="preserve">Ключевский В. В. (Ярославль, РФ) Корольков А. И. (Львов,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Коструб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А. А. (Киев, Украина)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Bodytext12Exact"/>
                                <w:lang w:val="de-DE" w:eastAsia="de-DE" w:bidi="de-DE"/>
                              </w:rPr>
                              <w:t xml:space="preserve">Leu </w:t>
                            </w:r>
                            <w:r>
                              <w:rPr>
                                <w:rStyle w:val="Bodytext12Exact"/>
                              </w:rPr>
                              <w:t xml:space="preserve">Н. (Цюрих, Швейцария) Лоскутов А. Е. (Днепр,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  <w:lang w:val="de-DE" w:eastAsia="de-DE" w:bidi="de-DE"/>
                              </w:rPr>
                              <w:t>Orljanski</w:t>
                            </w:r>
                            <w:proofErr w:type="spellEnd"/>
                            <w:r>
                              <w:rPr>
                                <w:rStyle w:val="Bodytext12Exact"/>
                                <w:lang w:val="de-DE" w:eastAsia="de-DE" w:bidi="de-DE"/>
                              </w:rPr>
                              <w:t xml:space="preserve"> W. </w:t>
                            </w:r>
                            <w:r>
                              <w:rPr>
                                <w:rStyle w:val="Bodytext12Exact"/>
                              </w:rPr>
                              <w:t xml:space="preserve">(Вена, Австрия)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Поворознюк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В. В. (Киев, Украина) Радченко В. А. (Харьков, Украина) </w:t>
                            </w:r>
                            <w:r>
                              <w:rPr>
                                <w:rStyle w:val="Bodytext12Exact"/>
                                <w:lang w:val="de-DE" w:eastAsia="de-DE" w:bidi="de-DE"/>
                              </w:rPr>
                              <w:t xml:space="preserve">Ruggieri </w:t>
                            </w:r>
                            <w:r>
                              <w:rPr>
                                <w:rStyle w:val="Bodytext12Exact"/>
                              </w:rPr>
                              <w:t>Р. (Падуя, Италия)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Snyder</w:t>
                            </w:r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2Exact"/>
                              </w:rPr>
                              <w:t xml:space="preserve">М. (Цинциннати, США)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Страфун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С. С. (Киев,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  <w:lang w:val="en-US" w:eastAsia="en-US" w:bidi="en-US"/>
                              </w:rPr>
                              <w:t>Synder</w:t>
                            </w:r>
                            <w:proofErr w:type="spellEnd"/>
                            <w:r w:rsidRPr="00D1671C">
                              <w:rPr>
                                <w:rStyle w:val="Bodytext1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12Exact"/>
                              </w:rPr>
                              <w:t>М. (Лодзь, Польша)</w:t>
                            </w:r>
                          </w:p>
                          <w:p w:rsidR="00E14225" w:rsidRDefault="006C6A20">
                            <w:pPr>
                              <w:pStyle w:val="Bodytext120"/>
                              <w:shd w:val="clear" w:color="auto" w:fill="auto"/>
                              <w:spacing w:line="226" w:lineRule="exact"/>
                            </w:pPr>
                            <w:proofErr w:type="spellStart"/>
                            <w:r>
                              <w:rPr>
                                <w:rStyle w:val="Bodytext12Exact"/>
                              </w:rPr>
                              <w:t>Сухин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Ю. В. (Одесса,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Тихилов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Р. М. (Санкт-Петербург, РФ)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ТгсТ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. (Прага, Чешская Республика) Тяжелов А. А. (Харьков,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Хвисюк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А. Н. (Харьков,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Хмызов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С. А. (Харьков, Украина) </w:t>
                            </w:r>
                            <w:proofErr w:type="spellStart"/>
                            <w:r>
                              <w:rPr>
                                <w:rStyle w:val="Bodytext12Exact"/>
                              </w:rPr>
                              <w:t>Шимон</w:t>
                            </w:r>
                            <w:proofErr w:type="spellEnd"/>
                            <w:r>
                              <w:rPr>
                                <w:rStyle w:val="Bodytext12Exact"/>
                              </w:rPr>
                              <w:t xml:space="preserve"> В. М. (Ужгород, Украина) </w:t>
                            </w:r>
                            <w:r>
                              <w:rPr>
                                <w:rStyle w:val="Bodytext12Exact"/>
                                <w:lang w:val="de-DE" w:eastAsia="de-DE" w:bidi="de-DE"/>
                              </w:rPr>
                              <w:t xml:space="preserve">Windhager R. </w:t>
                            </w:r>
                            <w:r>
                              <w:rPr>
                                <w:rStyle w:val="Bodytext12Exact"/>
                              </w:rPr>
                              <w:t>(Вена, Австрия)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59.7pt;margin-top:36.85pt;width:151.2pt;height:226pt;z-index:-125829373;visibility:visible;mso-wrap-style:square;mso-width-percent:0;mso-height-percent:0;mso-wrap-distance-left:240.95pt;mso-wrap-distance-top:18.85pt;mso-wrap-distance-right: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+1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" filled="f" stroked="f">
                <v:textbox style="mso-fit-shape-to-text:t" inset="0,0,0,0">
                  <w:txbxContent>
                    <w:p w:rsidR="00E14225" w:rsidRDefault="006C6A20">
                      <w:pPr>
                        <w:pStyle w:val="Bodytext1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Bodytext12Exact"/>
                        </w:rPr>
                        <w:t>Ключевский В. В. (Ярославль, РФ) Корольков А. И. (Львов, Украина) Коструб А. А. (Киев, Украина)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Bodytext12Exact"/>
                          <w:lang w:val="de-DE" w:eastAsia="de-DE" w:bidi="de-DE"/>
                        </w:rPr>
                        <w:t xml:space="preserve">Leu </w:t>
                      </w:r>
                      <w:r>
                        <w:rPr>
                          <w:rStyle w:val="Bodytext12Exact"/>
                        </w:rPr>
                        <w:t xml:space="preserve">Н. (Цюрих, Швейцария) Лоскутов А. Е. (Днепр, Украина) </w:t>
                      </w:r>
                      <w:r>
                        <w:rPr>
                          <w:rStyle w:val="Bodytext12Exact"/>
                          <w:lang w:val="de-DE" w:eastAsia="de-DE" w:bidi="de-DE"/>
                        </w:rPr>
                        <w:t xml:space="preserve">Orljanski W. </w:t>
                      </w:r>
                      <w:r>
                        <w:rPr>
                          <w:rStyle w:val="Bodytext12Exact"/>
                        </w:rPr>
                        <w:t>(Вена, Австрия) Поворознюк В. В. (Киев, Украина) Радченко В. А. (Х</w:t>
                      </w:r>
                      <w:r>
                        <w:rPr>
                          <w:rStyle w:val="Bodytext12Exact"/>
                        </w:rPr>
                        <w:t xml:space="preserve">арьков, Украина) </w:t>
                      </w:r>
                      <w:r>
                        <w:rPr>
                          <w:rStyle w:val="Bodytext12Exact"/>
                          <w:lang w:val="de-DE" w:eastAsia="de-DE" w:bidi="de-DE"/>
                        </w:rPr>
                        <w:t xml:space="preserve">Ruggieri </w:t>
                      </w:r>
                      <w:r>
                        <w:rPr>
                          <w:rStyle w:val="Bodytext12Exact"/>
                        </w:rPr>
                        <w:t>Р. (Падуя, Италия)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Bodytext12Exact"/>
                          <w:lang w:val="en-US" w:eastAsia="en-US" w:bidi="en-US"/>
                        </w:rPr>
                        <w:t xml:space="preserve">Snyder </w:t>
                      </w:r>
                      <w:r>
                        <w:rPr>
                          <w:rStyle w:val="Bodytext12Exact"/>
                        </w:rPr>
                        <w:t xml:space="preserve">М. (Цинциннати, США) Страфун С. С. (Киев, Украина) </w:t>
                      </w:r>
                      <w:r>
                        <w:rPr>
                          <w:rStyle w:val="Bodytext12Exact"/>
                          <w:lang w:val="en-US" w:eastAsia="en-US" w:bidi="en-US"/>
                        </w:rPr>
                        <w:t xml:space="preserve">Synder </w:t>
                      </w:r>
                      <w:r>
                        <w:rPr>
                          <w:rStyle w:val="Bodytext12Exact"/>
                        </w:rPr>
                        <w:t>М. (Лодзь, Польша)</w:t>
                      </w:r>
                    </w:p>
                    <w:p w:rsidR="00E14225" w:rsidRDefault="006C6A20">
                      <w:pPr>
                        <w:pStyle w:val="Bodytext1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Bodytext12Exact"/>
                        </w:rPr>
                        <w:t>Сухин Ю. В. (Одесса, Украина) Тихилов Р. М. (Санкт-Петербург, РФ) ТгсТ. (Прага, Чешская Республика) Тяжелов А. А. (Харьков, Укр</w:t>
                      </w:r>
                      <w:r>
                        <w:rPr>
                          <w:rStyle w:val="Bodytext12Exact"/>
                        </w:rPr>
                        <w:t xml:space="preserve">аина) Хвисюк А. Н. (Харьков, Украина) Хмызов С. А. (Харьков, Украина) Шимон В. М. (Ужгород, Украина) </w:t>
                      </w:r>
                      <w:r>
                        <w:rPr>
                          <w:rStyle w:val="Bodytext12Exact"/>
                          <w:lang w:val="de-DE" w:eastAsia="de-DE" w:bidi="de-DE"/>
                        </w:rPr>
                        <w:t xml:space="preserve">Windhager R. </w:t>
                      </w:r>
                      <w:r>
                        <w:rPr>
                          <w:rStyle w:val="Bodytext12Exact"/>
                        </w:rPr>
                        <w:t>(Вена, Австрия)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6A20">
        <w:t>РЕДАКЦИОННАЯ КОЛЛЕГИЯ</w:t>
      </w:r>
    </w:p>
    <w:p w:rsidR="00E14225" w:rsidRDefault="006C6A20">
      <w:pPr>
        <w:pStyle w:val="Bodytext120"/>
        <w:shd w:val="clear" w:color="auto" w:fill="auto"/>
        <w:spacing w:after="121" w:line="170" w:lineRule="exact"/>
        <w:ind w:left="3180"/>
      </w:pPr>
      <w:r>
        <w:t>Зав. редакцией Ю. А. Задорожная</w:t>
      </w:r>
    </w:p>
    <w:p w:rsidR="00E14225" w:rsidRDefault="006C6A20">
      <w:pPr>
        <w:pStyle w:val="Bodytext120"/>
        <w:shd w:val="clear" w:color="auto" w:fill="auto"/>
        <w:spacing w:after="120" w:line="269" w:lineRule="exact"/>
        <w:ind w:left="900" w:right="560"/>
      </w:pPr>
      <w:r>
        <w:t xml:space="preserve">Адрес редакции: ул. Пушкинская, 80, Харьков, 61024, Украина. Тел. +38 (057) 704-13-62 Факс +38 (057) 700-11-27, </w:t>
      </w:r>
      <w:r>
        <w:rPr>
          <w:lang w:val="en-US" w:eastAsia="en-US" w:bidi="en-US"/>
        </w:rPr>
        <w:t>e</w:t>
      </w:r>
      <w:r w:rsidRPr="00D1671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1671C">
        <w:rPr>
          <w:lang w:eastAsia="en-US" w:bidi="en-US"/>
        </w:rPr>
        <w:t xml:space="preserve">: </w:t>
      </w:r>
      <w:hyperlink r:id="rId16" w:history="1">
        <w:r>
          <w:rPr>
            <w:rStyle w:val="a3"/>
            <w:lang w:val="en-US" w:eastAsia="en-US" w:bidi="en-US"/>
          </w:rPr>
          <w:t>redaczia</w:t>
        </w:r>
        <w:r w:rsidRPr="00D1671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OTP</w:t>
        </w:r>
        <w:r w:rsidRPr="00D1671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D167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 w:rsidRPr="00D1671C">
        <w:rPr>
          <w:lang w:eastAsia="en-US" w:bidi="en-US"/>
        </w:rPr>
        <w:t xml:space="preserve"> </w:t>
      </w:r>
      <w:r>
        <w:t>Адрес учредителя: ул. Пушкинская, 80, Харьков, 61024, Украина. Тел. +38 (057) 725-14-00</w:t>
      </w:r>
    </w:p>
    <w:p w:rsidR="00E14225" w:rsidRDefault="006C6A20">
      <w:pPr>
        <w:pStyle w:val="Bodytext120"/>
        <w:shd w:val="clear" w:color="auto" w:fill="auto"/>
        <w:spacing w:line="269" w:lineRule="exact"/>
        <w:ind w:left="260"/>
        <w:jc w:val="center"/>
      </w:pPr>
      <w:r>
        <w:t>В соответствии с приказом МОН Украины от 07.11.2018 № 1218 журнал включен</w:t>
      </w:r>
      <w:r>
        <w:br/>
        <w:t>в Перечень научных специализированных изданий Украины</w:t>
      </w:r>
      <w:r>
        <w:br/>
        <w:t>по медицинским наукам для публикации научных результатов диссертаций (категория Б)</w:t>
      </w:r>
    </w:p>
    <w:p w:rsidR="00E14225" w:rsidRDefault="006C6A20">
      <w:pPr>
        <w:pStyle w:val="Bodytext130"/>
        <w:shd w:val="clear" w:color="auto" w:fill="auto"/>
        <w:spacing w:after="208" w:line="130" w:lineRule="exact"/>
        <w:ind w:left="260"/>
      </w:pPr>
      <w:r>
        <w:t>(предыдущие регистрации № 1а/5 от 22.05.1997, № 1-05/7 от 09.06.1999, № 1-05/4 от 14.10.2009, № 793 от 04.07.2014)</w:t>
      </w:r>
    </w:p>
    <w:p w:rsidR="00E14225" w:rsidRDefault="006C6A20">
      <w:pPr>
        <w:pStyle w:val="Bodytext120"/>
        <w:shd w:val="clear" w:color="auto" w:fill="auto"/>
        <w:spacing w:line="170" w:lineRule="exact"/>
        <w:ind w:left="260"/>
        <w:jc w:val="center"/>
      </w:pPr>
      <w:r>
        <w:t xml:space="preserve">Харьков, ФОП </w:t>
      </w:r>
      <w:proofErr w:type="spellStart"/>
      <w:r>
        <w:t>Бурдов</w:t>
      </w:r>
      <w:proofErr w:type="spellEnd"/>
      <w:r>
        <w:t xml:space="preserve"> П. В., 2020</w:t>
      </w:r>
    </w:p>
    <w:sectPr w:rsidR="00E14225">
      <w:headerReference w:type="even" r:id="rId17"/>
      <w:headerReference w:type="default" r:id="rId18"/>
      <w:pgSz w:w="11900" w:h="16840"/>
      <w:pgMar w:top="1147" w:right="1054" w:bottom="1009" w:left="122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08" w:rsidRDefault="00C20F08">
      <w:r>
        <w:separator/>
      </w:r>
    </w:p>
  </w:endnote>
  <w:endnote w:type="continuationSeparator" w:id="0">
    <w:p w:rsidR="00C20F08" w:rsidRDefault="00C2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08" w:rsidRDefault="00C20F08"/>
  </w:footnote>
  <w:footnote w:type="continuationSeparator" w:id="0">
    <w:p w:rsidR="00C20F08" w:rsidRDefault="00C20F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25" w:rsidRDefault="00BC653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540385</wp:posOffset>
              </wp:positionV>
              <wp:extent cx="6071870" cy="1384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18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25" w:rsidRDefault="006C6A20">
                          <w:pPr>
                            <w:pStyle w:val="Headerorfooter0"/>
                            <w:shd w:val="clear" w:color="auto" w:fill="auto"/>
                            <w:tabs>
                              <w:tab w:val="right" w:pos="9562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fldChar w:fldCharType="begin"/>
                          </w:r>
                          <w:r w:rsidRPr="00D1671C">
                            <w:rPr>
                              <w:rStyle w:val="Headerorfooter1"/>
                              <w:lang w:eastAsia="en-US" w:bidi="en-US"/>
                            </w:rPr>
                            <w:instrText xml:space="preserve"> </w:instrTex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instrText>PAGE</w:instrText>
                          </w:r>
                          <w:r w:rsidRPr="00D1671C">
                            <w:rPr>
                              <w:rStyle w:val="Headerorfooter1"/>
                              <w:lang w:eastAsia="en-US" w:bidi="en-US"/>
                            </w:rPr>
                            <w:instrText xml:space="preserve"> \* </w:instrTex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instrText>MERGEFORMAT</w:instrText>
                          </w:r>
                          <w:r w:rsidRPr="00D1671C">
                            <w:rPr>
                              <w:rStyle w:val="Headerorfooter1"/>
                              <w:lang w:eastAsia="en-US" w:bidi="en-US"/>
                            </w:rPr>
                            <w:instrText xml:space="preserve"> </w:instrTex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fldChar w:fldCharType="separate"/>
                          </w:r>
                          <w:r w:rsidR="00D1671C" w:rsidRPr="00D1671C">
                            <w:rPr>
                              <w:rStyle w:val="Headerorfooter1"/>
                              <w:noProof/>
                              <w:lang w:eastAsia="en-US" w:bidi="en-US"/>
                            </w:rPr>
                            <w:t>22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fldChar w:fldCharType="end"/>
                          </w:r>
                          <w:r w:rsidRPr="00D1671C">
                            <w:rPr>
                              <w:rStyle w:val="Headerorfooter1"/>
                              <w:lang w:eastAsia="en-US" w:bidi="en-US"/>
                            </w:rPr>
                            <w:tab/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ISSN</w:t>
                          </w:r>
                          <w:r w:rsidRPr="00D1671C">
                            <w:rPr>
                              <w:rStyle w:val="Headerorfooter1"/>
                              <w:lang w:eastAsia="en-US" w:bidi="en-US"/>
                            </w:rPr>
                            <w:t xml:space="preserve"> 0030-5987. </w:t>
                          </w:r>
                          <w:r>
                            <w:rPr>
                              <w:rStyle w:val="Headerorfooter1"/>
                            </w:rPr>
                            <w:t>Ортопедия, травматология и протезирование. 2020. №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4.9pt;margin-top:42.55pt;width:478.1pt;height:10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Gm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+Et/WgJRwWc+bMonNn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" filled="f" stroked="f">
              <v:textbox style="mso-fit-shape-to-text:t" inset="0,0,0,0">
                <w:txbxContent>
                  <w:p w:rsidR="00E14225" w:rsidRDefault="006C6A20">
                    <w:pPr>
                      <w:pStyle w:val="Headerorfooter0"/>
                      <w:shd w:val="clear" w:color="auto" w:fill="auto"/>
                      <w:tabs>
                        <w:tab w:val="right" w:pos="9562"/>
                      </w:tabs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fldChar w:fldCharType="begin"/>
                    </w:r>
                    <w:r w:rsidRPr="00D1671C">
                      <w:rPr>
                        <w:rStyle w:val="Headerorfooter1"/>
                        <w:lang w:eastAsia="en-US" w:bidi="en-US"/>
                      </w:rPr>
                      <w:instrText xml:space="preserve"> </w:instrTex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instrText>PAGE</w:instrText>
                    </w:r>
                    <w:r w:rsidRPr="00D1671C">
                      <w:rPr>
                        <w:rStyle w:val="Headerorfooter1"/>
                        <w:lang w:eastAsia="en-US" w:bidi="en-US"/>
                      </w:rPr>
                      <w:instrText xml:space="preserve"> \* </w:instrTex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instrText>MERGEFORMAT</w:instrText>
                    </w:r>
                    <w:r w:rsidRPr="00D1671C">
                      <w:rPr>
                        <w:rStyle w:val="Headerorfooter1"/>
                        <w:lang w:eastAsia="en-US" w:bidi="en-US"/>
                      </w:rPr>
                      <w:instrText xml:space="preserve"> </w:instrTex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fldChar w:fldCharType="separate"/>
                    </w:r>
                    <w:r w:rsidR="00D1671C" w:rsidRPr="00D1671C">
                      <w:rPr>
                        <w:rStyle w:val="Headerorfooter1"/>
                        <w:noProof/>
                        <w:lang w:eastAsia="en-US" w:bidi="en-US"/>
                      </w:rPr>
                      <w:t>22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fldChar w:fldCharType="end"/>
                    </w:r>
                    <w:r w:rsidRPr="00D1671C">
                      <w:rPr>
                        <w:rStyle w:val="Headerorfooter1"/>
                        <w:lang w:eastAsia="en-US" w:bidi="en-US"/>
                      </w:rPr>
                      <w:tab/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ISSN</w:t>
                    </w:r>
                    <w:r w:rsidRPr="00D1671C">
                      <w:rPr>
                        <w:rStyle w:val="Headerorfooter1"/>
                        <w:lang w:eastAsia="en-US" w:bidi="en-US"/>
                      </w:rPr>
                      <w:t xml:space="preserve"> 0030-5987. </w:t>
                    </w:r>
                    <w:r>
                      <w:rPr>
                        <w:rStyle w:val="Headerorfooter1"/>
                      </w:rPr>
                      <w:t>Ортопедия, травматология и протезирование. 2020.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25" w:rsidRDefault="00BC653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960755</wp:posOffset>
              </wp:positionH>
              <wp:positionV relativeFrom="page">
                <wp:posOffset>547370</wp:posOffset>
              </wp:positionV>
              <wp:extent cx="6062345" cy="13843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25" w:rsidRDefault="006C6A20">
                          <w:pPr>
                            <w:pStyle w:val="Headerorfooter0"/>
                            <w:shd w:val="clear" w:color="auto" w:fill="auto"/>
                            <w:tabs>
                              <w:tab w:val="right" w:pos="9547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B</w:t>
                          </w:r>
                          <w:r w:rsidRPr="00D1671C">
                            <w:rPr>
                              <w:rStyle w:val="Headerorfooter1"/>
                              <w:lang w:eastAsia="en-US" w:bidi="en-US"/>
                            </w:rPr>
                            <w:t>'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S</w:t>
                          </w:r>
                          <w:r w:rsidRPr="00D1671C">
                            <w:rPr>
                              <w:rStyle w:val="Headerorfooter1"/>
                              <w:lang w:eastAsia="en-US" w:bidi="en-US"/>
                            </w:rPr>
                            <w:t xml:space="preserve"> &gt;'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JO</w:t>
                          </w:r>
                          <w:r w:rsidRPr="00D1671C">
                            <w:rPr>
                              <w:rStyle w:val="Headerorfooter1"/>
                              <w:lang w:eastAsia="en-US" w:bidi="en-US"/>
                            </w:rPr>
                            <w:t xml:space="preserve">-5987. </w:t>
                          </w:r>
                          <w:r>
                            <w:rPr>
                              <w:rStyle w:val="Headerorfooter1"/>
                            </w:rPr>
                            <w:t>Ортопедия, травматология и протезирование. 2020. № 1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D1671C">
                            <w:rPr>
                              <w:rStyle w:val="Headerorfooter1"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5.65pt;margin-top:43.1pt;width:477.35pt;height:10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/isQ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" filled="f" stroked="f">
              <v:textbox style="mso-fit-shape-to-text:t" inset="0,0,0,0">
                <w:txbxContent>
                  <w:p w:rsidR="00E14225" w:rsidRDefault="006C6A20">
                    <w:pPr>
                      <w:pStyle w:val="Headerorfooter0"/>
                      <w:shd w:val="clear" w:color="auto" w:fill="auto"/>
                      <w:tabs>
                        <w:tab w:val="right" w:pos="9547"/>
                      </w:tabs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>B</w:t>
                    </w:r>
                    <w:r w:rsidRPr="00D1671C">
                      <w:rPr>
                        <w:rStyle w:val="Headerorfooter1"/>
                        <w:lang w:eastAsia="en-US" w:bidi="en-US"/>
                      </w:rPr>
                      <w:t>'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S</w:t>
                    </w:r>
                    <w:r w:rsidRPr="00D1671C">
                      <w:rPr>
                        <w:rStyle w:val="Headerorfooter1"/>
                        <w:lang w:eastAsia="en-US" w:bidi="en-US"/>
                      </w:rPr>
                      <w:t xml:space="preserve"> &gt;'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JO</w:t>
                    </w:r>
                    <w:r w:rsidRPr="00D1671C">
                      <w:rPr>
                        <w:rStyle w:val="Headerorfooter1"/>
                        <w:lang w:eastAsia="en-US" w:bidi="en-US"/>
                      </w:rPr>
                      <w:t xml:space="preserve">-5987. </w:t>
                    </w:r>
                    <w:r>
                      <w:rPr>
                        <w:rStyle w:val="Headerorfooter1"/>
                      </w:rPr>
                      <w:t>Ортопедия, травматология и протезирование. 2020. № 1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D1671C">
                      <w:rPr>
                        <w:rStyle w:val="Headerorfooter1"/>
                        <w:noProof/>
                      </w:rPr>
                      <w:t>21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25" w:rsidRDefault="00BC653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558800</wp:posOffset>
              </wp:positionV>
              <wp:extent cx="6065520" cy="138430"/>
              <wp:effectExtent l="635" t="0" r="127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55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25" w:rsidRDefault="006C6A20">
                          <w:pPr>
                            <w:pStyle w:val="Headerorfooter0"/>
                            <w:shd w:val="clear" w:color="auto" w:fill="auto"/>
                            <w:tabs>
                              <w:tab w:val="right" w:pos="9552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D1671C">
                            <w:rPr>
                              <w:rStyle w:val="Headerorfooter1"/>
                              <w:noProof/>
                            </w:rPr>
                            <w:t>24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IБ БЫ </w:t>
                          </w:r>
                          <w:r>
                            <w:rPr>
                              <w:rStyle w:val="Headerorfooter1"/>
                              <w:lang w:val="uk-UA" w:eastAsia="uk-UA" w:bidi="uk-UA"/>
                            </w:rPr>
                            <w:t xml:space="preserve">0030-5987. </w:t>
                          </w:r>
                          <w:r>
                            <w:rPr>
                              <w:rStyle w:val="Headerorfooter1"/>
                            </w:rPr>
                            <w:t>Ортопедия, травматология и протезирование. 2020. №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70.55pt;margin-top:44pt;width:477.6pt;height:10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TssA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" filled="f" stroked="f">
              <v:textbox style="mso-fit-shape-to-text:t" inset="0,0,0,0">
                <w:txbxContent>
                  <w:p w:rsidR="00E14225" w:rsidRDefault="006C6A20">
                    <w:pPr>
                      <w:pStyle w:val="Headerorfooter0"/>
                      <w:shd w:val="clear" w:color="auto" w:fill="auto"/>
                      <w:tabs>
                        <w:tab w:val="right" w:pos="9552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D1671C">
                      <w:rPr>
                        <w:rStyle w:val="Headerorfooter1"/>
                        <w:noProof/>
                      </w:rPr>
                      <w:t>24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ab/>
                      <w:t xml:space="preserve">IБ БЫ </w:t>
                    </w:r>
                    <w:r>
                      <w:rPr>
                        <w:rStyle w:val="Headerorfooter1"/>
                        <w:lang w:val="uk-UA" w:eastAsia="uk-UA" w:bidi="uk-UA"/>
                      </w:rPr>
                      <w:t xml:space="preserve">0030-5987. </w:t>
                    </w:r>
                    <w:r>
                      <w:rPr>
                        <w:rStyle w:val="Headerorfooter1"/>
                      </w:rPr>
                      <w:t>Ортопедия, травматология и протезирование. 2020.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25" w:rsidRDefault="00BC653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543560</wp:posOffset>
              </wp:positionV>
              <wp:extent cx="6059170" cy="138430"/>
              <wp:effectExtent l="3810" t="635" r="4445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1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25" w:rsidRDefault="006C6A20">
                          <w:pPr>
                            <w:pStyle w:val="Headerorfooter0"/>
                            <w:shd w:val="clear" w:color="auto" w:fill="auto"/>
                            <w:tabs>
                              <w:tab w:val="right" w:pos="9542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ISSN</w:t>
                          </w:r>
                          <w:r w:rsidRPr="00D1671C">
                            <w:rPr>
                              <w:rStyle w:val="Headerorfooter1"/>
                              <w:lang w:eastAsia="en-US" w:bidi="en-US"/>
                            </w:rPr>
                            <w:t xml:space="preserve"> 0030-5987. </w:t>
                          </w:r>
                          <w:r>
                            <w:rPr>
                              <w:rStyle w:val="Headerorfooter1"/>
                            </w:rPr>
                            <w:t>Ортопедия, травматология и протезирование. 2020. № 1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D1671C">
                            <w:rPr>
                              <w:rStyle w:val="Headerorfooter1"/>
                              <w:noProof/>
                            </w:rPr>
                            <w:t>25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67.8pt;margin-top:42.8pt;width:477.1pt;height:10.9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MYsA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" filled="f" stroked="f">
              <v:textbox style="mso-fit-shape-to-text:t" inset="0,0,0,0">
                <w:txbxContent>
                  <w:p w:rsidR="00E14225" w:rsidRDefault="006C6A20">
                    <w:pPr>
                      <w:pStyle w:val="Headerorfooter0"/>
                      <w:shd w:val="clear" w:color="auto" w:fill="auto"/>
                      <w:tabs>
                        <w:tab w:val="right" w:pos="9542"/>
                      </w:tabs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>ISSN</w:t>
                    </w:r>
                    <w:r w:rsidRPr="00D1671C">
                      <w:rPr>
                        <w:rStyle w:val="Headerorfooter1"/>
                        <w:lang w:eastAsia="en-US" w:bidi="en-US"/>
                      </w:rPr>
                      <w:t xml:space="preserve"> 0030-5987. </w:t>
                    </w:r>
                    <w:r>
                      <w:rPr>
                        <w:rStyle w:val="Headerorfooter1"/>
                      </w:rPr>
                      <w:t>Ортопедия, травматология и протезирование. 2020. № 1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D1671C">
                      <w:rPr>
                        <w:rStyle w:val="Headerorfooter1"/>
                        <w:noProof/>
                      </w:rPr>
                      <w:t>25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25" w:rsidRDefault="00E1422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25" w:rsidRDefault="00E142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D83"/>
    <w:multiLevelType w:val="multilevel"/>
    <w:tmpl w:val="DB029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D4DC9"/>
    <w:multiLevelType w:val="multilevel"/>
    <w:tmpl w:val="AC98C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C0D51"/>
    <w:multiLevelType w:val="multilevel"/>
    <w:tmpl w:val="FC76C77A"/>
    <w:lvl w:ilvl="0">
      <w:start w:val="6"/>
      <w:numFmt w:val="decimal"/>
      <w:lvlText w:val="7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621E6"/>
    <w:multiLevelType w:val="multilevel"/>
    <w:tmpl w:val="4B68358E"/>
    <w:lvl w:ilvl="0">
      <w:start w:val="6"/>
      <w:numFmt w:val="decimal"/>
      <w:lvlText w:val="7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3F1424"/>
    <w:multiLevelType w:val="multilevel"/>
    <w:tmpl w:val="D75090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8A39B3"/>
    <w:multiLevelType w:val="multilevel"/>
    <w:tmpl w:val="9464335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0A4210"/>
    <w:multiLevelType w:val="multilevel"/>
    <w:tmpl w:val="2278D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5"/>
    <w:rsid w:val="006C6A20"/>
    <w:rsid w:val="00BC6530"/>
    <w:rsid w:val="00C20F08"/>
    <w:rsid w:val="00D1671C"/>
    <w:rsid w:val="00E1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7CC06-8979-432E-AA5F-521938D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NotBold">
    <w:name w:val="Heading #4 + Not Bold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Bodytext44pt">
    <w:name w:val="Body text (4) + 4 pt"/>
    <w:aliases w:val="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Bodytext5Bold">
    <w:name w:val="Body text (5) + Bold"/>
    <w:aliases w:val="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Exact">
    <w:name w:val="Table caption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ablecaptionExact">
    <w:name w:val="Table caption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6pt">
    <w:name w:val="Body text (2)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105pt">
    <w:name w:val="Body text (2) + 10.5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5pt0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5pt1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85pt2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Exact">
    <w:name w:val="Body text (1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ru-RU" w:eastAsia="ru-RU" w:bidi="ru-RU"/>
    </w:rPr>
  </w:style>
  <w:style w:type="character" w:customStyle="1" w:styleId="Bodytext1012pt">
    <w:name w:val="Body text (10) + 12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ru-RU" w:eastAsia="ru-RU" w:bidi="ru-RU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420" w:after="180" w:line="379" w:lineRule="exac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8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  <w:lang w:val="ru-RU" w:eastAsia="ru-RU" w:bidi="ru-RU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pacing w:val="-10"/>
      <w:sz w:val="21"/>
      <w:szCs w:val="21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120" w:after="120" w:line="0" w:lineRule="atLeast"/>
      <w:ind w:hanging="360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val="ru-RU" w:eastAsia="ru-RU" w:bidi="ru-RU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line="677" w:lineRule="exact"/>
      <w:jc w:val="center"/>
      <w:outlineLvl w:val="0"/>
    </w:pPr>
    <w:rPr>
      <w:rFonts w:ascii="Times New Roman" w:eastAsia="Times New Roman" w:hAnsi="Times New Roman" w:cs="Times New Roman"/>
      <w:sz w:val="72"/>
      <w:szCs w:val="72"/>
      <w:lang w:val="ru-RU" w:eastAsia="ru-RU" w:bidi="ru-RU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after="420" w:line="298" w:lineRule="exact"/>
      <w:jc w:val="center"/>
    </w:pPr>
    <w:rPr>
      <w:rFonts w:ascii="Times New Roman" w:eastAsia="Times New Roman" w:hAnsi="Times New Roman" w:cs="Times New Roman"/>
      <w:sz w:val="30"/>
      <w:szCs w:val="30"/>
      <w:lang w:val="ru-RU" w:eastAsia="ru-RU" w:bidi="ru-RU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420" w:line="0" w:lineRule="atLeast"/>
      <w:outlineLvl w:val="1"/>
    </w:pPr>
    <w:rPr>
      <w:rFonts w:ascii="Arial" w:eastAsia="Arial" w:hAnsi="Arial" w:cs="Arial"/>
      <w:sz w:val="58"/>
      <w:szCs w:val="58"/>
      <w:lang w:val="ru-RU" w:eastAsia="ru-RU" w:bidi="ru-RU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420" w:line="0" w:lineRule="atLeast"/>
      <w:jc w:val="center"/>
    </w:pPr>
    <w:rPr>
      <w:rFonts w:ascii="Arial" w:eastAsia="Arial" w:hAnsi="Arial" w:cs="Arial"/>
      <w:b/>
      <w:bCs/>
      <w:sz w:val="21"/>
      <w:szCs w:val="21"/>
      <w:lang w:val="ru-RU" w:eastAsia="ru-RU" w:bidi="ru-RU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i/>
      <w:iCs/>
      <w:sz w:val="13"/>
      <w:szCs w:val="13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vaort@yandex.ua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dx.doi.org/10.15674/0030-59872020120-25" TargetMode="External"/><Relationship Id="rId12" Type="http://schemas.openxmlformats.org/officeDocument/2006/relationships/hyperlink" Target="mailto:alexecorn@gmail.co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redaczia_OTP@ukr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mailto:podgayo@yahoo.com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ravnnsek@ukr.ne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3637</Words>
  <Characters>20732</Characters>
  <Application>Microsoft Office Word</Application>
  <DocSecurity>0</DocSecurity>
  <Lines>172</Lines>
  <Paragraphs>48</Paragraphs>
  <ScaleCrop>false</ScaleCrop>
  <Company/>
  <LinksUpToDate>false</LinksUpToDate>
  <CharactersWithSpaces>24321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andreevich</dc:creator>
  <cp:lastModifiedBy>dima andreevich</cp:lastModifiedBy>
  <cp:revision>4</cp:revision>
  <dcterms:created xsi:type="dcterms:W3CDTF">2020-11-17T17:12:00Z</dcterms:created>
  <dcterms:modified xsi:type="dcterms:W3CDTF">2020-11-17T17:20:00Z</dcterms:modified>
</cp:coreProperties>
</file>