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21" w:rsidRPr="00196D70" w:rsidRDefault="00433221" w:rsidP="00433221">
      <w:pPr>
        <w:pStyle w:val="HTML"/>
        <w:shd w:val="clear" w:color="auto" w:fill="F8F9FA"/>
        <w:tabs>
          <w:tab w:val="left" w:pos="142"/>
        </w:tabs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</w:pPr>
      <w:bookmarkStart w:id="0" w:name="_GoBack"/>
      <w:bookmarkEnd w:id="0"/>
      <w:r w:rsidRPr="00196D70">
        <w:rPr>
          <w:rFonts w:ascii="Times New Roman" w:hAnsi="Times New Roman" w:cs="Times New Roman"/>
          <w:b/>
          <w:color w:val="222222"/>
          <w:sz w:val="24"/>
          <w:szCs w:val="24"/>
          <w:lang w:val="uk-UA"/>
        </w:rPr>
        <w:t>ПАТОФІЗІОЛОГІЧНІ АСПЕКТИ</w:t>
      </w:r>
    </w:p>
    <w:p w:rsidR="00433221" w:rsidRPr="00196D70" w:rsidRDefault="00433221" w:rsidP="00433221">
      <w:pPr>
        <w:tabs>
          <w:tab w:val="left" w:pos="142"/>
          <w:tab w:val="left" w:pos="117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6D70">
        <w:rPr>
          <w:rFonts w:ascii="Times New Roman" w:hAnsi="Times New Roman" w:cs="Times New Roman"/>
          <w:b/>
          <w:sz w:val="24"/>
          <w:szCs w:val="24"/>
          <w:lang w:val="uk-UA"/>
        </w:rPr>
        <w:t>ПРОТИЗАПАЛЬНОЇ РОЛІ РЕЦЕПТОРА IGA FC (CD89)</w:t>
      </w:r>
    </w:p>
    <w:p w:rsidR="00433221" w:rsidRPr="00196D70" w:rsidRDefault="00433221" w:rsidP="00433221">
      <w:pPr>
        <w:tabs>
          <w:tab w:val="left" w:pos="142"/>
          <w:tab w:val="left" w:pos="117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96D70">
        <w:rPr>
          <w:rFonts w:ascii="Times New Roman" w:hAnsi="Times New Roman" w:cs="Times New Roman"/>
          <w:b/>
          <w:sz w:val="24"/>
          <w:szCs w:val="24"/>
          <w:lang w:val="uk-UA"/>
        </w:rPr>
        <w:t>Оксененко</w:t>
      </w:r>
      <w:proofErr w:type="spellEnd"/>
      <w:r w:rsidRPr="00196D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Юлія Романівна</w:t>
      </w:r>
    </w:p>
    <w:p w:rsidR="00433221" w:rsidRPr="00196D70" w:rsidRDefault="00433221" w:rsidP="00433221">
      <w:pPr>
        <w:tabs>
          <w:tab w:val="left" w:pos="142"/>
          <w:tab w:val="left" w:pos="117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96D70">
        <w:rPr>
          <w:rFonts w:ascii="Times New Roman" w:hAnsi="Times New Roman" w:cs="Times New Roman"/>
          <w:b/>
          <w:sz w:val="24"/>
          <w:szCs w:val="24"/>
          <w:lang w:val="uk-UA"/>
        </w:rPr>
        <w:t>Сафаргаліна-Корнілова</w:t>
      </w:r>
      <w:proofErr w:type="spellEnd"/>
      <w:r w:rsidRPr="00196D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</w:t>
      </w:r>
      <w:proofErr w:type="spellStart"/>
      <w:r w:rsidRPr="00196D70">
        <w:rPr>
          <w:rFonts w:ascii="Times New Roman" w:hAnsi="Times New Roman" w:cs="Times New Roman"/>
          <w:b/>
          <w:sz w:val="24"/>
          <w:szCs w:val="24"/>
          <w:lang w:val="uk-UA"/>
        </w:rPr>
        <w:t>Асхатівна</w:t>
      </w:r>
      <w:proofErr w:type="spellEnd"/>
    </w:p>
    <w:p w:rsidR="00433221" w:rsidRPr="00196D70" w:rsidRDefault="00433221" w:rsidP="00433221">
      <w:pPr>
        <w:tabs>
          <w:tab w:val="left" w:pos="142"/>
          <w:tab w:val="left" w:pos="117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96D70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</w:p>
    <w:p w:rsidR="00433221" w:rsidRPr="00196D70" w:rsidRDefault="00433221" w:rsidP="00433221">
      <w:pPr>
        <w:tabs>
          <w:tab w:val="left" w:pos="142"/>
          <w:tab w:val="left" w:pos="1170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м.Харків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>, Україна</w:t>
      </w:r>
    </w:p>
    <w:p w:rsidR="00433221" w:rsidRPr="00196D70" w:rsidRDefault="00433221" w:rsidP="0043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221" w:rsidRPr="00196D70" w:rsidRDefault="00433221" w:rsidP="009B71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D70">
        <w:rPr>
          <w:rFonts w:ascii="Times New Roman" w:hAnsi="Times New Roman" w:cs="Times New Roman"/>
          <w:sz w:val="24"/>
          <w:szCs w:val="24"/>
          <w:lang w:val="uk-UA"/>
        </w:rPr>
        <w:t>Імуноглобулін А (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IgA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) людини відіграє ключову роль в імунному захисті.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IgA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- друге за поширеністю антитіло в сироватці крові. У пацієнтів з дефіцитом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IgA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часто розвиваються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аутоімунні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або запальні захворювання. Функція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IgA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в основному опосередковується завдяки його взаємодії з мієлоїдним рецептором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IgA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(CD89).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імунорецептор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, заснований на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тирозиновому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шляху активації рецептора (ITAM), має подвійну функцію імунітету.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Моновалентне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таргетування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анти-FcαRI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Fab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мономерного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IgA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запускає потужну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інгібіторну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сигналізацію ITAM (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ITAMi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) через пов'язаний ланцюг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FcRγ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. Це призводить до отримання низько-інтенсивного сигнального каскаду, що сприяє набору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тирозинфосфатази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SHP-1, який індукує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інгібування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клітин декількох типів сигналів активації. Навпаки, зшивання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мультимерним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лігандом індукує сигнальний шлях високої інтенсивності, що призводить до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рекрутингу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тирозинкінази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Syk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та активації клітин. Таким чином,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діє як регулятор, який опосередковує як протизапальну, так і зниження запальної функції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IgA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типу взаємодії. Цей баланс має велике значення для запобігання пошкодження тканин в імунопатології та для забезпечення повернення активованих клітин у стан спокою.</w:t>
      </w:r>
    </w:p>
    <w:p w:rsidR="00433221" w:rsidRPr="00196D70" w:rsidRDefault="00433221" w:rsidP="009B712F">
      <w:pPr>
        <w:pStyle w:val="HTML"/>
        <w:spacing w:line="276" w:lineRule="auto"/>
        <w:ind w:firstLine="709"/>
        <w:jc w:val="both"/>
        <w:rPr>
          <w:rFonts w:ascii="inherit" w:hAnsi="inherit"/>
          <w:color w:val="222222"/>
          <w:sz w:val="24"/>
          <w:szCs w:val="24"/>
          <w:lang w:val="uk-UA"/>
        </w:rPr>
      </w:pPr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Зшивання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імунними комплексами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IgA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вимагає асоціації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субодиницею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FcRγ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та ініціює клітинну відповідь, пов'язану з ITAM. Ланцюг ITAM ланцюга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FcRγ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із збереженої ділянки парних тирозинів та лейцинів, розділених на сім амінокислот. Потім вони служать місцями «стикування» для набору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тирозинкінази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Syk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, що полегшує активацію декількох цілей, таких як PI3K, та індукує вивільнення IP3 та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діацилгліцерину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вниз за течією, щоб викликати вивільнення кальцію. Взаємозв'язані сигнальні шляхи з'єднують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фосфорилювання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ІСАМ-ланцюга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FcRγ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з різними клітинними процесами, такими як експресія генів шляхом активації декількох факторів транскрипції. Залежно від типу клітини або стимуляції клітин, активація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може викликати специфічну сигнальну та функціональну відповіді. Нещодавно було продемонстровано, що ITAM також можуть поширювати гальмівні сигнали, коли вони знаходяться в конформації, яку ми назвали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інгібіторною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ITAM (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ITAMi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). Деякі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FcRs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, такі як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FcγR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IIIA, коли пов'язані з адаптером, що несе ITAM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FcRγ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, можуть діяти як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біфункціональні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рецептори, які можуть викликати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інгібіторні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сигнали до цілого масиву активуючих рецепторів і регулювати IgE- або IgG-. Було перевірено, чи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таргетування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фрагментів Fa-FcαRI може запобігти розвитку астми.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Трансгенні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миші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експресуючи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RI людини на моноцитах / макрофагах) були сенсибілізовані алергеном. Згодом вони розвинули бронхіальну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гіперреактивність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після протидії алерген. Попередня обробка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Tg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тварин анти-FcαRI, яка однозначно націлює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FcαRI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, значно зменшила симптоми порівняно з тваринами, які отримували нерелевантні контрольні антитіла. Аналогічно, продемонстровано терапевтичний потенціал лікування анти-FcαRI для пригнічення запальних реакцій за допомогою </w:t>
      </w:r>
      <w:r w:rsidRPr="00196D70">
        <w:rPr>
          <w:rFonts w:ascii="inherit" w:hAnsi="inherit"/>
          <w:color w:val="222222"/>
          <w:sz w:val="24"/>
          <w:szCs w:val="24"/>
          <w:lang w:val="uk-UA"/>
        </w:rPr>
        <w:t xml:space="preserve"> створення </w:t>
      </w:r>
      <w:r w:rsidRPr="00196D7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моделей запалення нирок на прикладі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нефротоксичного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нефриту або моделі сечовипускальної непрохідності, інтервальний фіброз ниркових канальців. Зшивання рецептора погіршило перебіг цих захворювань. Однак, лікування анти-FcαRI  </w:t>
      </w:r>
      <w:r w:rsidRPr="00196D70">
        <w:rPr>
          <w:rFonts w:ascii="Times New Roman" w:hAnsi="Times New Roman" w:cs="Times New Roman"/>
          <w:color w:val="222222"/>
          <w:sz w:val="24"/>
          <w:szCs w:val="24"/>
          <w:lang w:val="uk-UA"/>
        </w:rPr>
        <w:t>зменшувало запальну інфільтрацію клітин і уповільнювало розвиток фіброзу.</w:t>
      </w:r>
      <w:r w:rsidRPr="00196D70">
        <w:rPr>
          <w:rFonts w:ascii="inherit" w:hAnsi="inherit"/>
          <w:color w:val="222222"/>
          <w:sz w:val="24"/>
          <w:szCs w:val="24"/>
          <w:lang w:val="uk-UA"/>
        </w:rPr>
        <w:t xml:space="preserve"> </w:t>
      </w:r>
    </w:p>
    <w:p w:rsidR="00433221" w:rsidRPr="00196D70" w:rsidRDefault="00433221" w:rsidP="009B71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вказані результати досліджень демонструють можливість використання анти-FcαRI як нового терапевтичного інструменту для запобігання прогресування запальних захворювань нирок. Подальші дослідження потрібні  з метою визначення можливості використання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мономерного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6D70">
        <w:rPr>
          <w:rFonts w:ascii="Times New Roman" w:hAnsi="Times New Roman" w:cs="Times New Roman"/>
          <w:sz w:val="24"/>
          <w:szCs w:val="24"/>
          <w:lang w:val="uk-UA"/>
        </w:rPr>
        <w:t>IgA</w:t>
      </w:r>
      <w:proofErr w:type="spellEnd"/>
      <w:r w:rsidRPr="00196D70">
        <w:rPr>
          <w:rFonts w:ascii="Times New Roman" w:hAnsi="Times New Roman" w:cs="Times New Roman"/>
          <w:sz w:val="24"/>
          <w:szCs w:val="24"/>
          <w:lang w:val="uk-UA"/>
        </w:rPr>
        <w:t xml:space="preserve"> для запобігання або скасування запальних процесів інших органів і систем, стати основою для майбутнього розвитку протизапальної терапії.</w:t>
      </w:r>
    </w:p>
    <w:p w:rsidR="00433221" w:rsidRPr="00196D70" w:rsidRDefault="00433221" w:rsidP="009B712F">
      <w:pPr>
        <w:shd w:val="clear" w:color="auto" w:fill="FFFFFF"/>
        <w:spacing w:after="300" w:line="276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</w:pPr>
    </w:p>
    <w:p w:rsidR="00875B92" w:rsidRPr="00433221" w:rsidRDefault="00875B92" w:rsidP="009B712F">
      <w:pPr>
        <w:spacing w:line="276" w:lineRule="auto"/>
        <w:rPr>
          <w:lang w:val="uk-UA"/>
        </w:rPr>
      </w:pPr>
    </w:p>
    <w:sectPr w:rsidR="00875B92" w:rsidRPr="004332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4865"/>
    <w:multiLevelType w:val="hybridMultilevel"/>
    <w:tmpl w:val="BACE2346"/>
    <w:lvl w:ilvl="0" w:tplc="370AF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27"/>
    <w:rsid w:val="00142099"/>
    <w:rsid w:val="00363054"/>
    <w:rsid w:val="003E4641"/>
    <w:rsid w:val="00433221"/>
    <w:rsid w:val="00790527"/>
    <w:rsid w:val="007C4299"/>
    <w:rsid w:val="00875B92"/>
    <w:rsid w:val="00904CBE"/>
    <w:rsid w:val="009B712F"/>
    <w:rsid w:val="00B26390"/>
    <w:rsid w:val="00BE4739"/>
    <w:rsid w:val="00C95F99"/>
    <w:rsid w:val="00E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3221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63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3221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6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</cp:lastModifiedBy>
  <cp:revision>6</cp:revision>
  <dcterms:created xsi:type="dcterms:W3CDTF">2020-06-02T19:47:00Z</dcterms:created>
  <dcterms:modified xsi:type="dcterms:W3CDTF">2020-11-13T15:54:00Z</dcterms:modified>
</cp:coreProperties>
</file>