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9F" w:rsidRDefault="00D8689F" w:rsidP="00E22D96">
      <w:pPr>
        <w:spacing w:line="360" w:lineRule="auto"/>
        <w:rPr>
          <w:sz w:val="28"/>
          <w:szCs w:val="28"/>
          <w:lang w:val="uk-UA"/>
        </w:rPr>
      </w:pPr>
      <w:r w:rsidRPr="00491D87">
        <w:rPr>
          <w:sz w:val="28"/>
          <w:szCs w:val="28"/>
        </w:rPr>
        <w:t>УДК: 616.12.-008.331.1-05652-07</w:t>
      </w:r>
      <w:r w:rsidRPr="00CD7E92">
        <w:rPr>
          <w:sz w:val="28"/>
          <w:szCs w:val="28"/>
          <w:lang w:val="uk-UA"/>
        </w:rPr>
        <w:t xml:space="preserve"> </w:t>
      </w:r>
    </w:p>
    <w:p w:rsidR="00D8689F" w:rsidRDefault="00D8689F" w:rsidP="00E22D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Ащеулова Т.В., </w:t>
      </w:r>
      <w:r w:rsidRPr="00371783">
        <w:rPr>
          <w:sz w:val="28"/>
          <w:szCs w:val="28"/>
          <w:lang w:val="uk-UA"/>
        </w:rPr>
        <w:t>Аль Шейкх Д</w:t>
      </w:r>
      <w:r w:rsidR="00F17BC0">
        <w:rPr>
          <w:sz w:val="28"/>
          <w:szCs w:val="28"/>
          <w:lang w:val="uk-UA"/>
        </w:rPr>
        <w:t>і</w:t>
      </w:r>
      <w:r w:rsidRPr="00371783">
        <w:rPr>
          <w:sz w:val="28"/>
          <w:szCs w:val="28"/>
          <w:lang w:val="uk-UA"/>
        </w:rPr>
        <w:t>б</w:t>
      </w:r>
      <w:r w:rsidR="00357363" w:rsidRPr="00357363">
        <w:rPr>
          <w:sz w:val="28"/>
          <w:szCs w:val="28"/>
          <w:lang w:val="uk-UA"/>
        </w:rPr>
        <w:t xml:space="preserve"> </w:t>
      </w:r>
      <w:r w:rsidR="00357363" w:rsidRPr="00371783">
        <w:rPr>
          <w:sz w:val="28"/>
          <w:szCs w:val="28"/>
          <w:lang w:val="uk-UA"/>
        </w:rPr>
        <w:t>Х</w:t>
      </w:r>
      <w:r w:rsidR="00357363">
        <w:rPr>
          <w:sz w:val="28"/>
          <w:szCs w:val="28"/>
          <w:lang w:val="uk-UA"/>
        </w:rPr>
        <w:t>.</w:t>
      </w:r>
      <w:r w:rsidR="00357363" w:rsidRPr="00371783">
        <w:rPr>
          <w:sz w:val="28"/>
          <w:szCs w:val="28"/>
          <w:lang w:val="uk-UA"/>
        </w:rPr>
        <w:t xml:space="preserve"> Х</w:t>
      </w:r>
      <w:r w:rsidR="00357363">
        <w:rPr>
          <w:sz w:val="28"/>
          <w:szCs w:val="28"/>
          <w:lang w:val="uk-UA"/>
        </w:rPr>
        <w:t>.</w:t>
      </w:r>
    </w:p>
    <w:p w:rsidR="00D8689F" w:rsidRDefault="00E805A9" w:rsidP="00E22D9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СИГНАЛЬНІ МОЛЕКУЛИ </w:t>
      </w:r>
      <w:r w:rsidR="00D8689F" w:rsidRPr="000C1523">
        <w:rPr>
          <w:b/>
          <w:sz w:val="28"/>
          <w:szCs w:val="28"/>
          <w:lang w:val="uk-UA"/>
        </w:rPr>
        <w:t xml:space="preserve">АПОПТОЗУ </w:t>
      </w:r>
      <w:r>
        <w:rPr>
          <w:b/>
          <w:sz w:val="28"/>
          <w:szCs w:val="28"/>
          <w:lang w:val="uk-UA"/>
        </w:rPr>
        <w:t xml:space="preserve">ТА ІМУНОЗАПАЛЕННЯ </w:t>
      </w:r>
      <w:r w:rsidR="00D8689F" w:rsidRPr="000C1523">
        <w:rPr>
          <w:b/>
          <w:sz w:val="28"/>
          <w:szCs w:val="28"/>
          <w:lang w:val="uk-UA"/>
        </w:rPr>
        <w:t xml:space="preserve">У ХВОРИХ НА АРТЕРІАЛЬНУ ГІПЕРТЕНЗІЮ З </w:t>
      </w:r>
      <w:r>
        <w:rPr>
          <w:b/>
          <w:sz w:val="28"/>
          <w:szCs w:val="28"/>
          <w:lang w:val="uk-UA"/>
        </w:rPr>
        <w:t>СУПУТНІМ ЦУКРОВИМ ДІАБЕТОМ 2 ТИПУ</w:t>
      </w:r>
    </w:p>
    <w:p w:rsidR="00E40A09" w:rsidRDefault="00E22D96" w:rsidP="00E40A0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22D96">
        <w:rPr>
          <w:sz w:val="28"/>
          <w:szCs w:val="28"/>
          <w:lang w:val="uk-UA"/>
        </w:rPr>
        <w:t>Харківський національний медичний університет, кафедра пропедевтики внутрішньої медицини №1, основ біоетики та біобезпеки</w:t>
      </w:r>
      <w:r w:rsidR="00E40A09">
        <w:rPr>
          <w:sz w:val="28"/>
          <w:szCs w:val="28"/>
          <w:lang w:val="uk-UA"/>
        </w:rPr>
        <w:t xml:space="preserve">, </w:t>
      </w:r>
      <w:hyperlink r:id="rId8" w:history="1">
        <w:r w:rsidR="00E40A09" w:rsidRPr="000869EB">
          <w:rPr>
            <w:rStyle w:val="a7"/>
            <w:sz w:val="28"/>
            <w:szCs w:val="28"/>
            <w:lang w:val="en-US"/>
          </w:rPr>
          <w:t>tatiana</w:t>
        </w:r>
        <w:r w:rsidR="00E40A09" w:rsidRPr="00E40A09">
          <w:rPr>
            <w:rStyle w:val="a7"/>
            <w:sz w:val="28"/>
            <w:szCs w:val="28"/>
          </w:rPr>
          <w:t>.</w:t>
        </w:r>
        <w:r w:rsidR="00E40A09" w:rsidRPr="000869EB">
          <w:rPr>
            <w:rStyle w:val="a7"/>
            <w:sz w:val="28"/>
            <w:szCs w:val="28"/>
            <w:lang w:val="en-US"/>
          </w:rPr>
          <w:t>ashcheulova</w:t>
        </w:r>
        <w:r w:rsidR="00E40A09" w:rsidRPr="00E40A09">
          <w:rPr>
            <w:rStyle w:val="a7"/>
            <w:sz w:val="28"/>
            <w:szCs w:val="28"/>
          </w:rPr>
          <w:t>@</w:t>
        </w:r>
        <w:r w:rsidR="00E40A09" w:rsidRPr="000869EB">
          <w:rPr>
            <w:rStyle w:val="a7"/>
            <w:sz w:val="28"/>
            <w:szCs w:val="28"/>
            <w:lang w:val="en-US"/>
          </w:rPr>
          <w:t>gmail</w:t>
        </w:r>
        <w:r w:rsidR="00E40A09" w:rsidRPr="00E40A09">
          <w:rPr>
            <w:rStyle w:val="a7"/>
            <w:sz w:val="28"/>
            <w:szCs w:val="28"/>
          </w:rPr>
          <w:t>.</w:t>
        </w:r>
        <w:r w:rsidR="00E40A09" w:rsidRPr="000869EB">
          <w:rPr>
            <w:rStyle w:val="a7"/>
            <w:sz w:val="28"/>
            <w:szCs w:val="28"/>
            <w:lang w:val="en-US"/>
          </w:rPr>
          <w:t>com</w:t>
        </w:r>
      </w:hyperlink>
    </w:p>
    <w:p w:rsidR="00E22D96" w:rsidRDefault="00E22D96" w:rsidP="00E22D96">
      <w:pPr>
        <w:spacing w:line="360" w:lineRule="auto"/>
        <w:jc w:val="center"/>
        <w:rPr>
          <w:sz w:val="28"/>
          <w:szCs w:val="28"/>
          <w:lang w:val="uk-UA"/>
        </w:rPr>
      </w:pPr>
    </w:p>
    <w:p w:rsidR="00E22D96" w:rsidRPr="00E40A09" w:rsidRDefault="00E22D96" w:rsidP="00E22D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Напрямок роботи входить до тематичного плану Харківського національного медичного університету як фрагмент науково-дослідної роботи кафедри пропедевтики внутрішньої медицини №1 «</w:t>
      </w:r>
      <w:r w:rsidR="00E40A09">
        <w:rPr>
          <w:sz w:val="28"/>
          <w:szCs w:val="28"/>
          <w:lang w:val="uk-UA"/>
        </w:rPr>
        <w:t>Роль системного запалення, апоптозу, дисфункції ендотелію в ремоделюванні серця та судин у хворих на гіпертонічну хворобу з цукровим діабетом 2 типу» (державний реєстраційний номер 0110U000652)</w:t>
      </w:r>
    </w:p>
    <w:p w:rsidR="00E805A9" w:rsidRDefault="00255A76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11E02">
        <w:rPr>
          <w:sz w:val="28"/>
          <w:szCs w:val="28"/>
          <w:lang w:val="uk-UA"/>
        </w:rPr>
        <w:t>Артеріальна гіпертензія (АГ) залишається однією з найбільш актуальних, складних та комплексних медико-соціальних проблем</w:t>
      </w:r>
      <w:r w:rsidRPr="00511E02">
        <w:rPr>
          <w:color w:val="FF0000"/>
          <w:sz w:val="28"/>
          <w:szCs w:val="28"/>
          <w:lang w:val="uk-UA"/>
        </w:rPr>
        <w:t xml:space="preserve"> </w:t>
      </w:r>
      <w:r w:rsidRPr="00511E02">
        <w:rPr>
          <w:sz w:val="28"/>
          <w:szCs w:val="28"/>
          <w:lang w:val="uk-UA"/>
        </w:rPr>
        <w:t>сучасної кардіології</w:t>
      </w:r>
      <w:r w:rsidR="00243BED">
        <w:rPr>
          <w:sz w:val="28"/>
          <w:szCs w:val="28"/>
          <w:lang w:val="uk-UA"/>
        </w:rPr>
        <w:t xml:space="preserve"> </w:t>
      </w:r>
      <w:r w:rsidR="00243BED" w:rsidRPr="00243BED">
        <w:rPr>
          <w:sz w:val="28"/>
          <w:szCs w:val="28"/>
          <w:lang w:val="uk-UA"/>
        </w:rPr>
        <w:t>[1]</w:t>
      </w:r>
      <w:r w:rsidRPr="00511E02">
        <w:rPr>
          <w:sz w:val="28"/>
          <w:szCs w:val="28"/>
          <w:lang w:val="uk-UA"/>
        </w:rPr>
        <w:t>.</w:t>
      </w:r>
      <w:r w:rsidRPr="00255A76">
        <w:rPr>
          <w:sz w:val="28"/>
          <w:szCs w:val="28"/>
          <w:lang w:val="uk-UA"/>
        </w:rPr>
        <w:t xml:space="preserve"> </w:t>
      </w:r>
      <w:r w:rsidRPr="00511E02">
        <w:rPr>
          <w:sz w:val="28"/>
          <w:szCs w:val="28"/>
          <w:lang w:val="uk-UA"/>
        </w:rPr>
        <w:t>Перебіг та прогноз АГ значно погіршується за наявності супутньої патології, насамперед цукрового діабету 2 типу (ЦД 2 типу).</w:t>
      </w:r>
    </w:p>
    <w:p w:rsidR="00E85D9C" w:rsidRPr="00A00B74" w:rsidRDefault="00E85D9C" w:rsidP="00E22D96">
      <w:pPr>
        <w:pStyle w:val="21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E11DF8">
        <w:rPr>
          <w:sz w:val="28"/>
          <w:szCs w:val="28"/>
          <w:lang w:val="uk-UA"/>
        </w:rPr>
        <w:t xml:space="preserve">Апоптоз або запрограмована клітинна загибель – це процес, який на відміну від некротичної загибелі залежить від de novo синтезу протеїнів, які </w:t>
      </w:r>
      <w:r w:rsidRPr="00A00B74">
        <w:rPr>
          <w:sz w:val="28"/>
          <w:szCs w:val="28"/>
          <w:lang w:val="uk-UA"/>
        </w:rPr>
        <w:t xml:space="preserve">ініціюють суїцидальну програму у відповідь на специфічні стимули </w:t>
      </w:r>
      <w:r w:rsidR="00A00B74" w:rsidRPr="00A00B74">
        <w:rPr>
          <w:sz w:val="28"/>
          <w:szCs w:val="28"/>
          <w:lang w:val="uk-UA"/>
        </w:rPr>
        <w:t xml:space="preserve">У класичному розумінні апоптоз є самогубством, тобто при певних умовах клітина здатна автономно ініціювати свою загибель. </w:t>
      </w:r>
      <w:r w:rsidR="00A00B74">
        <w:rPr>
          <w:sz w:val="28"/>
          <w:szCs w:val="28"/>
          <w:lang w:val="uk-UA"/>
        </w:rPr>
        <w:t>Проте в</w:t>
      </w:r>
      <w:r w:rsidR="00A00B74" w:rsidRPr="00A00B74">
        <w:rPr>
          <w:sz w:val="28"/>
          <w:szCs w:val="28"/>
          <w:lang w:val="uk-UA"/>
        </w:rPr>
        <w:t>иявлення екзогенних індукторів апоптозу та їх рецепторів на поверхні клітин</w:t>
      </w:r>
      <w:r w:rsidR="00A00B74">
        <w:rPr>
          <w:sz w:val="28"/>
          <w:szCs w:val="28"/>
          <w:lang w:val="uk-UA"/>
        </w:rPr>
        <w:t>,</w:t>
      </w:r>
      <w:r w:rsidR="00A00B74" w:rsidRPr="00A00B74">
        <w:rPr>
          <w:sz w:val="28"/>
          <w:szCs w:val="28"/>
          <w:lang w:val="uk-UA"/>
        </w:rPr>
        <w:t xml:space="preserve"> свідчить про те, що процес у ряді випадків стимулюється ззовні </w:t>
      </w:r>
      <w:r w:rsidRPr="00A00B74">
        <w:rPr>
          <w:sz w:val="28"/>
          <w:szCs w:val="28"/>
          <w:lang w:val="uk-UA"/>
        </w:rPr>
        <w:t>[</w:t>
      </w:r>
      <w:r w:rsidR="00E11DF8" w:rsidRPr="00A00B74">
        <w:rPr>
          <w:sz w:val="28"/>
          <w:szCs w:val="28"/>
          <w:lang w:val="uk-UA"/>
        </w:rPr>
        <w:t>2,3</w:t>
      </w:r>
      <w:r w:rsidRPr="00A00B74">
        <w:rPr>
          <w:sz w:val="28"/>
          <w:szCs w:val="28"/>
          <w:lang w:val="uk-UA"/>
        </w:rPr>
        <w:t xml:space="preserve">]. </w:t>
      </w:r>
    </w:p>
    <w:p w:rsidR="00E85D9C" w:rsidRPr="00A00B74" w:rsidRDefault="00E85D9C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00B74">
        <w:rPr>
          <w:sz w:val="28"/>
          <w:szCs w:val="28"/>
        </w:rPr>
        <w:t xml:space="preserve">Нещодавно було встановлено, що апоптоз відіграє </w:t>
      </w:r>
      <w:r w:rsidR="00A00B74" w:rsidRPr="00A00B74">
        <w:rPr>
          <w:sz w:val="28"/>
          <w:szCs w:val="28"/>
          <w:lang w:val="uk-UA"/>
        </w:rPr>
        <w:t xml:space="preserve">визначальну </w:t>
      </w:r>
      <w:r w:rsidRPr="00A00B74">
        <w:rPr>
          <w:sz w:val="28"/>
          <w:szCs w:val="28"/>
        </w:rPr>
        <w:t xml:space="preserve">роль при </w:t>
      </w:r>
      <w:r w:rsidR="00A00B74" w:rsidRPr="00A00B74">
        <w:rPr>
          <w:sz w:val="28"/>
          <w:szCs w:val="28"/>
          <w:lang w:val="uk-UA"/>
        </w:rPr>
        <w:t xml:space="preserve">виникненні та прогресуванні </w:t>
      </w:r>
      <w:r w:rsidRPr="00A00B74">
        <w:rPr>
          <w:sz w:val="28"/>
          <w:szCs w:val="28"/>
        </w:rPr>
        <w:t>деяких серцево-судинних захворюваннях</w:t>
      </w:r>
      <w:r w:rsidR="00E11DF8" w:rsidRPr="00A00B74">
        <w:rPr>
          <w:sz w:val="28"/>
          <w:szCs w:val="28"/>
          <w:lang w:val="uk-UA"/>
        </w:rPr>
        <w:t>, у тому числі АГ</w:t>
      </w:r>
      <w:r w:rsidRPr="00A00B74">
        <w:rPr>
          <w:sz w:val="28"/>
          <w:szCs w:val="28"/>
        </w:rPr>
        <w:t xml:space="preserve"> [4</w:t>
      </w:r>
      <w:r w:rsidR="00E11DF8" w:rsidRPr="00A00B74">
        <w:rPr>
          <w:sz w:val="28"/>
          <w:szCs w:val="28"/>
          <w:lang w:val="uk-UA"/>
        </w:rPr>
        <w:t>,5</w:t>
      </w:r>
      <w:r w:rsidRPr="00A00B74">
        <w:rPr>
          <w:sz w:val="28"/>
          <w:szCs w:val="28"/>
        </w:rPr>
        <w:t xml:space="preserve">]. </w:t>
      </w:r>
      <w:r w:rsidR="00A00B74">
        <w:rPr>
          <w:sz w:val="28"/>
          <w:szCs w:val="28"/>
          <w:lang w:val="uk-UA"/>
        </w:rPr>
        <w:t xml:space="preserve">Крім того,  існують відомості щодо потенційної участі апоптозу у розвитку ЦД 2 типу </w:t>
      </w:r>
      <w:r w:rsidR="00A00B74" w:rsidRPr="00A00B74">
        <w:rPr>
          <w:sz w:val="28"/>
          <w:szCs w:val="28"/>
        </w:rPr>
        <w:t>[</w:t>
      </w:r>
      <w:r w:rsidR="00A00B74">
        <w:rPr>
          <w:sz w:val="28"/>
          <w:szCs w:val="28"/>
          <w:lang w:val="uk-UA"/>
        </w:rPr>
        <w:t>6</w:t>
      </w:r>
      <w:r w:rsidR="00A00B74" w:rsidRPr="00A00B74">
        <w:rPr>
          <w:sz w:val="28"/>
          <w:szCs w:val="28"/>
        </w:rPr>
        <w:t xml:space="preserve">].  </w:t>
      </w:r>
      <w:r w:rsidR="00A00B74">
        <w:rPr>
          <w:sz w:val="28"/>
          <w:szCs w:val="28"/>
          <w:lang w:val="uk-UA"/>
        </w:rPr>
        <w:t xml:space="preserve"> </w:t>
      </w:r>
    </w:p>
    <w:p w:rsidR="00255A76" w:rsidRDefault="00255A76" w:rsidP="00E22D96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Метою нашого дослідження було вивчення плазматичного рівню </w:t>
      </w:r>
      <w:r w:rsidRPr="00A00B74">
        <w:rPr>
          <w:sz w:val="28"/>
          <w:szCs w:val="28"/>
          <w:lang w:val="uk-UA"/>
        </w:rPr>
        <w:t xml:space="preserve">сигнальних молекул </w:t>
      </w:r>
      <w:r>
        <w:rPr>
          <w:sz w:val="28"/>
          <w:szCs w:val="28"/>
          <w:lang w:val="uk-UA"/>
        </w:rPr>
        <w:t>апоптозу:</w:t>
      </w:r>
      <w:r w:rsidRPr="009A26E0">
        <w:rPr>
          <w:sz w:val="28"/>
          <w:szCs w:val="28"/>
          <w:lang w:val="uk-UA"/>
        </w:rPr>
        <w:t xml:space="preserve"> </w:t>
      </w:r>
      <w:r w:rsidR="004E4F58" w:rsidRPr="00BE49D2">
        <w:rPr>
          <w:sz w:val="28"/>
          <w:szCs w:val="28"/>
          <w:lang w:val="en-US"/>
        </w:rPr>
        <w:t>FasL</w:t>
      </w:r>
      <w:r w:rsidR="004E4F58">
        <w:rPr>
          <w:sz w:val="28"/>
          <w:szCs w:val="28"/>
          <w:lang w:val="uk-UA"/>
        </w:rPr>
        <w:t>,</w:t>
      </w:r>
      <w:r w:rsidR="004E4F58" w:rsidRPr="00A00B74">
        <w:rPr>
          <w:sz w:val="28"/>
          <w:szCs w:val="28"/>
          <w:lang w:val="uk-UA"/>
        </w:rPr>
        <w:t xml:space="preserve"> </w:t>
      </w:r>
      <w:r w:rsidRPr="00BE49D2">
        <w:rPr>
          <w:sz w:val="28"/>
          <w:szCs w:val="28"/>
          <w:lang w:val="en-US"/>
        </w:rPr>
        <w:t>Fas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та імунозапалення: ІЛ-18, ІЛ-10 у хворих на АГ з супутніми порушеннями вуглеводного метаболізму.  </w:t>
      </w:r>
    </w:p>
    <w:p w:rsidR="00042DEF" w:rsidRDefault="00042DEF" w:rsidP="00E22D96">
      <w:pPr>
        <w:pStyle w:val="a3"/>
        <w:tabs>
          <w:tab w:val="clear" w:pos="4153"/>
          <w:tab w:val="clear" w:pos="830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22DC">
        <w:rPr>
          <w:b/>
          <w:color w:val="000000"/>
          <w:sz w:val="28"/>
          <w:szCs w:val="28"/>
          <w:shd w:val="clear" w:color="auto" w:fill="FFFFFF"/>
          <w:lang w:val="uk-UA"/>
        </w:rPr>
        <w:t>Матеріали та методи дослідження.</w:t>
      </w:r>
      <w:r w:rsidRPr="008222DC">
        <w:rPr>
          <w:color w:val="000000"/>
          <w:sz w:val="28"/>
          <w:szCs w:val="28"/>
          <w:shd w:val="clear" w:color="auto" w:fill="FFFFFF"/>
          <w:lang w:val="uk-UA"/>
        </w:rPr>
        <w:t xml:space="preserve"> Обстежено </w:t>
      </w:r>
      <w:r w:rsidR="00E805A9">
        <w:rPr>
          <w:color w:val="000000"/>
          <w:sz w:val="28"/>
          <w:szCs w:val="28"/>
          <w:shd w:val="clear" w:color="auto" w:fill="FFFFFF"/>
          <w:lang w:val="uk-UA"/>
        </w:rPr>
        <w:t xml:space="preserve">113 осіб, з них </w:t>
      </w:r>
      <w:r>
        <w:rPr>
          <w:sz w:val="28"/>
          <w:szCs w:val="28"/>
          <w:lang w:val="uk-UA"/>
        </w:rPr>
        <w:t>104 пацієнта на АГ: 59 жінок</w:t>
      </w:r>
      <w:r w:rsidR="00E805A9">
        <w:rPr>
          <w:sz w:val="28"/>
          <w:szCs w:val="28"/>
          <w:lang w:val="uk-UA"/>
        </w:rPr>
        <w:t xml:space="preserve"> (5</w:t>
      </w:r>
      <w:r>
        <w:rPr>
          <w:sz w:val="28"/>
          <w:szCs w:val="28"/>
          <w:lang w:val="uk-UA"/>
        </w:rPr>
        <w:t>6,7 %</w:t>
      </w:r>
      <w:r w:rsidR="00E805A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45 чоловіків (43,3 %)</w:t>
      </w:r>
      <w:r w:rsidR="00E805A9">
        <w:rPr>
          <w:sz w:val="28"/>
          <w:szCs w:val="28"/>
          <w:lang w:val="uk-UA"/>
        </w:rPr>
        <w:t xml:space="preserve"> та 10 практично здорових осіб контрольної групи</w:t>
      </w:r>
      <w:r>
        <w:rPr>
          <w:sz w:val="28"/>
          <w:szCs w:val="28"/>
          <w:lang w:val="uk-UA"/>
        </w:rPr>
        <w:t xml:space="preserve">, </w:t>
      </w:r>
      <w:r w:rsidRPr="008222DC">
        <w:rPr>
          <w:sz w:val="28"/>
          <w:szCs w:val="28"/>
          <w:lang w:val="uk-UA"/>
        </w:rPr>
        <w:t xml:space="preserve">яким було проведено загально-клінічне та лабораторно-інструментальне обстеження. Верифікацію діагнозу, визначення стадії та ступеня АГ проведено згідно критеріїв, рекомендованих Українським товариством кардіологів та Європейським товариством з артеріальної гіпертензії / Європейським товариством з кардіології </w:t>
      </w:r>
      <w:r>
        <w:rPr>
          <w:sz w:val="28"/>
          <w:szCs w:val="28"/>
          <w:lang w:val="uk-UA"/>
        </w:rPr>
        <w:t>[</w:t>
      </w:r>
      <w:r w:rsidR="00F40A4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]</w:t>
      </w:r>
      <w:r w:rsidRPr="008222DC">
        <w:rPr>
          <w:sz w:val="28"/>
          <w:szCs w:val="28"/>
          <w:lang w:val="uk-UA"/>
        </w:rPr>
        <w:t>.</w:t>
      </w:r>
      <w:r w:rsidR="001268D5">
        <w:rPr>
          <w:sz w:val="28"/>
          <w:szCs w:val="28"/>
          <w:lang w:val="uk-UA"/>
        </w:rPr>
        <w:t xml:space="preserve"> Супутній ЦД 2 типу мав місце у 31 (29,8%) хворих на АГ.</w:t>
      </w:r>
    </w:p>
    <w:p w:rsidR="00042DEF" w:rsidRDefault="00042DEF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дослідження не включали пацієнтів з вторинною АГ, за наявності супутньої аутоімунної, онкологічної патології, гострих та хронічних захворюваннях печінки та нирок, запальних процесів чи захворювань, виражених порушень серцевого ритму та провідності, </w:t>
      </w:r>
      <w:r w:rsidRPr="003F1AEC">
        <w:rPr>
          <w:sz w:val="28"/>
          <w:szCs w:val="28"/>
          <w:lang w:val="uk-UA"/>
        </w:rPr>
        <w:t>гострого інфаркту міокарда чи інсульту, гострої ліво- чи правошлуночкової недостатності</w:t>
      </w:r>
      <w:r>
        <w:rPr>
          <w:sz w:val="28"/>
          <w:szCs w:val="28"/>
          <w:lang w:val="uk-UA"/>
        </w:rPr>
        <w:t xml:space="preserve">, хронічної серцевої недостатності </w:t>
      </w:r>
      <w:r w:rsidRPr="003F1AEC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ст., супутніх психічних захворювань, наркоманії, алкоголізму. </w:t>
      </w:r>
    </w:p>
    <w:p w:rsidR="00E805A9" w:rsidRDefault="00D15534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оцінки глікемічного профілю визначали плазматичний рівень глюкози, інсуліну натще та </w:t>
      </w:r>
      <w:r w:rsidRPr="00C24C83">
        <w:rPr>
          <w:color w:val="000000"/>
          <w:sz w:val="28"/>
          <w:szCs w:val="20"/>
        </w:rPr>
        <w:t>HbA</w:t>
      </w:r>
      <w:r w:rsidRPr="00CE0979">
        <w:rPr>
          <w:color w:val="000000"/>
          <w:sz w:val="28"/>
          <w:szCs w:val="20"/>
          <w:lang w:val="uk-UA"/>
        </w:rPr>
        <w:t>1</w:t>
      </w:r>
      <w:r w:rsidRPr="00C24C83">
        <w:rPr>
          <w:color w:val="000000"/>
          <w:sz w:val="28"/>
          <w:szCs w:val="20"/>
        </w:rPr>
        <w:t>c</w:t>
      </w:r>
      <w:r>
        <w:rPr>
          <w:color w:val="000000"/>
          <w:sz w:val="28"/>
          <w:szCs w:val="20"/>
          <w:lang w:val="uk-UA"/>
        </w:rPr>
        <w:t xml:space="preserve">. </w:t>
      </w:r>
      <w:r w:rsidRPr="00026475">
        <w:rPr>
          <w:sz w:val="28"/>
          <w:szCs w:val="28"/>
          <w:lang w:val="uk-UA"/>
        </w:rPr>
        <w:t>Дослідження концентрації глюкози в плазмі крові натще здійснено ферментативним методом з використанням стандартних наборів</w:t>
      </w:r>
      <w:r>
        <w:rPr>
          <w:sz w:val="28"/>
          <w:szCs w:val="28"/>
          <w:lang w:val="uk-UA"/>
        </w:rPr>
        <w:t>.</w:t>
      </w:r>
      <w:r w:rsidRPr="00A323FF">
        <w:rPr>
          <w:sz w:val="28"/>
          <w:szCs w:val="28"/>
          <w:lang w:val="uk-UA"/>
        </w:rPr>
        <w:t xml:space="preserve"> </w:t>
      </w:r>
      <w:r w:rsidRPr="00026475">
        <w:rPr>
          <w:sz w:val="28"/>
          <w:szCs w:val="28"/>
          <w:lang w:val="uk-UA"/>
        </w:rPr>
        <w:t>Визначення концентрації інсуліну натще</w:t>
      </w:r>
      <w:r>
        <w:rPr>
          <w:sz w:val="28"/>
          <w:szCs w:val="28"/>
          <w:lang w:val="uk-UA"/>
        </w:rPr>
        <w:t xml:space="preserve"> </w:t>
      </w:r>
      <w:r w:rsidRPr="00026475">
        <w:rPr>
          <w:sz w:val="28"/>
          <w:szCs w:val="28"/>
          <w:lang w:val="uk-UA"/>
        </w:rPr>
        <w:t>проведено з використанням набору реактивів DRG® Інсулін (EIA-2935), (DRG Instruments GmbH, Німеччина, Марбург)</w:t>
      </w:r>
      <w:r>
        <w:rPr>
          <w:sz w:val="28"/>
          <w:szCs w:val="28"/>
          <w:lang w:val="uk-UA"/>
        </w:rPr>
        <w:t xml:space="preserve">. Плазматичний вміст інсуліну натще, що перевищував 12,2 млОд/мл вважався за критерій гіперінсулінемії. </w:t>
      </w:r>
      <w:r w:rsidRPr="00026475">
        <w:rPr>
          <w:sz w:val="28"/>
          <w:szCs w:val="28"/>
          <w:lang w:val="uk-UA"/>
        </w:rPr>
        <w:t>Визначення глікозільованого гемоглобіну (HbA1c) проводилось за реакцією з тіобарбітуровою кислотою</w:t>
      </w:r>
      <w:r>
        <w:rPr>
          <w:sz w:val="28"/>
          <w:szCs w:val="28"/>
          <w:lang w:val="uk-UA"/>
        </w:rPr>
        <w:t xml:space="preserve">. </w:t>
      </w:r>
      <w:r w:rsidR="00042DEF" w:rsidRPr="00644168">
        <w:rPr>
          <w:sz w:val="28"/>
          <w:szCs w:val="28"/>
          <w:lang w:val="uk-UA"/>
        </w:rPr>
        <w:t xml:space="preserve">Визначення плазматичного рівню </w:t>
      </w:r>
      <w:r w:rsidR="00042DEF" w:rsidRPr="00644168">
        <w:rPr>
          <w:sz w:val="28"/>
          <w:szCs w:val="28"/>
          <w:lang w:val="en-US"/>
        </w:rPr>
        <w:t>FasR</w:t>
      </w:r>
      <w:r w:rsidR="00042DEF" w:rsidRPr="00644168">
        <w:rPr>
          <w:sz w:val="28"/>
          <w:szCs w:val="28"/>
          <w:lang w:val="uk-UA"/>
        </w:rPr>
        <w:t xml:space="preserve"> та </w:t>
      </w:r>
      <w:r w:rsidR="00042DEF" w:rsidRPr="00644168">
        <w:rPr>
          <w:sz w:val="28"/>
          <w:szCs w:val="28"/>
          <w:lang w:val="en-US"/>
        </w:rPr>
        <w:t>FasL</w:t>
      </w:r>
      <w:r w:rsidR="00042DEF" w:rsidRPr="00644168">
        <w:rPr>
          <w:sz w:val="28"/>
          <w:szCs w:val="28"/>
          <w:lang w:val="uk-UA"/>
        </w:rPr>
        <w:t xml:space="preserve"> проводилося імуноферментним методом з використанням набору “</w:t>
      </w:r>
      <w:r w:rsidR="00042DEF" w:rsidRPr="00644168">
        <w:rPr>
          <w:sz w:val="28"/>
          <w:szCs w:val="28"/>
          <w:lang w:val="en-US"/>
        </w:rPr>
        <w:t>Human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en-US"/>
        </w:rPr>
        <w:t>Fas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en-US"/>
        </w:rPr>
        <w:t>Ligand</w:t>
      </w:r>
      <w:r w:rsidR="00042DEF" w:rsidRPr="00F81028">
        <w:rPr>
          <w:sz w:val="28"/>
          <w:szCs w:val="28"/>
          <w:lang w:val="uk-UA"/>
        </w:rPr>
        <w:t>/</w:t>
      </w:r>
      <w:r w:rsidR="00042DEF">
        <w:rPr>
          <w:sz w:val="28"/>
          <w:szCs w:val="28"/>
          <w:lang w:val="en-US"/>
        </w:rPr>
        <w:t>TNFSF</w:t>
      </w:r>
      <w:r w:rsidR="00042DEF" w:rsidRPr="00F81028">
        <w:rPr>
          <w:sz w:val="28"/>
          <w:szCs w:val="28"/>
          <w:lang w:val="uk-UA"/>
        </w:rPr>
        <w:t xml:space="preserve">6 </w:t>
      </w:r>
      <w:r w:rsidR="00042DEF">
        <w:rPr>
          <w:sz w:val="28"/>
          <w:szCs w:val="28"/>
          <w:lang w:val="en-US"/>
        </w:rPr>
        <w:t>Immunoassay</w:t>
      </w:r>
      <w:r w:rsidR="00042DEF" w:rsidRPr="00F81028">
        <w:rPr>
          <w:sz w:val="28"/>
          <w:szCs w:val="28"/>
          <w:lang w:val="uk-UA"/>
        </w:rPr>
        <w:t>” (</w:t>
      </w:r>
      <w:r w:rsidR="00042DEF">
        <w:rPr>
          <w:sz w:val="28"/>
          <w:szCs w:val="28"/>
          <w:lang w:val="en-US"/>
        </w:rPr>
        <w:t>R</w:t>
      </w:r>
      <w:r w:rsidR="00042DEF" w:rsidRPr="00F81028">
        <w:rPr>
          <w:sz w:val="28"/>
          <w:szCs w:val="28"/>
          <w:lang w:val="uk-UA"/>
        </w:rPr>
        <w:t>&amp;</w:t>
      </w:r>
      <w:r w:rsidR="00042DEF">
        <w:rPr>
          <w:sz w:val="28"/>
          <w:szCs w:val="28"/>
          <w:lang w:val="en-US"/>
        </w:rPr>
        <w:t>D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en-US"/>
        </w:rPr>
        <w:t>System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en-US"/>
        </w:rPr>
        <w:t>Europ</w:t>
      </w:r>
      <w:r w:rsidR="00E805A9">
        <w:rPr>
          <w:sz w:val="28"/>
          <w:szCs w:val="28"/>
          <w:lang w:val="en-US"/>
        </w:rPr>
        <w:t>e</w:t>
      </w:r>
      <w:r w:rsidR="00042DEF" w:rsidRPr="00F81028">
        <w:rPr>
          <w:sz w:val="28"/>
          <w:szCs w:val="28"/>
          <w:lang w:val="uk-UA"/>
        </w:rPr>
        <w:t xml:space="preserve">, </w:t>
      </w:r>
      <w:r w:rsidR="00042DEF">
        <w:rPr>
          <w:sz w:val="28"/>
          <w:szCs w:val="28"/>
          <w:lang w:val="en-US"/>
        </w:rPr>
        <w:t>Ltd</w:t>
      </w:r>
      <w:r w:rsidR="00042DEF" w:rsidRPr="00F81028">
        <w:rPr>
          <w:sz w:val="28"/>
          <w:szCs w:val="28"/>
          <w:lang w:val="uk-UA"/>
        </w:rPr>
        <w:t xml:space="preserve">. </w:t>
      </w:r>
      <w:r w:rsidR="00042DEF">
        <w:rPr>
          <w:sz w:val="28"/>
          <w:szCs w:val="28"/>
          <w:lang w:val="en-US"/>
        </w:rPr>
        <w:t>United</w:t>
      </w:r>
      <w:r w:rsidR="00042DEF" w:rsidRPr="006472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Kingdom</w:t>
      </w:r>
      <w:r w:rsidR="00042DEF" w:rsidRPr="00647237">
        <w:rPr>
          <w:sz w:val="28"/>
          <w:szCs w:val="28"/>
          <w:lang w:val="uk-UA"/>
        </w:rPr>
        <w:t xml:space="preserve">). </w:t>
      </w:r>
      <w:r w:rsidR="00E805A9" w:rsidRPr="00A323FF">
        <w:rPr>
          <w:sz w:val="28"/>
          <w:szCs w:val="28"/>
          <w:lang w:val="uk-UA"/>
        </w:rPr>
        <w:t>Визначення плазматичного рівню ІЛ-18</w:t>
      </w:r>
      <w:r w:rsidR="00E805A9">
        <w:rPr>
          <w:i/>
          <w:sz w:val="28"/>
          <w:szCs w:val="28"/>
          <w:lang w:val="uk-UA"/>
        </w:rPr>
        <w:t xml:space="preserve"> </w:t>
      </w:r>
      <w:r w:rsidR="00E805A9">
        <w:rPr>
          <w:sz w:val="28"/>
          <w:szCs w:val="28"/>
          <w:lang w:val="uk-UA"/>
        </w:rPr>
        <w:t xml:space="preserve">проводилося імуноферментним </w:t>
      </w:r>
      <w:r w:rsidR="00E805A9">
        <w:rPr>
          <w:sz w:val="28"/>
          <w:szCs w:val="28"/>
          <w:lang w:val="uk-UA"/>
        </w:rPr>
        <w:lastRenderedPageBreak/>
        <w:t xml:space="preserve">методом з використанням набору реагентів </w:t>
      </w:r>
      <w:r w:rsidR="00E805A9" w:rsidRPr="005552C4">
        <w:rPr>
          <w:sz w:val="28"/>
          <w:szCs w:val="28"/>
          <w:lang w:val="uk-UA"/>
        </w:rPr>
        <w:t>“</w:t>
      </w:r>
      <w:r w:rsidR="00E805A9">
        <w:rPr>
          <w:sz w:val="28"/>
          <w:szCs w:val="28"/>
          <w:lang w:val="en-US"/>
        </w:rPr>
        <w:t>Human</w:t>
      </w:r>
      <w:r w:rsidR="00E805A9" w:rsidRPr="005552C4">
        <w:rPr>
          <w:sz w:val="28"/>
          <w:szCs w:val="28"/>
          <w:lang w:val="uk-UA"/>
        </w:rPr>
        <w:t xml:space="preserve"> </w:t>
      </w:r>
      <w:r w:rsidR="00E805A9">
        <w:rPr>
          <w:sz w:val="28"/>
          <w:szCs w:val="28"/>
          <w:lang w:val="en-US"/>
        </w:rPr>
        <w:t>Interleukin</w:t>
      </w:r>
      <w:r w:rsidR="00E805A9" w:rsidRPr="005552C4">
        <w:rPr>
          <w:sz w:val="28"/>
          <w:szCs w:val="28"/>
          <w:lang w:val="uk-UA"/>
        </w:rPr>
        <w:t xml:space="preserve"> 18, </w:t>
      </w:r>
      <w:r w:rsidR="00E805A9">
        <w:rPr>
          <w:sz w:val="28"/>
          <w:szCs w:val="28"/>
          <w:lang w:val="en-US"/>
        </w:rPr>
        <w:t>IL</w:t>
      </w:r>
      <w:r w:rsidR="00E805A9" w:rsidRPr="005552C4">
        <w:rPr>
          <w:sz w:val="28"/>
          <w:szCs w:val="28"/>
          <w:lang w:val="uk-UA"/>
        </w:rPr>
        <w:t xml:space="preserve">-18 </w:t>
      </w:r>
      <w:r w:rsidR="00E805A9">
        <w:rPr>
          <w:sz w:val="28"/>
          <w:szCs w:val="28"/>
          <w:lang w:val="en-US"/>
        </w:rPr>
        <w:t>ELISA</w:t>
      </w:r>
      <w:r w:rsidR="00E805A9" w:rsidRPr="005552C4">
        <w:rPr>
          <w:sz w:val="28"/>
          <w:szCs w:val="28"/>
          <w:lang w:val="uk-UA"/>
        </w:rPr>
        <w:t xml:space="preserve"> </w:t>
      </w:r>
      <w:r w:rsidR="00E805A9">
        <w:rPr>
          <w:sz w:val="28"/>
          <w:szCs w:val="28"/>
          <w:lang w:val="en-US"/>
        </w:rPr>
        <w:t>Kit</w:t>
      </w:r>
      <w:r w:rsidR="00E805A9" w:rsidRPr="005552C4">
        <w:rPr>
          <w:sz w:val="28"/>
          <w:szCs w:val="28"/>
          <w:lang w:val="uk-UA"/>
        </w:rPr>
        <w:t>”</w:t>
      </w:r>
      <w:r w:rsidR="00E805A9">
        <w:rPr>
          <w:sz w:val="28"/>
          <w:szCs w:val="28"/>
          <w:lang w:val="uk-UA"/>
        </w:rPr>
        <w:t xml:space="preserve"> виробництва </w:t>
      </w:r>
      <w:r w:rsidR="00E805A9" w:rsidRPr="00747871">
        <w:rPr>
          <w:sz w:val="28"/>
          <w:szCs w:val="28"/>
          <w:lang w:val="uk-UA"/>
        </w:rPr>
        <w:t>“</w:t>
      </w:r>
      <w:r w:rsidR="00E805A9"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Wuhan</w:t>
      </w:r>
      <w:r w:rsidR="00E805A9"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05A9"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EIAab</w:t>
      </w:r>
      <w:r w:rsidR="00E805A9"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05A9"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Science</w:t>
      </w:r>
      <w:r w:rsidR="00E805A9"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05A9"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Co</w:t>
      </w:r>
      <w:r w:rsidR="00E805A9"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.,</w:t>
      </w:r>
      <w:r w:rsidR="00E805A9" w:rsidRPr="003675C8">
        <w:rPr>
          <w:bCs/>
          <w:color w:val="000000"/>
          <w:sz w:val="28"/>
          <w:szCs w:val="28"/>
          <w:shd w:val="clear" w:color="auto" w:fill="FFFFFF"/>
          <w:lang w:val="en-US"/>
        </w:rPr>
        <w:t>Ltd</w:t>
      </w:r>
      <w:r w:rsidR="00E805A9" w:rsidRPr="00747871">
        <w:rPr>
          <w:bCs/>
          <w:color w:val="000000"/>
          <w:sz w:val="28"/>
          <w:szCs w:val="28"/>
          <w:shd w:val="clear" w:color="auto" w:fill="FFFFFF"/>
          <w:lang w:val="uk-UA"/>
        </w:rPr>
        <w:t>”,</w:t>
      </w:r>
      <w:r w:rsidR="00E805A9" w:rsidRPr="003675C8">
        <w:rPr>
          <w:color w:val="000000"/>
          <w:sz w:val="28"/>
          <w:szCs w:val="28"/>
          <w:shd w:val="clear" w:color="auto" w:fill="FFFFFF"/>
          <w:lang w:val="en-US"/>
        </w:rPr>
        <w:t> China</w:t>
      </w:r>
      <w:r w:rsidR="00E805A9" w:rsidRPr="00A323FF">
        <w:rPr>
          <w:sz w:val="28"/>
          <w:szCs w:val="28"/>
          <w:lang w:val="uk-UA"/>
        </w:rPr>
        <w:t xml:space="preserve">. Визначення плазматичного рівню ІЛ-10 </w:t>
      </w:r>
      <w:r w:rsidR="00E805A9" w:rsidRPr="0007580C">
        <w:rPr>
          <w:sz w:val="28"/>
          <w:szCs w:val="28"/>
          <w:lang w:val="uk-UA"/>
        </w:rPr>
        <w:t>проводилося з</w:t>
      </w:r>
      <w:r w:rsidR="00E805A9">
        <w:rPr>
          <w:sz w:val="28"/>
          <w:szCs w:val="28"/>
          <w:lang w:val="uk-UA"/>
        </w:rPr>
        <w:t xml:space="preserve"> використанням набору реагентів «</w:t>
      </w:r>
      <w:r w:rsidR="00E805A9">
        <w:rPr>
          <w:sz w:val="28"/>
          <w:szCs w:val="28"/>
        </w:rPr>
        <w:t>Интерлейкин-10-ИФА-БЕСТ» виробництва «Вектор-Бест», Новосибирск, Россия.</w:t>
      </w:r>
    </w:p>
    <w:p w:rsidR="00D15534" w:rsidRPr="009F741C" w:rsidRDefault="00042DEF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95B16">
        <w:rPr>
          <w:sz w:val="28"/>
          <w:szCs w:val="28"/>
          <w:lang w:val="uk-UA"/>
        </w:rPr>
        <w:t>Статистичн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обробк</w:t>
      </w:r>
      <w:r>
        <w:rPr>
          <w:sz w:val="28"/>
          <w:szCs w:val="28"/>
          <w:lang w:val="uk-UA"/>
        </w:rPr>
        <w:t>у</w:t>
      </w:r>
      <w:r w:rsidRPr="00595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отриманих даних проведено методами непараметричної статистики з використанням пакету статистичних програм </w:t>
      </w:r>
      <w:r>
        <w:rPr>
          <w:sz w:val="28"/>
          <w:szCs w:val="28"/>
          <w:lang w:val="en-US"/>
        </w:rPr>
        <w:t>Statistica</w:t>
      </w:r>
      <w:r w:rsidRPr="00042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042DEF">
        <w:rPr>
          <w:sz w:val="28"/>
          <w:szCs w:val="28"/>
          <w:lang w:val="uk-UA"/>
        </w:rPr>
        <w:t xml:space="preserve">.0 </w:t>
      </w:r>
      <w:r>
        <w:rPr>
          <w:sz w:val="28"/>
          <w:szCs w:val="28"/>
          <w:lang w:val="en-US"/>
        </w:rPr>
        <w:t>for</w:t>
      </w:r>
      <w:r w:rsidRPr="00042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Windows</w:t>
      </w:r>
      <w:r w:rsidRPr="00042DE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Statsoft</w:t>
      </w:r>
      <w:r w:rsidRPr="00042D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USA</w:t>
      </w:r>
      <w:r w:rsidRPr="00042DEF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Для характеристики центральної закономірності та варіабельності ознак у групах обстежених осіб обчислювали медіану </w:t>
      </w:r>
      <w:r w:rsidRPr="00CB769F">
        <w:rPr>
          <w:sz w:val="28"/>
          <w:szCs w:val="28"/>
          <w:lang w:val="uk-UA"/>
        </w:rPr>
        <w:t>(</w:t>
      </w:r>
      <w:r w:rsidRPr="00897321">
        <w:rPr>
          <w:sz w:val="28"/>
          <w:szCs w:val="28"/>
          <w:lang w:val="uk-UA"/>
        </w:rPr>
        <w:t>M</w:t>
      </w:r>
      <w:r>
        <w:rPr>
          <w:sz w:val="28"/>
          <w:szCs w:val="28"/>
          <w:lang w:val="uk-UA"/>
        </w:rPr>
        <w:t>е</w:t>
      </w:r>
      <w:r w:rsidRPr="00CB769F">
        <w:rPr>
          <w:sz w:val="28"/>
          <w:szCs w:val="28"/>
          <w:lang w:val="uk-UA"/>
        </w:rPr>
        <w:t xml:space="preserve">) </w:t>
      </w:r>
      <w:r w:rsidRPr="007A487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міжквартильний інтервал із наведенням значень нижнього, 25 % квартиля </w:t>
      </w:r>
      <w:r w:rsidRPr="007A4875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LQ</w:t>
      </w:r>
      <w:r w:rsidRPr="007A4875">
        <w:rPr>
          <w:sz w:val="28"/>
          <w:szCs w:val="28"/>
          <w:lang w:val="uk-UA"/>
        </w:rPr>
        <w:t>) та верхнього</w:t>
      </w:r>
      <w:r>
        <w:rPr>
          <w:sz w:val="28"/>
          <w:szCs w:val="28"/>
          <w:lang w:val="uk-UA"/>
        </w:rPr>
        <w:t>,</w:t>
      </w:r>
      <w:r w:rsidRPr="007A4875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 xml:space="preserve"> </w:t>
      </w:r>
      <w:r w:rsidRPr="007A4875">
        <w:rPr>
          <w:sz w:val="28"/>
          <w:szCs w:val="28"/>
          <w:lang w:val="uk-UA"/>
        </w:rPr>
        <w:t>% кварт</w:t>
      </w:r>
      <w:r>
        <w:rPr>
          <w:sz w:val="28"/>
          <w:szCs w:val="28"/>
          <w:lang w:val="uk-UA"/>
        </w:rPr>
        <w:t>иля (</w:t>
      </w:r>
      <w:r>
        <w:rPr>
          <w:sz w:val="28"/>
          <w:szCs w:val="28"/>
          <w:lang w:val="en-US"/>
        </w:rPr>
        <w:t>UQ</w:t>
      </w:r>
      <w:r w:rsidRPr="007A4875">
        <w:rPr>
          <w:sz w:val="28"/>
          <w:szCs w:val="28"/>
          <w:lang w:val="uk-UA"/>
        </w:rPr>
        <w:t xml:space="preserve">), </w:t>
      </w:r>
      <w:r w:rsidRPr="00CB769F">
        <w:rPr>
          <w:sz w:val="28"/>
          <w:szCs w:val="28"/>
          <w:lang w:val="uk-UA"/>
        </w:rPr>
        <w:t>результат виражали у вигляд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LQ</w:t>
      </w:r>
      <w:r w:rsidRPr="007A487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UQ</w:t>
      </w:r>
      <w:r>
        <w:rPr>
          <w:sz w:val="28"/>
          <w:szCs w:val="28"/>
          <w:lang w:val="uk-UA"/>
        </w:rPr>
        <w:t xml:space="preserve">). Визначення тертилів проведено за 33,3 та 66,6 процентилями. </w:t>
      </w:r>
      <w:r w:rsidRPr="00CB76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ірогідність відмінностей у незалежних групах оцінювали за допомогою </w:t>
      </w:r>
      <w:r>
        <w:rPr>
          <w:sz w:val="28"/>
          <w:szCs w:val="28"/>
          <w:lang w:val="en-US"/>
        </w:rPr>
        <w:t>U</w:t>
      </w:r>
      <w:r w:rsidRPr="007A4875">
        <w:rPr>
          <w:sz w:val="28"/>
          <w:szCs w:val="28"/>
          <w:lang w:val="uk-UA"/>
        </w:rPr>
        <w:t>-</w:t>
      </w:r>
      <w:r w:rsidRPr="00897321">
        <w:rPr>
          <w:sz w:val="28"/>
          <w:szCs w:val="28"/>
          <w:lang w:val="uk-UA"/>
        </w:rPr>
        <w:t>критер</w:t>
      </w:r>
      <w:r>
        <w:rPr>
          <w:sz w:val="28"/>
          <w:szCs w:val="28"/>
          <w:lang w:val="uk-UA"/>
        </w:rPr>
        <w:t xml:space="preserve">ія </w:t>
      </w:r>
      <w:r w:rsidRPr="007A4875">
        <w:rPr>
          <w:sz w:val="28"/>
          <w:szCs w:val="28"/>
          <w:lang w:val="uk-UA"/>
        </w:rPr>
        <w:t>Манна-У</w:t>
      </w:r>
      <w:r>
        <w:rPr>
          <w:sz w:val="28"/>
          <w:szCs w:val="28"/>
          <w:lang w:val="uk-UA"/>
        </w:rPr>
        <w:t>і</w:t>
      </w:r>
      <w:r w:rsidRPr="007A4875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 (</w:t>
      </w:r>
      <w:r>
        <w:rPr>
          <w:sz w:val="28"/>
          <w:szCs w:val="28"/>
          <w:lang w:val="en-US"/>
        </w:rPr>
        <w:t>Mann</w:t>
      </w:r>
      <w:r w:rsidRPr="007A487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Whitney</w:t>
      </w:r>
      <w:r w:rsidRPr="007A4875">
        <w:rPr>
          <w:sz w:val="28"/>
          <w:szCs w:val="28"/>
          <w:lang w:val="uk-UA"/>
        </w:rPr>
        <w:t>).</w:t>
      </w:r>
      <w:r w:rsidRPr="003E359C">
        <w:rPr>
          <w:sz w:val="28"/>
          <w:szCs w:val="28"/>
          <w:lang w:val="uk-UA"/>
        </w:rPr>
        <w:t xml:space="preserve"> </w:t>
      </w:r>
      <w:r w:rsidRPr="002D1126">
        <w:rPr>
          <w:sz w:val="28"/>
          <w:szCs w:val="28"/>
          <w:lang w:val="uk-UA"/>
        </w:rPr>
        <w:t>У вс</w:t>
      </w:r>
      <w:r>
        <w:rPr>
          <w:sz w:val="28"/>
          <w:szCs w:val="28"/>
          <w:lang w:val="uk-UA"/>
        </w:rPr>
        <w:t>іх статистичних розрахунках пороговою величиною рівня значимості р обрано 0,05.</w:t>
      </w:r>
      <w:r w:rsidR="00D15534" w:rsidRPr="00D15534">
        <w:rPr>
          <w:sz w:val="28"/>
          <w:szCs w:val="28"/>
          <w:lang w:val="uk-UA"/>
        </w:rPr>
        <w:t xml:space="preserve"> </w:t>
      </w:r>
      <w:r w:rsidR="00D15534">
        <w:rPr>
          <w:sz w:val="28"/>
          <w:szCs w:val="28"/>
          <w:lang w:val="uk-UA"/>
        </w:rPr>
        <w:t>Аналіз</w:t>
      </w:r>
      <w:r w:rsidR="00F40A4B">
        <w:rPr>
          <w:sz w:val="28"/>
          <w:szCs w:val="28"/>
          <w:lang w:val="uk-UA"/>
        </w:rPr>
        <w:t xml:space="preserve"> взаємо</w:t>
      </w:r>
      <w:r w:rsidR="00D15534">
        <w:rPr>
          <w:sz w:val="28"/>
          <w:szCs w:val="28"/>
          <w:lang w:val="uk-UA"/>
        </w:rPr>
        <w:t xml:space="preserve">зв’язку показників здійснювали за допомогою </w:t>
      </w:r>
      <w:r w:rsidR="00D15534" w:rsidRPr="007A4875">
        <w:rPr>
          <w:sz w:val="28"/>
          <w:szCs w:val="28"/>
          <w:lang w:val="uk-UA"/>
        </w:rPr>
        <w:t>рангово</w:t>
      </w:r>
      <w:r w:rsidR="00D15534">
        <w:rPr>
          <w:sz w:val="28"/>
          <w:szCs w:val="28"/>
          <w:lang w:val="uk-UA"/>
        </w:rPr>
        <w:t xml:space="preserve">ї кореляції за Спірменом </w:t>
      </w:r>
      <w:r w:rsidR="00D15534" w:rsidRPr="007A4875">
        <w:rPr>
          <w:sz w:val="28"/>
          <w:szCs w:val="28"/>
          <w:lang w:val="uk-UA"/>
        </w:rPr>
        <w:t>(</w:t>
      </w:r>
      <w:r w:rsidR="00D15534">
        <w:rPr>
          <w:sz w:val="28"/>
          <w:szCs w:val="28"/>
          <w:lang w:val="en-US"/>
        </w:rPr>
        <w:t>Spearman</w:t>
      </w:r>
      <w:r w:rsidR="00D15534" w:rsidRPr="007A4875">
        <w:rPr>
          <w:sz w:val="28"/>
          <w:szCs w:val="28"/>
          <w:lang w:val="uk-UA"/>
        </w:rPr>
        <w:t xml:space="preserve">) </w:t>
      </w:r>
      <w:r w:rsidR="00D15534">
        <w:rPr>
          <w:sz w:val="28"/>
          <w:szCs w:val="28"/>
          <w:lang w:val="uk-UA"/>
        </w:rPr>
        <w:t xml:space="preserve">із обчисленням коефіцієнта кореляції </w:t>
      </w:r>
      <w:r w:rsidR="00D15534">
        <w:rPr>
          <w:sz w:val="28"/>
          <w:szCs w:val="28"/>
          <w:lang w:val="en-US"/>
        </w:rPr>
        <w:t>R</w:t>
      </w:r>
      <w:r w:rsidR="00D15534">
        <w:rPr>
          <w:sz w:val="28"/>
          <w:szCs w:val="28"/>
          <w:lang w:val="uk-UA"/>
        </w:rPr>
        <w:t>. На рисунках позитивний кореляційний зв’язок зображено безперервною лінією, негативний зв’язок</w:t>
      </w:r>
      <w:r w:rsidR="00D15534" w:rsidRPr="00D15534">
        <w:rPr>
          <w:sz w:val="28"/>
          <w:szCs w:val="28"/>
          <w:lang w:val="uk-UA"/>
        </w:rPr>
        <w:t xml:space="preserve"> – </w:t>
      </w:r>
      <w:r w:rsidR="00D15534">
        <w:rPr>
          <w:sz w:val="28"/>
          <w:szCs w:val="28"/>
          <w:lang w:val="uk-UA"/>
        </w:rPr>
        <w:t>пунктирною.</w:t>
      </w:r>
    </w:p>
    <w:p w:rsidR="00BE21F5" w:rsidRDefault="00042DEF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222DC">
        <w:rPr>
          <w:b/>
          <w:sz w:val="28"/>
          <w:szCs w:val="28"/>
          <w:lang w:val="uk-UA"/>
        </w:rPr>
        <w:t>Результати дослідження</w:t>
      </w:r>
      <w:r>
        <w:rPr>
          <w:b/>
          <w:sz w:val="28"/>
          <w:szCs w:val="28"/>
          <w:lang w:val="uk-UA"/>
        </w:rPr>
        <w:t xml:space="preserve"> та їх обговорення</w:t>
      </w:r>
      <w:r w:rsidRPr="008222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42DEF" w:rsidRDefault="00F40A4B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деяких досліджень було припущено, що висока концентрація глюкози може спричинювати апоптотичну загибель β-клітин підшлункової залози та, в додаток до потенційної ролі у дисфункції β-клітин при ЦД 2 типу, висока концентрація циркулюючої глюкози може також призводити до деструкції β-клітин, що залишилися при встановленні діагнозу ЦД 1 типу</w:t>
      </w:r>
      <w:r w:rsidR="002F6729">
        <w:rPr>
          <w:sz w:val="28"/>
          <w:szCs w:val="28"/>
          <w:lang w:val="uk-UA"/>
        </w:rPr>
        <w:t xml:space="preserve"> </w:t>
      </w:r>
      <w:r w:rsidR="002F6729" w:rsidRPr="002F6729">
        <w:rPr>
          <w:sz w:val="28"/>
          <w:szCs w:val="28"/>
          <w:lang w:val="uk-UA"/>
        </w:rPr>
        <w:t>[8]</w:t>
      </w:r>
      <w:r>
        <w:rPr>
          <w:sz w:val="28"/>
          <w:szCs w:val="28"/>
          <w:lang w:val="uk-UA"/>
        </w:rPr>
        <w:t xml:space="preserve">. </w:t>
      </w:r>
      <w:r w:rsidR="002F6729">
        <w:rPr>
          <w:sz w:val="28"/>
          <w:szCs w:val="28"/>
          <w:lang w:val="uk-UA"/>
        </w:rPr>
        <w:t>Було запропоновано низку механізмів глюкоз-індукованої токсичності по відношенню до острівків підшлункової залози у людини. Так, припущено, що глюкоза може індукувати панкреатичну продукцію ІЛ-1β, що призводить до активації NF-κB</w:t>
      </w:r>
      <w:r w:rsidR="00C36A9D">
        <w:rPr>
          <w:sz w:val="28"/>
          <w:szCs w:val="28"/>
          <w:lang w:val="uk-UA"/>
        </w:rPr>
        <w:t>,</w:t>
      </w:r>
      <w:r w:rsidR="000C1811">
        <w:rPr>
          <w:sz w:val="28"/>
          <w:szCs w:val="28"/>
          <w:lang w:val="uk-UA"/>
        </w:rPr>
        <w:t xml:space="preserve"> підвищення експресії</w:t>
      </w:r>
      <w:r w:rsidR="00C36A9D">
        <w:rPr>
          <w:sz w:val="28"/>
          <w:szCs w:val="28"/>
          <w:lang w:val="uk-UA"/>
        </w:rPr>
        <w:t xml:space="preserve"> Fas та апоптоз β-клітин підшлункової залози</w:t>
      </w:r>
      <w:r w:rsidR="000C1811">
        <w:rPr>
          <w:sz w:val="28"/>
          <w:szCs w:val="28"/>
          <w:lang w:val="uk-UA"/>
        </w:rPr>
        <w:t xml:space="preserve"> як наслідок </w:t>
      </w:r>
      <w:r w:rsidR="009749CA">
        <w:rPr>
          <w:sz w:val="28"/>
          <w:szCs w:val="28"/>
          <w:lang w:val="uk-UA"/>
        </w:rPr>
        <w:t>залучення Fas ліганду (FasL)</w:t>
      </w:r>
      <w:r w:rsidR="009749CA" w:rsidRPr="009749CA">
        <w:rPr>
          <w:sz w:val="28"/>
          <w:szCs w:val="28"/>
          <w:lang w:val="uk-UA"/>
        </w:rPr>
        <w:t xml:space="preserve"> – тригеру </w:t>
      </w:r>
      <w:r w:rsidR="009749CA">
        <w:rPr>
          <w:sz w:val="28"/>
          <w:szCs w:val="28"/>
          <w:lang w:val="uk-UA"/>
        </w:rPr>
        <w:lastRenderedPageBreak/>
        <w:t xml:space="preserve">апоптозу. У зв’язку з цим, пацієнтів було розділено залежно від плазматичного рівню </w:t>
      </w:r>
      <w:r w:rsidR="009749CA">
        <w:rPr>
          <w:sz w:val="28"/>
          <w:szCs w:val="28"/>
          <w:lang w:val="en-US"/>
        </w:rPr>
        <w:t>FasL</w:t>
      </w:r>
      <w:r w:rsidR="009749CA" w:rsidRPr="009749CA">
        <w:rPr>
          <w:sz w:val="28"/>
          <w:szCs w:val="28"/>
          <w:lang w:val="uk-UA"/>
        </w:rPr>
        <w:t xml:space="preserve"> на тертилі.</w:t>
      </w:r>
      <w:r w:rsidR="00C36A9D">
        <w:rPr>
          <w:sz w:val="28"/>
          <w:szCs w:val="28"/>
          <w:lang w:val="uk-UA"/>
        </w:rPr>
        <w:t xml:space="preserve">  </w:t>
      </w:r>
      <w:r w:rsidR="002F672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BE21F5" w:rsidRDefault="009749CA" w:rsidP="00E22D96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Оскільки т</w:t>
      </w:r>
      <w:r w:rsidR="00042DEF">
        <w:rPr>
          <w:sz w:val="28"/>
          <w:szCs w:val="28"/>
          <w:lang w:val="uk-UA"/>
        </w:rPr>
        <w:t xml:space="preserve">ертилі за рівнем </w:t>
      </w:r>
      <w:r w:rsidR="00042DEF">
        <w:rPr>
          <w:sz w:val="28"/>
          <w:szCs w:val="28"/>
          <w:lang w:val="en-US"/>
        </w:rPr>
        <w:t>FasL</w:t>
      </w:r>
      <w:r w:rsidR="00042DEF">
        <w:rPr>
          <w:sz w:val="28"/>
          <w:szCs w:val="28"/>
          <w:lang w:val="uk-UA"/>
        </w:rPr>
        <w:t xml:space="preserve"> становили </w:t>
      </w:r>
      <w:r w:rsidR="00042DEF" w:rsidRPr="00570DA0">
        <w:rPr>
          <w:sz w:val="28"/>
          <w:szCs w:val="28"/>
          <w:lang w:val="uk-UA"/>
        </w:rPr>
        <w:t>6</w:t>
      </w:r>
      <w:r w:rsidR="00042DEF">
        <w:rPr>
          <w:sz w:val="28"/>
          <w:szCs w:val="28"/>
          <w:lang w:val="uk-UA"/>
        </w:rPr>
        <w:t>,</w:t>
      </w:r>
      <w:r w:rsidR="00042DEF" w:rsidRPr="00570DA0">
        <w:rPr>
          <w:sz w:val="28"/>
          <w:szCs w:val="28"/>
          <w:lang w:val="uk-UA"/>
        </w:rPr>
        <w:t>4</w:t>
      </w:r>
      <w:r w:rsidR="00042DEF" w:rsidRPr="00F364F2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uk-UA"/>
        </w:rPr>
        <w:t>пг/мл та 6,8</w:t>
      </w:r>
      <w:r w:rsidR="00042DEF" w:rsidRPr="00F364F2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uk-UA"/>
        </w:rPr>
        <w:t xml:space="preserve">пг/мл, виділено </w:t>
      </w:r>
      <w:r>
        <w:rPr>
          <w:sz w:val="28"/>
          <w:szCs w:val="28"/>
          <w:lang w:val="uk-UA"/>
        </w:rPr>
        <w:t>наступні тертильні групи: 1 група:</w:t>
      </w:r>
      <w:r w:rsidR="00042DEF">
        <w:rPr>
          <w:sz w:val="28"/>
          <w:szCs w:val="28"/>
          <w:lang w:val="uk-UA"/>
        </w:rPr>
        <w:t xml:space="preserve"> інтервал</w:t>
      </w:r>
      <w:r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uk-UA"/>
        </w:rPr>
        <w:t>значень менше</w:t>
      </w:r>
      <w:r>
        <w:rPr>
          <w:sz w:val="28"/>
          <w:szCs w:val="28"/>
          <w:lang w:val="uk-UA"/>
        </w:rPr>
        <w:t xml:space="preserve"> за</w:t>
      </w:r>
      <w:r w:rsidR="00042DEF">
        <w:rPr>
          <w:sz w:val="28"/>
          <w:szCs w:val="28"/>
          <w:lang w:val="uk-UA"/>
        </w:rPr>
        <w:t xml:space="preserve"> 6,4</w:t>
      </w:r>
      <w:r w:rsidR="00042DEF" w:rsidRPr="00F810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пг/мл, 2 група:</w:t>
      </w:r>
      <w:r w:rsidR="00042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інтервал</w:t>
      </w:r>
      <w:r w:rsidR="00042DEF">
        <w:rPr>
          <w:sz w:val="28"/>
          <w:szCs w:val="28"/>
          <w:lang w:val="uk-UA"/>
        </w:rPr>
        <w:t xml:space="preserve"> значень 6,4–6,7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uk-UA"/>
        </w:rPr>
        <w:t>пг/мл, 3 груп</w:t>
      </w:r>
      <w:r>
        <w:rPr>
          <w:sz w:val="28"/>
          <w:szCs w:val="28"/>
          <w:lang w:val="uk-UA"/>
        </w:rPr>
        <w:t>а:</w:t>
      </w:r>
      <w:r w:rsidR="00042DEF">
        <w:rPr>
          <w:sz w:val="28"/>
          <w:szCs w:val="28"/>
          <w:lang w:val="uk-UA"/>
        </w:rPr>
        <w:t xml:space="preserve"> інтервал значень 6,8</w:t>
      </w:r>
      <w:r w:rsidR="00042DEF" w:rsidRPr="00F81028">
        <w:rPr>
          <w:sz w:val="28"/>
          <w:szCs w:val="28"/>
          <w:lang w:val="uk-UA"/>
        </w:rPr>
        <w:t xml:space="preserve"> </w:t>
      </w:r>
      <w:r w:rsidR="00042DEF">
        <w:rPr>
          <w:sz w:val="28"/>
          <w:szCs w:val="28"/>
          <w:lang w:val="uk-UA"/>
        </w:rPr>
        <w:t xml:space="preserve">пг/мл </w:t>
      </w:r>
      <w:r>
        <w:rPr>
          <w:sz w:val="28"/>
          <w:szCs w:val="28"/>
          <w:lang w:val="uk-UA"/>
        </w:rPr>
        <w:t>та вище</w:t>
      </w:r>
      <w:r w:rsidR="00330D79">
        <w:rPr>
          <w:sz w:val="28"/>
          <w:szCs w:val="28"/>
          <w:lang w:val="uk-UA"/>
        </w:rPr>
        <w:t xml:space="preserve">. При зіставленні параметрів, порівняльну характеристику яких наведено у таблиці 1, встановлено відмінності у хворих на АГ порівняно з контрольною групою практично здорових осіб. </w:t>
      </w:r>
    </w:p>
    <w:p w:rsidR="00BE21F5" w:rsidRDefault="00E40A09" w:rsidP="00E40A09">
      <w:pPr>
        <w:tabs>
          <w:tab w:val="left" w:pos="567"/>
          <w:tab w:val="left" w:pos="333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E21F5" w:rsidRDefault="00BE21F5" w:rsidP="00E22D96">
      <w:pPr>
        <w:tabs>
          <w:tab w:val="left" w:pos="567"/>
        </w:tabs>
        <w:jc w:val="right"/>
        <w:rPr>
          <w:lang w:val="uk-UA"/>
        </w:rPr>
      </w:pPr>
    </w:p>
    <w:p w:rsidR="00042DEF" w:rsidRPr="00483C38" w:rsidRDefault="00042DEF" w:rsidP="00E22D96">
      <w:pPr>
        <w:tabs>
          <w:tab w:val="left" w:pos="567"/>
        </w:tabs>
        <w:jc w:val="right"/>
        <w:rPr>
          <w:lang w:val="uk-UA"/>
        </w:rPr>
      </w:pPr>
      <w:r w:rsidRPr="00483C38">
        <w:rPr>
          <w:lang w:val="uk-UA"/>
        </w:rPr>
        <w:t xml:space="preserve">Таблиця </w:t>
      </w:r>
      <w:r w:rsidR="00C35343">
        <w:rPr>
          <w:lang w:val="uk-UA"/>
        </w:rPr>
        <w:t>1</w:t>
      </w:r>
    </w:p>
    <w:p w:rsidR="00712DD4" w:rsidRPr="00483C38" w:rsidRDefault="00042DEF" w:rsidP="00E22D96">
      <w:pPr>
        <w:keepNext/>
        <w:keepLines/>
        <w:jc w:val="center"/>
        <w:rPr>
          <w:b/>
          <w:lang w:val="uk-UA"/>
        </w:rPr>
      </w:pPr>
      <w:r w:rsidRPr="00483C38">
        <w:rPr>
          <w:b/>
          <w:lang w:val="uk-UA"/>
        </w:rPr>
        <w:t xml:space="preserve">Антропометричні, гемодинамічні, вуглеводні показники </w:t>
      </w:r>
      <w:r w:rsidR="00C35343">
        <w:rPr>
          <w:b/>
          <w:lang w:val="uk-UA"/>
        </w:rPr>
        <w:t>конт</w:t>
      </w:r>
      <w:r w:rsidR="00357363">
        <w:rPr>
          <w:b/>
          <w:lang w:val="uk-UA"/>
        </w:rPr>
        <w:t>р</w:t>
      </w:r>
      <w:r w:rsidR="00C35343">
        <w:rPr>
          <w:b/>
          <w:lang w:val="uk-UA"/>
        </w:rPr>
        <w:t xml:space="preserve">ольної групи та </w:t>
      </w:r>
      <w:r w:rsidRPr="00483C38">
        <w:rPr>
          <w:b/>
          <w:lang w:val="uk-UA"/>
        </w:rPr>
        <w:t xml:space="preserve">пацієнтів на АГ, розподілених за тертилями рівня </w:t>
      </w:r>
      <w:r w:rsidRPr="00483C38">
        <w:rPr>
          <w:b/>
          <w:lang w:val="en-US"/>
        </w:rPr>
        <w:t>FasL</w:t>
      </w:r>
      <w:r w:rsidRPr="00483C38">
        <w:rPr>
          <w:b/>
          <w:lang w:val="uk-UA"/>
        </w:rPr>
        <w:t xml:space="preserve">, </w:t>
      </w:r>
      <w:r w:rsidRPr="00483C38">
        <w:rPr>
          <w:b/>
          <w:lang w:val="en-US"/>
        </w:rPr>
        <w:t>Me</w:t>
      </w:r>
      <w:r w:rsidRPr="00483C38">
        <w:rPr>
          <w:b/>
          <w:lang w:val="uk-UA"/>
        </w:rPr>
        <w:t xml:space="preserve"> (</w:t>
      </w:r>
      <w:r w:rsidRPr="00483C38">
        <w:rPr>
          <w:b/>
          <w:lang w:val="en-US"/>
        </w:rPr>
        <w:t>LQ</w:t>
      </w:r>
      <w:r w:rsidRPr="00483C38">
        <w:rPr>
          <w:b/>
          <w:lang w:val="uk-UA"/>
        </w:rPr>
        <w:t xml:space="preserve">; </w:t>
      </w:r>
      <w:r w:rsidRPr="00483C38">
        <w:rPr>
          <w:b/>
          <w:lang w:val="en-US"/>
        </w:rPr>
        <w:t>UQ</w:t>
      </w:r>
      <w:r w:rsidRPr="00483C38">
        <w:rPr>
          <w:b/>
          <w:lang w:val="uk-UA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1985"/>
        <w:gridCol w:w="1842"/>
        <w:gridCol w:w="1843"/>
      </w:tblGrid>
      <w:tr w:rsidR="00712DD4" w:rsidRPr="002C7A38" w:rsidTr="00357363">
        <w:tc>
          <w:tcPr>
            <w:tcW w:w="2235" w:type="dxa"/>
            <w:vMerge w:val="restart"/>
          </w:tcPr>
          <w:p w:rsidR="00712DD4" w:rsidRPr="002C7A38" w:rsidRDefault="00712DD4" w:rsidP="00E22D96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C7A38">
              <w:rPr>
                <w:lang w:val="uk-UA"/>
              </w:rPr>
              <w:t>оказники</w:t>
            </w:r>
          </w:p>
        </w:tc>
        <w:tc>
          <w:tcPr>
            <w:tcW w:w="1984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група</w:t>
            </w:r>
          </w:p>
        </w:tc>
        <w:tc>
          <w:tcPr>
            <w:tcW w:w="5670" w:type="dxa"/>
            <w:gridSpan w:val="3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Групи за тертилями рівню</w:t>
            </w:r>
            <w:r w:rsidRPr="002C7A38">
              <w:rPr>
                <w:lang w:val="uk-UA"/>
              </w:rPr>
              <w:t xml:space="preserve"> FasL</w:t>
            </w:r>
          </w:p>
        </w:tc>
      </w:tr>
      <w:tr w:rsidR="00712DD4" w:rsidRPr="002C7A38" w:rsidTr="00357363">
        <w:tc>
          <w:tcPr>
            <w:tcW w:w="2235" w:type="dxa"/>
            <w:vMerge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12DD4" w:rsidRDefault="00712DD4" w:rsidP="00E22D96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2C7A38">
              <w:rPr>
                <w:lang w:val="en-US"/>
              </w:rPr>
              <w:t>n</w:t>
            </w:r>
            <w:r w:rsidRPr="002C7A38">
              <w:rPr>
                <w:lang w:val="uk-UA"/>
              </w:rPr>
              <w:t>=10</w:t>
            </w:r>
          </w:p>
          <w:p w:rsidR="00712DD4" w:rsidRPr="002C7A38" w:rsidRDefault="00712DD4" w:rsidP="00E22D9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ind w:left="-90" w:right="-175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 група,</w:t>
            </w:r>
            <w:r w:rsidRPr="002C7A38">
              <w:rPr>
                <w:lang w:val="uk-UA"/>
              </w:rPr>
              <w:br/>
            </w:r>
            <w:r w:rsidRPr="002C7A38">
              <w:rPr>
                <w:lang w:val="en-US"/>
              </w:rPr>
              <w:t>n</w:t>
            </w:r>
            <w:r w:rsidRPr="002C7A38">
              <w:rPr>
                <w:lang w:val="uk-UA"/>
              </w:rPr>
              <w:t>=23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 група,</w:t>
            </w:r>
            <w:r w:rsidRPr="002C7A38">
              <w:rPr>
                <w:lang w:val="uk-UA"/>
              </w:rPr>
              <w:br/>
            </w:r>
            <w:r w:rsidRPr="002C7A38">
              <w:rPr>
                <w:lang w:val="en-US"/>
              </w:rPr>
              <w:t>n</w:t>
            </w:r>
            <w:r w:rsidRPr="002C7A38">
              <w:rPr>
                <w:lang w:val="uk-UA"/>
              </w:rPr>
              <w:t>=36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ind w:left="-120" w:right="-144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3 група,</w:t>
            </w:r>
            <w:r w:rsidRPr="002C7A38">
              <w:rPr>
                <w:lang w:val="uk-UA"/>
              </w:rPr>
              <w:br/>
            </w:r>
            <w:r w:rsidRPr="002C7A38">
              <w:rPr>
                <w:lang w:val="en-US"/>
              </w:rPr>
              <w:t>n</w:t>
            </w:r>
            <w:r w:rsidRPr="002C7A38">
              <w:rPr>
                <w:lang w:val="uk-UA"/>
              </w:rPr>
              <w:t>=45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C7A38">
              <w:rPr>
                <w:lang w:val="uk-UA"/>
              </w:rPr>
              <w:t>ік, років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62 (46; 62)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54 (41; 64)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61 (50; 67)</w:t>
            </w:r>
            <w:r w:rsidRPr="002C7A38">
              <w:rPr>
                <w:vertAlign w:val="superscript"/>
                <w:lang w:val="uk-UA"/>
              </w:rPr>
              <w:t>*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60 (49; 69)</w:t>
            </w:r>
            <w:r w:rsidRPr="002C7A38">
              <w:rPr>
                <w:vertAlign w:val="superscript"/>
                <w:lang w:val="uk-UA"/>
              </w:rPr>
              <w:t>*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ОТ, см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100 (100; 110)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100 (82; 113)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102 (88; 121)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100 (84; 116)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ОС, см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92 (90; 98)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105 (97; 120)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106 (92; 126)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105 (92; 123)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Маса тіла</w:t>
            </w:r>
            <w:r w:rsidRPr="002C7A38">
              <w:rPr>
                <w:lang w:val="uk-UA"/>
              </w:rPr>
              <w:t>, кг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75 (70; 80)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82 (70; 96)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89 (70; 115)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85 (66; 100)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C7A38">
              <w:rPr>
                <w:lang w:val="uk-UA"/>
              </w:rPr>
              <w:t>ріст, м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1,72 (1,68; 1,75)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1,71 (1,62; 1,77)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1,71 (1,58; 1,82)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1,66 (1,54; 1,79)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ІМТ, кг/м</w:t>
            </w:r>
            <w:r w:rsidRPr="002C7A38">
              <w:rPr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25,71 (23,67; 28,41)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28,73 (23,92; 35,44)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ind w:left="-151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31,05 (24,91; 37,98)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28,34 (23,31; 37,38)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САТ, мм рт. ст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120 (120; 120)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140 (120; 180)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155 (120; 195)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150 (130; 190)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ДАТ, мм рт. ст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80 (75; 80)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90 (80; 100)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93 (80; 105)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90 (80; 105)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2C7A38">
              <w:rPr>
                <w:lang w:val="uk-UA"/>
              </w:rPr>
              <w:t>ривалість АГ, рок</w:t>
            </w:r>
            <w:r w:rsidR="00357363">
              <w:rPr>
                <w:lang w:val="uk-UA"/>
              </w:rPr>
              <w:t>и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0 (0; 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5,00 (2,00; 15,00)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10 (3; 25)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8,00 (2,00; 19,00)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2C7A38">
              <w:rPr>
                <w:lang w:val="uk-UA"/>
              </w:rPr>
              <w:t>нсулін, мкОД/мл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7,60 (7,01; 8,00)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12,47 (7,30; 30,18)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8,63 (7,50; 26,67)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9,02 (7,50; 22,63)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C7A38">
              <w:rPr>
                <w:lang w:val="uk-UA"/>
              </w:rPr>
              <w:t>люкоза, ммоль/л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4,80 (4,60; 5,00)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4,79 (4,00; 6,09)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4,68 (3,90; 5,13)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5,20 (4,30; 7,40)</w:t>
            </w:r>
            <w:r w:rsidRPr="002C7A38">
              <w:rPr>
                <w:vertAlign w:val="superscript"/>
                <w:lang w:val="uk-UA"/>
              </w:rPr>
              <w:t>†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bCs/>
                <w:color w:val="000000"/>
                <w:shd w:val="clear" w:color="auto" w:fill="FFFFFF"/>
              </w:rPr>
              <w:t>Hb</w:t>
            </w:r>
            <w:r w:rsidRPr="002C7A38">
              <w:rPr>
                <w:bCs/>
                <w:color w:val="000000"/>
                <w:shd w:val="clear" w:color="auto" w:fill="FFFFFF"/>
                <w:vertAlign w:val="subscript"/>
              </w:rPr>
              <w:t>A</w:t>
            </w:r>
            <w:r w:rsidRPr="002C7A38">
              <w:rPr>
                <w:bCs/>
                <w:color w:val="000000"/>
                <w:shd w:val="clear" w:color="auto" w:fill="FFFFFF"/>
                <w:vertAlign w:val="subscript"/>
                <w:lang w:val="uk-UA"/>
              </w:rPr>
              <w:t>1</w:t>
            </w:r>
            <w:r w:rsidRPr="002C7A38">
              <w:rPr>
                <w:bCs/>
                <w:color w:val="000000"/>
                <w:shd w:val="clear" w:color="auto" w:fill="FFFFFF"/>
                <w:vertAlign w:val="subscript"/>
              </w:rPr>
              <w:t>c</w:t>
            </w:r>
            <w:r w:rsidRPr="002C7A38">
              <w:rPr>
                <w:lang w:val="uk-UA"/>
              </w:rPr>
              <w:t>, %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5,63 (4,00; 6,77)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5,84 (4,10; 7,75)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5,94 (4,10; 7,98)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7,00 (4,10; 9,70)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en-US"/>
              </w:rPr>
              <w:t>HOMA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1,68 (1,49; 1,72)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2,87 (1,39; 8,40)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1,81 (1,34; 6,10)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2,24 (1,54; 5,40)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ІЛ-18, пг/мл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155 (153; 158)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181 (171; 195)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180 (170; 204)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156 (135; 183)</w:t>
            </w:r>
            <w:r w:rsidRPr="002C7A38">
              <w:rPr>
                <w:vertAlign w:val="superscript"/>
                <w:lang w:val="uk-UA"/>
              </w:rPr>
              <w:t>*†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>ІЛ-10, пг/мл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61,50 (61,30; 62,10)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ind w:left="-257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90,30 (87,30; 92,30)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ind w:left="-151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90,50 (87,00; 95,60)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ind w:left="-224"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80,10 (74,30; 90,80)</w:t>
            </w:r>
            <w:r w:rsidRPr="002C7A38">
              <w:rPr>
                <w:vertAlign w:val="superscript"/>
                <w:lang w:val="uk-UA"/>
              </w:rPr>
              <w:t>*†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keepNext/>
              <w:keepLines/>
              <w:rPr>
                <w:lang w:val="uk-UA"/>
              </w:rPr>
            </w:pPr>
            <w:r w:rsidRPr="002C7A38">
              <w:rPr>
                <w:lang w:val="uk-UA"/>
              </w:rPr>
              <w:t xml:space="preserve">FasL, </w:t>
            </w:r>
            <w:r>
              <w:rPr>
                <w:lang w:val="uk-UA"/>
              </w:rPr>
              <w:t>п</w:t>
            </w:r>
            <w:r w:rsidRPr="002C7A38">
              <w:rPr>
                <w:lang w:val="uk-UA"/>
              </w:rPr>
              <w:t>г/мл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2,68 (2,63; 2,70)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6,20 (6,10; 6,30)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6,53 (6,40; 6,70)</w:t>
            </w:r>
            <w:r w:rsidRPr="002C7A38">
              <w:rPr>
                <w:vertAlign w:val="superscript"/>
                <w:lang w:val="uk-UA"/>
              </w:rPr>
              <w:t>*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7,50 (6,80; 8,23)</w:t>
            </w:r>
            <w:r w:rsidRPr="002C7A38">
              <w:rPr>
                <w:vertAlign w:val="superscript"/>
                <w:lang w:val="uk-UA"/>
              </w:rPr>
              <w:t>*†</w:t>
            </w:r>
          </w:p>
        </w:tc>
      </w:tr>
      <w:tr w:rsidR="00712DD4" w:rsidRPr="002C7A38" w:rsidTr="00357363">
        <w:tc>
          <w:tcPr>
            <w:tcW w:w="2235" w:type="dxa"/>
          </w:tcPr>
          <w:p w:rsidR="00712DD4" w:rsidRPr="002C7A38" w:rsidRDefault="00712DD4" w:rsidP="00E22D96">
            <w:pPr>
              <w:rPr>
                <w:lang w:val="uk-UA"/>
              </w:rPr>
            </w:pPr>
            <w:r>
              <w:rPr>
                <w:lang w:val="uk-UA"/>
              </w:rPr>
              <w:t>Fas</w:t>
            </w:r>
            <w:r w:rsidRPr="002C7A38">
              <w:rPr>
                <w:lang w:val="uk-UA"/>
              </w:rPr>
              <w:t xml:space="preserve">R, </w:t>
            </w:r>
            <w:r>
              <w:rPr>
                <w:lang w:val="uk-UA"/>
              </w:rPr>
              <w:t>пг</w:t>
            </w:r>
            <w:r w:rsidRPr="002C7A38">
              <w:rPr>
                <w:lang w:val="uk-UA"/>
              </w:rPr>
              <w:t>/мл</w:t>
            </w:r>
          </w:p>
        </w:tc>
        <w:tc>
          <w:tcPr>
            <w:tcW w:w="1984" w:type="dxa"/>
            <w:vAlign w:val="center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3,80 (3,65; 4,05)</w:t>
            </w:r>
          </w:p>
        </w:tc>
        <w:tc>
          <w:tcPr>
            <w:tcW w:w="1985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7,70 (7,30; 8,10)</w:t>
            </w:r>
            <w:r w:rsidRPr="002C7A38">
              <w:rPr>
                <w:vertAlign w:val="superscript"/>
                <w:lang w:val="uk-UA"/>
              </w:rPr>
              <w:t>‡</w:t>
            </w:r>
          </w:p>
        </w:tc>
        <w:tc>
          <w:tcPr>
            <w:tcW w:w="1842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7,60 (7,30; 8,01)</w:t>
            </w:r>
          </w:p>
        </w:tc>
        <w:tc>
          <w:tcPr>
            <w:tcW w:w="1843" w:type="dxa"/>
          </w:tcPr>
          <w:p w:rsidR="00712DD4" w:rsidRPr="002C7A38" w:rsidRDefault="00712DD4" w:rsidP="00E22D96">
            <w:pPr>
              <w:keepNext/>
              <w:keepLines/>
              <w:jc w:val="center"/>
              <w:rPr>
                <w:lang w:val="uk-UA"/>
              </w:rPr>
            </w:pPr>
            <w:r w:rsidRPr="002C7A38">
              <w:rPr>
                <w:lang w:val="uk-UA"/>
              </w:rPr>
              <w:t>8,20 (7,50; 8,58)</w:t>
            </w:r>
            <w:r w:rsidRPr="002C7A38">
              <w:rPr>
                <w:vertAlign w:val="superscript"/>
                <w:lang w:val="uk-UA"/>
              </w:rPr>
              <w:t>*†</w:t>
            </w:r>
          </w:p>
        </w:tc>
      </w:tr>
    </w:tbl>
    <w:p w:rsidR="00042DEF" w:rsidRDefault="00042DEF" w:rsidP="00E22D96">
      <w:pPr>
        <w:rPr>
          <w:lang w:val="uk-UA"/>
        </w:rPr>
      </w:pPr>
      <w:r w:rsidRPr="002321B3">
        <w:rPr>
          <w:lang w:val="uk-UA"/>
        </w:rPr>
        <w:t>Примітки:</w:t>
      </w: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042DEF" w:rsidRPr="002321B3" w:rsidRDefault="00042DEF" w:rsidP="00E22D96">
      <w:pPr>
        <w:jc w:val="both"/>
        <w:rPr>
          <w:lang w:val="uk-UA"/>
        </w:rPr>
      </w:pPr>
      <w:r>
        <w:rPr>
          <w:lang w:val="uk-UA"/>
        </w:rPr>
        <w:t>ОТ – окружність талії; ІМТ – індекс маси тіла; САТ – систолічний артеріальний тиск; ДАТ – діастолічний артеріальний тиск; ЧСС – частота серцевих скорочень; НОМА – індекс інсулінорезистентності.</w:t>
      </w:r>
    </w:p>
    <w:p w:rsidR="00042DEF" w:rsidRPr="002321B3" w:rsidRDefault="00042DEF" w:rsidP="00E22D96">
      <w:pPr>
        <w:rPr>
          <w:lang w:val="uk-UA"/>
        </w:rPr>
      </w:pPr>
      <w:r w:rsidRPr="002321B3">
        <w:rPr>
          <w:lang w:val="uk-UA"/>
        </w:rPr>
        <w:t xml:space="preserve">1. </w:t>
      </w:r>
      <w:r w:rsidRPr="002321B3">
        <w:rPr>
          <w:vertAlign w:val="superscript"/>
          <w:lang w:val="uk-UA"/>
        </w:rPr>
        <w:t>*</w:t>
      </w:r>
      <w:r w:rsidRPr="002321B3">
        <w:rPr>
          <w:lang w:val="uk-UA"/>
        </w:rPr>
        <w:t xml:space="preserve"> — відмінності </w:t>
      </w:r>
      <w:r w:rsidR="00ED5CC7">
        <w:rPr>
          <w:lang w:val="uk-UA"/>
        </w:rPr>
        <w:t>проти</w:t>
      </w:r>
      <w:r w:rsidRPr="002321B3">
        <w:rPr>
          <w:lang w:val="uk-UA"/>
        </w:rPr>
        <w:t xml:space="preserve"> 1 тертильної групи вірогідні </w:t>
      </w:r>
      <w:r w:rsidR="00ED5CC7">
        <w:rPr>
          <w:lang w:val="uk-UA"/>
        </w:rPr>
        <w:t>(</w:t>
      </w:r>
      <w:r w:rsidRPr="002321B3">
        <w:rPr>
          <w:lang w:val="uk-UA"/>
        </w:rPr>
        <w:t>р&lt;0,05</w:t>
      </w:r>
      <w:r w:rsidR="00ED5CC7">
        <w:rPr>
          <w:lang w:val="uk-UA"/>
        </w:rPr>
        <w:t>)</w:t>
      </w:r>
      <w:r w:rsidRPr="002321B3">
        <w:rPr>
          <w:lang w:val="uk-UA"/>
        </w:rPr>
        <w:t>;</w:t>
      </w:r>
    </w:p>
    <w:p w:rsidR="00042DEF" w:rsidRPr="002321B3" w:rsidRDefault="00042DEF" w:rsidP="00E22D96">
      <w:pPr>
        <w:rPr>
          <w:lang w:val="uk-UA"/>
        </w:rPr>
      </w:pPr>
      <w:r w:rsidRPr="002321B3">
        <w:rPr>
          <w:lang w:val="uk-UA"/>
        </w:rPr>
        <w:lastRenderedPageBreak/>
        <w:t xml:space="preserve">2. </w:t>
      </w:r>
      <w:r w:rsidRPr="002321B3">
        <w:rPr>
          <w:vertAlign w:val="superscript"/>
          <w:lang w:val="uk-UA"/>
        </w:rPr>
        <w:t>†</w:t>
      </w:r>
      <w:r w:rsidRPr="002321B3">
        <w:rPr>
          <w:lang w:val="uk-UA"/>
        </w:rPr>
        <w:t xml:space="preserve"> — відмінності </w:t>
      </w:r>
      <w:r w:rsidR="00ED5CC7">
        <w:rPr>
          <w:lang w:val="uk-UA"/>
        </w:rPr>
        <w:t>проти</w:t>
      </w:r>
      <w:r w:rsidRPr="002321B3">
        <w:rPr>
          <w:lang w:val="uk-UA"/>
        </w:rPr>
        <w:t xml:space="preserve"> 2 тертильної групи вірогідні </w:t>
      </w:r>
      <w:r w:rsidR="00ED5CC7">
        <w:rPr>
          <w:lang w:val="uk-UA"/>
        </w:rPr>
        <w:t>(</w:t>
      </w:r>
      <w:r w:rsidRPr="002321B3">
        <w:rPr>
          <w:lang w:val="uk-UA"/>
        </w:rPr>
        <w:t>р&lt;0,05</w:t>
      </w:r>
      <w:r w:rsidR="00ED5CC7">
        <w:rPr>
          <w:lang w:val="uk-UA"/>
        </w:rPr>
        <w:t>)</w:t>
      </w:r>
      <w:r w:rsidRPr="002321B3">
        <w:rPr>
          <w:lang w:val="uk-UA"/>
        </w:rPr>
        <w:t>;</w:t>
      </w:r>
    </w:p>
    <w:p w:rsidR="00712DD4" w:rsidRPr="00712DD4" w:rsidRDefault="00712DD4" w:rsidP="00E22D96">
      <w:pPr>
        <w:rPr>
          <w:lang w:val="uk-UA"/>
        </w:rPr>
      </w:pPr>
      <w:r w:rsidRPr="00712DD4">
        <w:rPr>
          <w:lang w:val="uk-UA"/>
        </w:rPr>
        <w:t xml:space="preserve">3. </w:t>
      </w:r>
      <w:r w:rsidRPr="00712DD4">
        <w:rPr>
          <w:vertAlign w:val="superscript"/>
          <w:lang w:val="uk-UA"/>
        </w:rPr>
        <w:t>‡</w:t>
      </w:r>
      <w:r w:rsidRPr="00712DD4">
        <w:rPr>
          <w:lang w:val="uk-UA"/>
        </w:rPr>
        <w:t xml:space="preserve"> — відмінності </w:t>
      </w:r>
      <w:r w:rsidR="00ED5CC7">
        <w:rPr>
          <w:lang w:val="uk-UA"/>
        </w:rPr>
        <w:t>проти</w:t>
      </w:r>
      <w:r w:rsidRPr="00712DD4">
        <w:rPr>
          <w:lang w:val="uk-UA"/>
        </w:rPr>
        <w:t xml:space="preserve"> </w:t>
      </w:r>
      <w:r w:rsidR="00ED5CC7">
        <w:rPr>
          <w:lang w:val="uk-UA"/>
        </w:rPr>
        <w:t>групи контролю вірогідні</w:t>
      </w:r>
      <w:r w:rsidRPr="00712DD4">
        <w:rPr>
          <w:lang w:val="uk-UA"/>
        </w:rPr>
        <w:t xml:space="preserve"> </w:t>
      </w:r>
      <w:r w:rsidR="00ED5CC7">
        <w:rPr>
          <w:lang w:val="uk-UA"/>
        </w:rPr>
        <w:t>(</w:t>
      </w:r>
      <w:r w:rsidRPr="00712DD4">
        <w:rPr>
          <w:lang w:val="uk-UA"/>
        </w:rPr>
        <w:t>р&lt;0,05</w:t>
      </w:r>
      <w:r w:rsidR="00ED5CC7">
        <w:rPr>
          <w:lang w:val="uk-UA"/>
        </w:rPr>
        <w:t>)</w:t>
      </w:r>
      <w:r w:rsidRPr="00712DD4">
        <w:rPr>
          <w:lang w:val="uk-UA"/>
        </w:rPr>
        <w:t>.</w:t>
      </w:r>
    </w:p>
    <w:p w:rsidR="00D50677" w:rsidRDefault="00D50677" w:rsidP="00E22D96">
      <w:pPr>
        <w:rPr>
          <w:sz w:val="28"/>
          <w:szCs w:val="28"/>
          <w:lang w:val="uk-UA"/>
        </w:rPr>
      </w:pPr>
    </w:p>
    <w:p w:rsidR="00330D79" w:rsidRPr="00330D79" w:rsidRDefault="00330D79" w:rsidP="00E22D96">
      <w:pPr>
        <w:spacing w:line="360" w:lineRule="auto"/>
        <w:jc w:val="both"/>
        <w:rPr>
          <w:sz w:val="36"/>
          <w:szCs w:val="28"/>
          <w:lang w:val="uk-UA"/>
        </w:rPr>
      </w:pPr>
      <w:r>
        <w:rPr>
          <w:sz w:val="28"/>
          <w:szCs w:val="28"/>
          <w:lang w:val="uk-UA"/>
        </w:rPr>
        <w:tab/>
        <w:t>Звертає на себе увагу, що серед тертильних груп хворих максимальні значення таких показників вуглеводного метаболізму, як глюкоза та</w:t>
      </w:r>
      <w:r w:rsidRPr="00330D79">
        <w:rPr>
          <w:bCs/>
          <w:color w:val="000000"/>
          <w:shd w:val="clear" w:color="auto" w:fill="FFFFFF"/>
        </w:rPr>
        <w:t xml:space="preserve"> </w:t>
      </w:r>
      <w:r w:rsidRPr="00330D79">
        <w:rPr>
          <w:bCs/>
          <w:color w:val="000000"/>
          <w:sz w:val="32"/>
          <w:shd w:val="clear" w:color="auto" w:fill="FFFFFF"/>
        </w:rPr>
        <w:t>Hb</w:t>
      </w:r>
      <w:r w:rsidRPr="00330D79">
        <w:rPr>
          <w:bCs/>
          <w:color w:val="000000"/>
          <w:sz w:val="32"/>
          <w:shd w:val="clear" w:color="auto" w:fill="FFFFFF"/>
          <w:vertAlign w:val="subscript"/>
        </w:rPr>
        <w:t>A</w:t>
      </w:r>
      <w:r w:rsidRPr="00330D79">
        <w:rPr>
          <w:bCs/>
          <w:color w:val="000000"/>
          <w:sz w:val="32"/>
          <w:shd w:val="clear" w:color="auto" w:fill="FFFFFF"/>
          <w:vertAlign w:val="subscript"/>
          <w:lang w:val="uk-UA"/>
        </w:rPr>
        <w:t>1</w:t>
      </w:r>
      <w:r w:rsidRPr="00330D79">
        <w:rPr>
          <w:bCs/>
          <w:color w:val="000000"/>
          <w:sz w:val="32"/>
          <w:shd w:val="clear" w:color="auto" w:fill="FFFFFF"/>
          <w:vertAlign w:val="subscript"/>
        </w:rPr>
        <w:t>c</w:t>
      </w:r>
      <w:r>
        <w:rPr>
          <w:bCs/>
          <w:color w:val="000000"/>
          <w:sz w:val="32"/>
          <w:shd w:val="clear" w:color="auto" w:fill="FFFFFF"/>
          <w:vertAlign w:val="subscript"/>
          <w:lang w:val="uk-UA"/>
        </w:rPr>
        <w:t xml:space="preserve"> </w:t>
      </w:r>
      <w:r>
        <w:rPr>
          <w:bCs/>
          <w:color w:val="000000"/>
          <w:sz w:val="32"/>
          <w:shd w:val="clear" w:color="auto" w:fill="FFFFFF"/>
          <w:lang w:val="uk-UA"/>
        </w:rPr>
        <w:t xml:space="preserve">відзначено у 3 групі з максимальними значеннями маркеру апоптозу – </w:t>
      </w:r>
      <w:r>
        <w:rPr>
          <w:sz w:val="28"/>
          <w:szCs w:val="28"/>
          <w:lang w:val="en-US"/>
        </w:rPr>
        <w:t>FasL</w:t>
      </w:r>
      <w:r>
        <w:rPr>
          <w:sz w:val="28"/>
          <w:szCs w:val="28"/>
          <w:lang w:val="uk-UA"/>
        </w:rPr>
        <w:t xml:space="preserve">.  </w:t>
      </w:r>
      <w:r w:rsidRPr="00330D79">
        <w:rPr>
          <w:sz w:val="36"/>
          <w:szCs w:val="28"/>
          <w:lang w:val="uk-UA"/>
        </w:rPr>
        <w:t xml:space="preserve">  </w:t>
      </w:r>
      <w:r w:rsidR="001E758D" w:rsidRPr="00330D79">
        <w:rPr>
          <w:sz w:val="36"/>
          <w:szCs w:val="28"/>
          <w:lang w:val="uk-UA"/>
        </w:rPr>
        <w:tab/>
      </w:r>
    </w:p>
    <w:p w:rsidR="001210C7" w:rsidRPr="007B622F" w:rsidRDefault="001210C7" w:rsidP="00E22D96">
      <w:pPr>
        <w:spacing w:line="360" w:lineRule="auto"/>
        <w:ind w:firstLine="708"/>
        <w:jc w:val="both"/>
        <w:rPr>
          <w:color w:val="231F2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Інтерлейкін-18 (ІЛ-18) – нещодавно відкритий прозапальний цитокін (клонований у 1995 році), структурно подібний до ІЛ-1.</w:t>
      </w:r>
      <w:r w:rsidRPr="00090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Експериментальні докази свідчать про можливість залучення ІЛ-18 до патогенезу АГ </w:t>
      </w:r>
      <w:r w:rsidRPr="004C77D5">
        <w:rPr>
          <w:color w:val="231F20"/>
          <w:sz w:val="28"/>
          <w:szCs w:val="28"/>
          <w:lang w:val="uk-UA"/>
        </w:rPr>
        <w:t>[</w:t>
      </w:r>
      <w:r w:rsidR="00AB4BCE">
        <w:rPr>
          <w:color w:val="231F20"/>
          <w:sz w:val="28"/>
          <w:szCs w:val="28"/>
          <w:lang w:val="uk-UA"/>
        </w:rPr>
        <w:t>9</w:t>
      </w:r>
      <w:r w:rsidRPr="004C77D5">
        <w:rPr>
          <w:color w:val="231F20"/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Крім того, н</w:t>
      </w:r>
      <w:r>
        <w:rPr>
          <w:color w:val="231F20"/>
          <w:sz w:val="28"/>
          <w:szCs w:val="28"/>
          <w:lang w:val="uk-UA"/>
        </w:rPr>
        <w:t xml:space="preserve">ещодавні дослідження виявили зростання плазматичного рівню ІЛ-18 у пацієнтів з цукровим діабетом 2 типу </w:t>
      </w:r>
      <w:r w:rsidRPr="004C77D5">
        <w:rPr>
          <w:color w:val="231F20"/>
          <w:sz w:val="28"/>
          <w:szCs w:val="28"/>
          <w:lang w:val="uk-UA"/>
        </w:rPr>
        <w:t>[</w:t>
      </w:r>
      <w:r w:rsidR="00AB4BCE">
        <w:rPr>
          <w:color w:val="231F20"/>
          <w:sz w:val="28"/>
          <w:szCs w:val="28"/>
          <w:lang w:val="uk-UA"/>
        </w:rPr>
        <w:t>10</w:t>
      </w:r>
      <w:r w:rsidRPr="004C77D5">
        <w:rPr>
          <w:color w:val="231F20"/>
          <w:sz w:val="28"/>
          <w:szCs w:val="28"/>
          <w:lang w:val="uk-UA"/>
        </w:rPr>
        <w:t>]</w:t>
      </w:r>
      <w:r>
        <w:rPr>
          <w:color w:val="231F20"/>
          <w:sz w:val="28"/>
          <w:szCs w:val="28"/>
          <w:lang w:val="uk-UA"/>
        </w:rPr>
        <w:t xml:space="preserve"> та у осіб з надмірною масою тіла і ожирінням </w:t>
      </w:r>
      <w:r w:rsidRPr="004C77D5">
        <w:rPr>
          <w:color w:val="231F20"/>
          <w:sz w:val="28"/>
          <w:szCs w:val="28"/>
          <w:lang w:val="uk-UA"/>
        </w:rPr>
        <w:t>[</w:t>
      </w:r>
      <w:r w:rsidR="00AB4BCE">
        <w:rPr>
          <w:color w:val="231F20"/>
          <w:sz w:val="28"/>
          <w:szCs w:val="28"/>
          <w:lang w:val="uk-UA"/>
        </w:rPr>
        <w:t>11</w:t>
      </w:r>
      <w:r w:rsidRPr="004C77D5">
        <w:rPr>
          <w:color w:val="231F20"/>
          <w:sz w:val="28"/>
          <w:szCs w:val="28"/>
          <w:lang w:val="uk-UA"/>
        </w:rPr>
        <w:t>]</w:t>
      </w:r>
      <w:r>
        <w:rPr>
          <w:color w:val="231F20"/>
          <w:sz w:val="28"/>
          <w:szCs w:val="28"/>
          <w:lang w:val="uk-UA"/>
        </w:rPr>
        <w:t>.</w:t>
      </w:r>
      <w:r w:rsidR="00AA7135">
        <w:rPr>
          <w:color w:val="231F20"/>
          <w:sz w:val="28"/>
          <w:szCs w:val="28"/>
          <w:lang w:val="uk-UA"/>
        </w:rPr>
        <w:t xml:space="preserve"> У нашому дослідженні вміст ІЛ-18 у хворих на АГ був вище у 2 та 3 групі порівняно з контролем. В той час, як у 3 групі рівень ІЛ-18 суттєво не відрізнявся від рівня осіб контрольної групи.   </w:t>
      </w:r>
    </w:p>
    <w:p w:rsidR="00EA2BD3" w:rsidRDefault="00AA7135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Інтерлейкін-10 (</w:t>
      </w:r>
      <w:r w:rsidR="001210C7">
        <w:rPr>
          <w:sz w:val="28"/>
          <w:szCs w:val="28"/>
          <w:lang w:val="uk-UA"/>
        </w:rPr>
        <w:t>ІЛ-10</w:t>
      </w:r>
      <w:r>
        <w:rPr>
          <w:sz w:val="28"/>
          <w:szCs w:val="28"/>
          <w:lang w:val="uk-UA"/>
        </w:rPr>
        <w:t>)</w:t>
      </w:r>
      <w:r w:rsidR="001210C7">
        <w:rPr>
          <w:sz w:val="28"/>
          <w:szCs w:val="28"/>
          <w:lang w:val="uk-UA"/>
        </w:rPr>
        <w:t xml:space="preserve"> є одним із представників сімейства протизапальних цитокінів</w:t>
      </w:r>
      <w:r>
        <w:rPr>
          <w:sz w:val="28"/>
          <w:szCs w:val="28"/>
          <w:lang w:val="uk-UA"/>
        </w:rPr>
        <w:t>.</w:t>
      </w:r>
      <w:r w:rsidR="00D77B69">
        <w:rPr>
          <w:sz w:val="28"/>
          <w:szCs w:val="28"/>
          <w:lang w:val="uk-UA"/>
        </w:rPr>
        <w:t xml:space="preserve"> </w:t>
      </w:r>
      <w:r w:rsidR="003F4ECF">
        <w:rPr>
          <w:sz w:val="28"/>
          <w:szCs w:val="28"/>
          <w:lang w:val="uk-UA"/>
        </w:rPr>
        <w:t>Результати вже проведених експериментальних та клінічних досліджень дещо суперечливі. Так, в одному дослідженні з</w:t>
      </w:r>
      <w:r w:rsidR="001210C7" w:rsidRPr="007C681E">
        <w:rPr>
          <w:sz w:val="28"/>
          <w:szCs w:val="28"/>
          <w:lang w:val="uk-UA"/>
        </w:rPr>
        <w:t>’яс</w:t>
      </w:r>
      <w:r w:rsidR="001210C7">
        <w:rPr>
          <w:sz w:val="28"/>
          <w:szCs w:val="28"/>
          <w:lang w:val="uk-UA"/>
        </w:rPr>
        <w:t>о</w:t>
      </w:r>
      <w:r w:rsidR="001210C7" w:rsidRPr="007C681E">
        <w:rPr>
          <w:sz w:val="28"/>
          <w:szCs w:val="28"/>
          <w:lang w:val="uk-UA"/>
        </w:rPr>
        <w:t>ва</w:t>
      </w:r>
      <w:r w:rsidR="001210C7">
        <w:rPr>
          <w:sz w:val="28"/>
          <w:szCs w:val="28"/>
          <w:lang w:val="uk-UA"/>
        </w:rPr>
        <w:t>но</w:t>
      </w:r>
      <w:r w:rsidR="001210C7" w:rsidRPr="007C681E">
        <w:rPr>
          <w:sz w:val="28"/>
          <w:szCs w:val="28"/>
          <w:lang w:val="uk-UA"/>
        </w:rPr>
        <w:t xml:space="preserve"> підвищений циркулюючий рівень</w:t>
      </w:r>
      <w:r w:rsidR="001210C7">
        <w:rPr>
          <w:sz w:val="28"/>
          <w:szCs w:val="28"/>
          <w:lang w:val="uk-UA"/>
        </w:rPr>
        <w:t xml:space="preserve"> ІЛ-10 при ожирінні та низький рівень ІЛ-10, що був асоційованим з метаболічним синдромом</w:t>
      </w:r>
      <w:r w:rsidR="001210C7" w:rsidRPr="007C681E">
        <w:rPr>
          <w:sz w:val="28"/>
          <w:szCs w:val="28"/>
          <w:lang w:val="uk-UA"/>
        </w:rPr>
        <w:t>.</w:t>
      </w:r>
      <w:r w:rsidR="001210C7">
        <w:rPr>
          <w:sz w:val="28"/>
          <w:szCs w:val="28"/>
          <w:lang w:val="uk-UA"/>
        </w:rPr>
        <w:t xml:space="preserve"> У іншому дослідженні пацієнтів з ожирінням рівень ІЛ-10 також був підвищеним, однак метаболічний синдром не був асоційованим зі зниженням рівню ІЛ-10</w:t>
      </w:r>
      <w:r w:rsidR="001210C7" w:rsidRPr="00A138C9">
        <w:rPr>
          <w:sz w:val="28"/>
          <w:szCs w:val="28"/>
          <w:lang w:val="uk-UA"/>
        </w:rPr>
        <w:t xml:space="preserve"> </w:t>
      </w:r>
      <w:r w:rsidR="001210C7" w:rsidRPr="00793E80">
        <w:rPr>
          <w:sz w:val="28"/>
          <w:szCs w:val="28"/>
          <w:lang w:val="uk-UA"/>
        </w:rPr>
        <w:t>[1</w:t>
      </w:r>
      <w:r w:rsidR="000A4122">
        <w:rPr>
          <w:sz w:val="28"/>
          <w:szCs w:val="28"/>
          <w:lang w:val="uk-UA"/>
        </w:rPr>
        <w:t>2</w:t>
      </w:r>
      <w:r w:rsidR="001210C7" w:rsidRPr="007C681E">
        <w:rPr>
          <w:sz w:val="28"/>
          <w:szCs w:val="28"/>
          <w:lang w:val="uk-UA"/>
        </w:rPr>
        <w:t>].</w:t>
      </w:r>
      <w:r w:rsidR="001210C7">
        <w:rPr>
          <w:sz w:val="28"/>
          <w:szCs w:val="28"/>
          <w:lang w:val="uk-UA"/>
        </w:rPr>
        <w:t xml:space="preserve"> Продемонстровано значну позитивну кореляцію між циркулюючим рівнем ІЛ-10 та тканьовою чутливістю до інсуліну </w:t>
      </w:r>
      <w:r w:rsidR="001210C7" w:rsidRPr="00793E80">
        <w:rPr>
          <w:sz w:val="28"/>
          <w:szCs w:val="28"/>
          <w:lang w:val="uk-UA"/>
        </w:rPr>
        <w:t>[1</w:t>
      </w:r>
      <w:r w:rsidR="000A4122">
        <w:rPr>
          <w:sz w:val="28"/>
          <w:szCs w:val="28"/>
          <w:lang w:val="uk-UA"/>
        </w:rPr>
        <w:t>3</w:t>
      </w:r>
      <w:r w:rsidR="001210C7" w:rsidRPr="007C681E">
        <w:rPr>
          <w:sz w:val="28"/>
          <w:szCs w:val="28"/>
          <w:lang w:val="uk-UA"/>
        </w:rPr>
        <w:t>].</w:t>
      </w:r>
      <w:r w:rsidR="001210C7">
        <w:rPr>
          <w:sz w:val="28"/>
          <w:szCs w:val="28"/>
          <w:lang w:val="uk-UA"/>
        </w:rPr>
        <w:t xml:space="preserve"> </w:t>
      </w:r>
      <w:r w:rsidR="00DA6F35">
        <w:rPr>
          <w:sz w:val="28"/>
          <w:szCs w:val="28"/>
          <w:lang w:val="uk-UA"/>
        </w:rPr>
        <w:t xml:space="preserve">При аналізі плазматичного вмісту ІЛ-10 у нашому дослідженні пацієнтів на АГ виявлено його підвищення в порівнянні з контрольною групою практично здорових осіб. Щодо тертильних груп, то величина ІЛ-10 у 3 групі була нижчою за аналогічну величину у 1 та 2 групі. Тобто, зростання циркулюючого рівню маркеру апоптозу – FasL </w:t>
      </w:r>
      <w:r w:rsidR="00DA6F35" w:rsidRPr="00DA6F35">
        <w:rPr>
          <w:sz w:val="28"/>
          <w:szCs w:val="28"/>
          <w:lang w:val="uk-UA"/>
        </w:rPr>
        <w:t>асоціювалося зі зниженням концентрації ІЛ-10 у хворих на АГ.</w:t>
      </w:r>
      <w:r w:rsidR="00DA6F35">
        <w:rPr>
          <w:sz w:val="28"/>
          <w:szCs w:val="28"/>
          <w:lang w:val="uk-UA"/>
        </w:rPr>
        <w:t xml:space="preserve"> </w:t>
      </w:r>
      <w:r w:rsidR="00EA2BD3">
        <w:rPr>
          <w:sz w:val="28"/>
          <w:szCs w:val="28"/>
          <w:lang w:val="uk-UA"/>
        </w:rPr>
        <w:t xml:space="preserve"> </w:t>
      </w:r>
    </w:p>
    <w:p w:rsidR="00C35343" w:rsidRDefault="00EA2BD3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більш детального вивчення взаємозв’язків між </w:t>
      </w:r>
      <w:r w:rsidR="00F238F3">
        <w:rPr>
          <w:sz w:val="28"/>
          <w:szCs w:val="28"/>
          <w:lang w:val="uk-UA"/>
        </w:rPr>
        <w:t>маркерами апоптозу,</w:t>
      </w:r>
      <w:r w:rsidR="00594B53">
        <w:rPr>
          <w:sz w:val="28"/>
          <w:szCs w:val="28"/>
          <w:lang w:val="uk-UA"/>
        </w:rPr>
        <w:t xml:space="preserve"> імунозапалення </w:t>
      </w:r>
      <w:r w:rsidR="00F238F3">
        <w:rPr>
          <w:sz w:val="28"/>
          <w:szCs w:val="28"/>
          <w:lang w:val="uk-UA"/>
        </w:rPr>
        <w:t xml:space="preserve">та </w:t>
      </w:r>
      <w:r w:rsidR="00594B53">
        <w:rPr>
          <w:sz w:val="28"/>
          <w:szCs w:val="28"/>
          <w:lang w:val="uk-UA"/>
        </w:rPr>
        <w:t>показниками вуглеводного метаболізму</w:t>
      </w:r>
      <w:r w:rsidR="00F238F3">
        <w:rPr>
          <w:sz w:val="28"/>
          <w:szCs w:val="28"/>
          <w:lang w:val="uk-UA"/>
        </w:rPr>
        <w:t xml:space="preserve"> нами проведено </w:t>
      </w:r>
      <w:r w:rsidR="00F238F3">
        <w:rPr>
          <w:sz w:val="28"/>
          <w:szCs w:val="28"/>
          <w:lang w:val="uk-UA"/>
        </w:rPr>
        <w:lastRenderedPageBreak/>
        <w:t xml:space="preserve">кореляційний аналіз у кожній </w:t>
      </w:r>
      <w:r w:rsidR="00156257">
        <w:rPr>
          <w:sz w:val="28"/>
          <w:szCs w:val="28"/>
          <w:lang w:val="uk-UA"/>
        </w:rPr>
        <w:t>т</w:t>
      </w:r>
      <w:r w:rsidR="00F238F3">
        <w:rPr>
          <w:sz w:val="28"/>
          <w:szCs w:val="28"/>
          <w:lang w:val="uk-UA"/>
        </w:rPr>
        <w:t xml:space="preserve">ертильній </w:t>
      </w:r>
      <w:r w:rsidR="00C01377">
        <w:rPr>
          <w:sz w:val="28"/>
          <w:szCs w:val="28"/>
          <w:lang w:val="uk-UA"/>
        </w:rPr>
        <w:t>за</w:t>
      </w:r>
      <w:r w:rsidR="00C01377" w:rsidRPr="00910897">
        <w:rPr>
          <w:sz w:val="28"/>
          <w:szCs w:val="28"/>
          <w:lang w:val="uk-UA"/>
        </w:rPr>
        <w:t xml:space="preserve"> </w:t>
      </w:r>
      <w:r w:rsidR="00C01377">
        <w:rPr>
          <w:sz w:val="28"/>
          <w:szCs w:val="28"/>
          <w:lang w:val="uk-UA"/>
        </w:rPr>
        <w:t xml:space="preserve">рівнем </w:t>
      </w:r>
      <w:r w:rsidR="00C01377">
        <w:rPr>
          <w:sz w:val="28"/>
          <w:szCs w:val="28"/>
          <w:lang w:val="en-US"/>
        </w:rPr>
        <w:t>FasL</w:t>
      </w:r>
      <w:r w:rsidR="00C01377">
        <w:rPr>
          <w:sz w:val="28"/>
          <w:szCs w:val="28"/>
          <w:lang w:val="uk-UA"/>
        </w:rPr>
        <w:t xml:space="preserve"> </w:t>
      </w:r>
      <w:r w:rsidR="00F238F3">
        <w:rPr>
          <w:sz w:val="28"/>
          <w:szCs w:val="28"/>
          <w:lang w:val="uk-UA"/>
        </w:rPr>
        <w:t>групі.</w:t>
      </w:r>
      <w:r w:rsidR="00C01377">
        <w:rPr>
          <w:sz w:val="28"/>
          <w:szCs w:val="28"/>
          <w:lang w:val="uk-UA"/>
        </w:rPr>
        <w:t xml:space="preserve"> При цьому </w:t>
      </w:r>
      <w:r w:rsidR="00910897">
        <w:rPr>
          <w:sz w:val="28"/>
          <w:szCs w:val="28"/>
          <w:lang w:val="uk-UA"/>
        </w:rPr>
        <w:t xml:space="preserve">встановлено відсутність достовірних взаємозв’язків між показниками, що вивчалися у 1 групі з мінімальним плазматичним вмістом </w:t>
      </w:r>
      <w:r w:rsidR="00910897">
        <w:rPr>
          <w:sz w:val="28"/>
          <w:szCs w:val="28"/>
          <w:lang w:val="en-US"/>
        </w:rPr>
        <w:t>FasL</w:t>
      </w:r>
      <w:r w:rsidR="00910897">
        <w:rPr>
          <w:sz w:val="28"/>
          <w:szCs w:val="28"/>
          <w:lang w:val="uk-UA"/>
        </w:rPr>
        <w:t>.</w:t>
      </w:r>
      <w:r w:rsidR="00317BAC">
        <w:rPr>
          <w:sz w:val="28"/>
          <w:szCs w:val="28"/>
          <w:lang w:val="uk-UA"/>
        </w:rPr>
        <w:t xml:space="preserve"> </w:t>
      </w:r>
      <w:r w:rsidR="003231FB">
        <w:rPr>
          <w:sz w:val="28"/>
          <w:szCs w:val="28"/>
          <w:lang w:val="uk-UA"/>
        </w:rPr>
        <w:t xml:space="preserve">Статистично достовірні взаємозв’язки між показниками, що вивчалися у 2 та 3 групах наведено у рис. 1 та рис. 2.  </w:t>
      </w:r>
      <w:r w:rsidR="00910897">
        <w:rPr>
          <w:sz w:val="28"/>
          <w:szCs w:val="28"/>
          <w:lang w:val="uk-UA"/>
        </w:rPr>
        <w:t xml:space="preserve"> </w:t>
      </w:r>
      <w:r w:rsidR="001E758D">
        <w:rPr>
          <w:sz w:val="28"/>
          <w:szCs w:val="28"/>
          <w:lang w:val="uk-UA"/>
        </w:rPr>
        <w:t xml:space="preserve"> </w:t>
      </w:r>
    </w:p>
    <w:p w:rsidR="00D50677" w:rsidRDefault="004C2FBF" w:rsidP="00E40A09">
      <w:pPr>
        <w:tabs>
          <w:tab w:val="left" w:pos="708"/>
          <w:tab w:val="left" w:pos="339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0A09">
        <w:rPr>
          <w:sz w:val="28"/>
          <w:szCs w:val="28"/>
          <w:lang w:val="uk-UA"/>
        </w:rPr>
        <w:tab/>
      </w:r>
      <w:r w:rsidR="004662A2">
        <w:rPr>
          <w:noProof/>
        </w:rPr>
        <w:pict>
          <v:group id="_x0000_s1026" style="position:absolute;margin-left:32.3pt;margin-top:-.2pt;width:362.5pt;height:250.65pt;z-index:251663360;mso-position-horizontal-relative:text;mso-position-vertical-relative:text" coordorigin="5913,2217" coordsize="7380,5559">
            <v:oval id="_x0000_s1027" style="position:absolute;left:7353;top:2559;width:1080;height:717" strokeweight="1pt">
              <v:textbox style="mso-next-textbox:#_x0000_s1027" inset="0,2mm,0,0">
                <w:txbxContent>
                  <w:p w:rsidR="001210C7" w:rsidRPr="00E14106" w:rsidRDefault="001210C7" w:rsidP="00D50677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E14106">
                      <w:rPr>
                        <w:sz w:val="28"/>
                        <w:szCs w:val="28"/>
                        <w:lang w:val="uk-UA"/>
                      </w:rPr>
                      <w:t>ІЛ-18</w:t>
                    </w:r>
                  </w:p>
                </w:txbxContent>
              </v:textbox>
            </v:oval>
            <v:oval id="_x0000_s1028" style="position:absolute;left:8433;top:2217;width:1080;height:717" strokeweight="1pt">
              <v:textbox style="mso-next-textbox:#_x0000_s1028" inset="0,2mm,0,0">
                <w:txbxContent>
                  <w:p w:rsidR="001210C7" w:rsidRPr="00E14106" w:rsidRDefault="001210C7" w:rsidP="00D50677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E14106">
                      <w:rPr>
                        <w:sz w:val="28"/>
                        <w:szCs w:val="28"/>
                        <w:lang w:val="uk-UA"/>
                      </w:rPr>
                      <w:t>ІЛ-1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0</w:t>
                    </w:r>
                  </w:p>
                </w:txbxContent>
              </v:textbox>
            </v:oval>
            <v:oval id="_x0000_s1029" style="position:absolute;left:9693;top:2217;width:1080;height:717" strokeweight="1pt">
              <v:textbox style="mso-next-textbox:#_x0000_s1029" inset="0,2mm,0,0">
                <w:txbxContent>
                  <w:p w:rsidR="001210C7" w:rsidRPr="00E14106" w:rsidRDefault="001B3892" w:rsidP="00D50677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Fas</w:t>
                    </w:r>
                    <w:r w:rsidR="001210C7" w:rsidRPr="00E14106">
                      <w:rPr>
                        <w:sz w:val="28"/>
                        <w:szCs w:val="28"/>
                        <w:lang w:val="uk-UA"/>
                      </w:rPr>
                      <w:t>L</w:t>
                    </w:r>
                  </w:p>
                </w:txbxContent>
              </v:textbox>
            </v:oval>
            <v:oval id="_x0000_s1030" style="position:absolute;left:10773;top:2559;width:1080;height:717" strokeweight="1pt">
              <v:textbox style="mso-next-textbox:#_x0000_s1030" inset="0,2mm,0,0">
                <w:txbxContent>
                  <w:p w:rsidR="001210C7" w:rsidRPr="0010229A" w:rsidRDefault="001210C7" w:rsidP="00D50677">
                    <w:pPr>
                      <w:jc w:val="center"/>
                      <w:rPr>
                        <w:szCs w:val="28"/>
                      </w:rPr>
                    </w:pPr>
                    <w:r w:rsidRPr="00E14106">
                      <w:rPr>
                        <w:sz w:val="28"/>
                        <w:szCs w:val="28"/>
                        <w:lang w:val="uk-UA"/>
                      </w:rPr>
                      <w:t>Fas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oval>
            <v:oval id="_x0000_s1031" style="position:absolute;left:12033;top:3999;width:1080;height:717" strokeweight="1pt">
              <v:textbox style="mso-next-textbox:#_x0000_s1031" inset="0,2mm,0,0">
                <w:txbxContent>
                  <w:p w:rsidR="001210C7" w:rsidRPr="0010229A" w:rsidRDefault="001210C7" w:rsidP="00D50677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ОТ</w:t>
                    </w:r>
                  </w:p>
                </w:txbxContent>
              </v:textbox>
            </v:oval>
            <v:oval id="_x0000_s1032" style="position:absolute;left:12213;top:4902;width:1080;height:717" strokeweight="1pt">
              <v:textbox style="mso-next-textbox:#_x0000_s1032" inset="0,2mm,0,0">
                <w:txbxContent>
                  <w:p w:rsidR="001210C7" w:rsidRPr="0010229A" w:rsidRDefault="001210C7" w:rsidP="00D50677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</w:t>
                    </w:r>
                  </w:p>
                </w:txbxContent>
              </v:textbox>
            </v:oval>
            <v:oval id="_x0000_s1033" style="position:absolute;left:12213;top:5802;width:1080;height:717" strokeweight="1pt">
              <v:textbox style="mso-next-textbox:#_x0000_s1033" inset="0,2mm,0,0">
                <w:txbxContent>
                  <w:p w:rsidR="001210C7" w:rsidRPr="003231FB" w:rsidRDefault="003231FB" w:rsidP="00D50677">
                    <w:pPr>
                      <w:jc w:val="center"/>
                      <w:rPr>
                        <w:sz w:val="16"/>
                        <w:szCs w:val="28"/>
                        <w:lang w:val="uk-UA"/>
                      </w:rPr>
                    </w:pPr>
                    <w:r w:rsidRPr="003231FB">
                      <w:rPr>
                        <w:sz w:val="18"/>
                        <w:szCs w:val="28"/>
                        <w:lang w:val="uk-UA"/>
                      </w:rPr>
                      <w:t>Маса тіла</w:t>
                    </w:r>
                  </w:p>
                </w:txbxContent>
              </v:textbox>
            </v:oval>
            <v:oval id="_x0000_s1034" style="position:absolute;left:11673;top:6519;width:1080;height:717" strokeweight="1pt">
              <v:textbox style="mso-next-textbox:#_x0000_s1034" inset="0,2mm,0,0">
                <w:txbxContent>
                  <w:p w:rsidR="001210C7" w:rsidRPr="0010229A" w:rsidRDefault="003231FB" w:rsidP="00D50677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З</w:t>
                    </w:r>
                    <w:r w:rsidR="001210C7">
                      <w:rPr>
                        <w:sz w:val="28"/>
                        <w:szCs w:val="28"/>
                        <w:lang w:val="uk-UA"/>
                      </w:rPr>
                      <w:t>ріст</w:t>
                    </w:r>
                  </w:p>
                </w:txbxContent>
              </v:textbox>
            </v:oval>
            <v:oval id="_x0000_s1035" style="position:absolute;left:10773;top:7059;width:1080;height:717" strokeweight="1pt">
              <v:textbox style="mso-next-textbox:#_x0000_s1035" inset="0,2mm,0,0">
                <w:txbxContent>
                  <w:p w:rsidR="001210C7" w:rsidRPr="0010229A" w:rsidRDefault="001210C7" w:rsidP="00D50677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ІМТ</w:t>
                    </w:r>
                  </w:p>
                </w:txbxContent>
              </v:textbox>
            </v:oval>
            <v:oval id="_x0000_s1036" style="position:absolute;left:11493;top:3279;width:1080;height:717" strokeweight="1pt">
              <v:textbox style="mso-next-textbox:#_x0000_s1036" inset="0,2mm,0,0">
                <w:txbxContent>
                  <w:p w:rsidR="001210C7" w:rsidRPr="0010229A" w:rsidRDefault="003231FB" w:rsidP="00D50677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  <w:r w:rsidR="001210C7">
                      <w:rPr>
                        <w:sz w:val="28"/>
                        <w:szCs w:val="28"/>
                        <w:lang w:val="uk-UA"/>
                      </w:rPr>
                      <w:t>і</w:t>
                    </w:r>
                    <w:r w:rsidR="001210C7">
                      <w:rPr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oval>
            <v:oval id="_x0000_s1037" style="position:absolute;left:6633;top:3279;width:1080;height:717" strokeweight="1pt">
              <v:textbox style="mso-next-textbox:#_x0000_s1037" inset="0,2mm,0,0">
                <w:txbxContent>
                  <w:p w:rsidR="001210C7" w:rsidRPr="0010229A" w:rsidRDefault="001210C7" w:rsidP="00D50677">
                    <w:pPr>
                      <w:jc w:val="center"/>
                      <w:rPr>
                        <w:szCs w:val="28"/>
                      </w:rPr>
                    </w:pPr>
                    <w:r w:rsidRPr="00B967C2">
                      <w:rPr>
                        <w:spacing w:val="-6"/>
                        <w:lang w:val="en-US"/>
                      </w:rPr>
                      <w:t>HOMA</w:t>
                    </w:r>
                  </w:p>
                </w:txbxContent>
              </v:textbox>
            </v:oval>
            <v:oval id="_x0000_s1038" style="position:absolute;left:6093;top:3999;width:1080;height:717" strokeweight="1pt">
              <v:textbox style="mso-next-textbox:#_x0000_s1038" inset="0,2mm,0,0">
                <w:txbxContent>
                  <w:p w:rsidR="001210C7" w:rsidRPr="0010229A" w:rsidRDefault="001210C7" w:rsidP="00D50677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Hb</w:t>
                    </w:r>
                    <w:r w:rsidRPr="00B967C2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A1c</w:t>
                    </w:r>
                  </w:p>
                </w:txbxContent>
              </v:textbox>
            </v:oval>
            <v:oval id="_x0000_s1039" style="position:absolute;left:5913;top:4902;width:1080;height:717" strokeweight="1pt">
              <v:textbox style="mso-next-textbox:#_x0000_s1039" inset="0,2mm,0,0">
                <w:txbxContent>
                  <w:p w:rsidR="001210C7" w:rsidRPr="0010229A" w:rsidRDefault="003231FB" w:rsidP="00D50677">
                    <w:pPr>
                      <w:jc w:val="center"/>
                      <w:rPr>
                        <w:szCs w:val="28"/>
                      </w:rPr>
                    </w:pPr>
                    <w:r w:rsidRPr="003231FB">
                      <w:rPr>
                        <w:spacing w:val="-6"/>
                        <w:sz w:val="20"/>
                        <w:szCs w:val="22"/>
                        <w:lang w:val="uk-UA"/>
                      </w:rPr>
                      <w:t>Г</w:t>
                    </w:r>
                    <w:r w:rsidR="001210C7" w:rsidRPr="003231FB">
                      <w:rPr>
                        <w:spacing w:val="-6"/>
                        <w:sz w:val="20"/>
                        <w:szCs w:val="22"/>
                        <w:lang w:val="uk-UA"/>
                      </w:rPr>
                      <w:t>люкоза</w:t>
                    </w:r>
                  </w:p>
                </w:txbxContent>
              </v:textbox>
            </v:oval>
            <v:oval id="_x0000_s1040" style="position:absolute;left:5913;top:5799;width:1080;height:717" strokeweight="1pt">
              <v:textbox style="mso-next-textbox:#_x0000_s1040" inset="0,2mm,0,0">
                <w:txbxContent>
                  <w:p w:rsidR="001210C7" w:rsidRPr="0010229A" w:rsidRDefault="003231FB" w:rsidP="00D50677">
                    <w:pPr>
                      <w:jc w:val="center"/>
                      <w:rPr>
                        <w:szCs w:val="22"/>
                      </w:rPr>
                    </w:pPr>
                    <w:r>
                      <w:rPr>
                        <w:spacing w:val="-6"/>
                        <w:lang w:val="uk-UA"/>
                      </w:rPr>
                      <w:t>І</w:t>
                    </w:r>
                    <w:r w:rsidR="001210C7" w:rsidRPr="00B967C2">
                      <w:rPr>
                        <w:spacing w:val="-6"/>
                        <w:lang w:val="uk-UA"/>
                      </w:rPr>
                      <w:t>нсулін</w:t>
                    </w:r>
                  </w:p>
                </w:txbxContent>
              </v:textbox>
            </v:oval>
            <v:oval id="_x0000_s1041" style="position:absolute;left:6453;top:6522;width:1080;height:717" strokeweight="1pt">
              <v:textbox style="mso-next-textbox:#_x0000_s1041" inset="0,2mm,0,0">
                <w:txbxContent>
                  <w:p w:rsidR="001210C7" w:rsidRPr="0010229A" w:rsidRDefault="001210C7" w:rsidP="00D50677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ЧСС</w:t>
                    </w:r>
                  </w:p>
                </w:txbxContent>
              </v:textbox>
            </v:oval>
            <v:oval id="_x0000_s1042" style="position:absolute;left:7353;top:7059;width:1080;height:717" strokeweight="1pt">
              <v:textbox style="mso-next-textbox:#_x0000_s1042" inset="0,0,0,0">
                <w:txbxContent>
                  <w:p w:rsidR="001210C7" w:rsidRPr="0010229A" w:rsidRDefault="003231FB" w:rsidP="00D50677">
                    <w:pPr>
                      <w:spacing w:line="204" w:lineRule="auto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  <w:lang w:val="uk-UA"/>
                      </w:rPr>
                      <w:t>Т</w:t>
                    </w:r>
                    <w:r w:rsidR="001210C7" w:rsidRPr="003231FB">
                      <w:rPr>
                        <w:szCs w:val="28"/>
                        <w:lang w:val="uk-UA"/>
                      </w:rPr>
                      <w:t>рив</w:t>
                    </w:r>
                    <w:r w:rsidR="001210C7">
                      <w:rPr>
                        <w:sz w:val="28"/>
                        <w:szCs w:val="28"/>
                        <w:lang w:val="uk-UA"/>
                      </w:rPr>
                      <w:t xml:space="preserve">. </w:t>
                    </w:r>
                    <w:r w:rsidR="001210C7" w:rsidRPr="003231FB">
                      <w:rPr>
                        <w:sz w:val="22"/>
                        <w:szCs w:val="28"/>
                        <w:lang w:val="uk-UA"/>
                      </w:rPr>
                      <w:t>АГ</w:t>
                    </w:r>
                  </w:p>
                </w:txbxContent>
              </v:textbox>
            </v:oval>
            <v:line id="_x0000_s1043" style="position:absolute;flip:x y" from="11493,3697" to="12033,4513" strokeweight="1pt"/>
            <v:line id="_x0000_s1044" style="position:absolute;flip:x y" from="12033,4513" to="12213,5330" strokeweight="1pt"/>
            <v:line id="_x0000_s1045" style="position:absolute;flip:x y" from="12033,4356" to="12213,6190" strokeweight="1pt"/>
            <v:line id="_x0000_s1046" style="position:absolute;flip:y" from="11133,4513" to="12033,7059" strokeweight="1pt"/>
            <v:line id="_x0000_s1047" style="position:absolute;flip:y" from="6993,4513" to="12033,5217" strokeweight="1pt"/>
            <v:line id="_x0000_s1048" style="position:absolute;flip:y" from="12213,5217" to="12213,6190" strokeweight="1pt"/>
            <v:line id="_x0000_s1049" style="position:absolute;flip:y" from="11121,5330" to="12213,7062" strokeweight="1pt"/>
            <v:line id="_x0000_s1050" style="position:absolute;flip:x y" from="10233,2937" to="12213,5330" strokeweight="1pt"/>
            <v:line id="_x0000_s1051" style="position:absolute;flip:y" from="11853,6190" to="12213,6706" strokeweight="1pt"/>
            <v:line id="_x0000_s1052" style="position:absolute;flip:y" from="11121,6190" to="12213,7062" strokeweight="1pt"/>
            <v:line id="_x0000_s1053" style="position:absolute" from="6993,5217" to="12213,6190" strokeweight="1pt"/>
            <v:line id="_x0000_s1054" style="position:absolute" from="6993,5217" to="11121,7059" strokeweight="1pt"/>
            <v:line id="_x0000_s1055" style="position:absolute;flip:y" from="8973,7419" to="10233,7419" strokeweight="1pt"/>
            <v:line id="_x0000_s1056" style="position:absolute" from="7130,4433" to="8973,7419" strokeweight="1pt">
              <v:stroke dashstyle="longDash"/>
            </v:line>
            <v:line id="_x0000_s1057" style="position:absolute;flip:x y" from="6993,6190" to="8097,7062" strokeweight="1pt"/>
            <v:line id="_x0000_s1058" style="position:absolute;flip:x y" from="7713,3697" to="8097,7062" strokeweight="1pt"/>
            <v:line id="_x0000_s1059" style="position:absolute;flip:y" from="6993,5217" to="6993,6190" strokeweight="1pt"/>
            <v:line id="_x0000_s1060" style="position:absolute;flip:y" from="7014,3627" to="7734,6190" strokeweight="1pt"/>
            <v:line id="_x0000_s1061" style="position:absolute;flip:y" from="6993,3627" to="7734,5217" strokeweight="1pt"/>
            <v:line id="_x0000_s1062" style="position:absolute;flip:x y" from="8973,2934" to="10233,2934" strokeweight="1pt"/>
            <v:line id="_x0000_s1063" style="position:absolute;flip:x y" from="10233,2937" to="11133,3276" strokeweight="1pt"/>
          </v:group>
        </w:pict>
      </w: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4662A2" w:rsidP="00E22D96">
      <w:pPr>
        <w:rPr>
          <w:sz w:val="28"/>
          <w:szCs w:val="28"/>
          <w:lang w:val="uk-UA"/>
        </w:rPr>
      </w:pPr>
      <w:r>
        <w:rPr>
          <w:noProof/>
        </w:rPr>
        <w:pict>
          <v:oval id="_x0000_s1064" style="position:absolute;margin-left:156.25pt;margin-top:8.95pt;width:47.85pt;height:31.35pt;z-index:251661312" strokeweight="1pt">
            <v:textbox style="mso-next-textbox:#_x0000_s1064" inset="0,2mm,0,0">
              <w:txbxContent>
                <w:p w:rsidR="001210C7" w:rsidRPr="0010229A" w:rsidRDefault="001210C7" w:rsidP="00D50677">
                  <w:pPr>
                    <w:jc w:val="center"/>
                    <w:rPr>
                      <w:szCs w:val="28"/>
                    </w:rPr>
                  </w:pPr>
                  <w:r w:rsidRPr="00D50677">
                    <w:rPr>
                      <w:sz w:val="22"/>
                      <w:szCs w:val="28"/>
                      <w:lang w:val="uk-UA"/>
                    </w:rPr>
                    <w:t>САТ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margin-left:215.95pt;margin-top:8.95pt;width:55.2pt;height:31.55pt;z-index:251660288" strokeweight="1pt">
            <v:textbox style="mso-next-textbox:#_x0000_s1065" inset="0,2mm,0,0">
              <w:txbxContent>
                <w:p w:rsidR="001210C7" w:rsidRPr="0010229A" w:rsidRDefault="001210C7" w:rsidP="00D50677">
                  <w:pPr>
                    <w:jc w:val="center"/>
                    <w:rPr>
                      <w:szCs w:val="28"/>
                    </w:rPr>
                  </w:pPr>
                  <w:r w:rsidRPr="00D50677">
                    <w:rPr>
                      <w:sz w:val="22"/>
                      <w:szCs w:val="28"/>
                      <w:lang w:val="uk-UA"/>
                    </w:rPr>
                    <w:t>ДАТ</w:t>
                  </w:r>
                </w:p>
              </w:txbxContent>
            </v:textbox>
          </v:oval>
        </w:pict>
      </w: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rPr>
          <w:sz w:val="28"/>
          <w:szCs w:val="28"/>
          <w:lang w:val="uk-UA"/>
        </w:rPr>
      </w:pPr>
    </w:p>
    <w:p w:rsidR="00D50677" w:rsidRDefault="00D50677" w:rsidP="00E22D96">
      <w:pPr>
        <w:spacing w:line="360" w:lineRule="auto"/>
        <w:jc w:val="both"/>
        <w:rPr>
          <w:sz w:val="28"/>
          <w:szCs w:val="28"/>
          <w:lang w:val="uk-UA"/>
        </w:rPr>
      </w:pPr>
      <w:r w:rsidRPr="00174FCA">
        <w:rPr>
          <w:sz w:val="28"/>
          <w:szCs w:val="28"/>
          <w:lang w:val="uk-UA"/>
        </w:rPr>
        <w:t>Рис.</w:t>
      </w:r>
      <w:r w:rsidR="003231FB">
        <w:rPr>
          <w:sz w:val="28"/>
          <w:szCs w:val="28"/>
          <w:lang w:val="uk-UA"/>
        </w:rPr>
        <w:t xml:space="preserve"> 1.</w:t>
      </w:r>
      <w:r w:rsidRPr="00174FCA">
        <w:rPr>
          <w:sz w:val="28"/>
          <w:szCs w:val="28"/>
          <w:lang w:val="uk-UA"/>
        </w:rPr>
        <w:t xml:space="preserve"> Вірогідні кореляційні зв’язки </w:t>
      </w:r>
      <w:r w:rsidRPr="00101739">
        <w:rPr>
          <w:sz w:val="28"/>
          <w:szCs w:val="28"/>
          <w:lang w:val="uk-UA"/>
        </w:rPr>
        <w:t xml:space="preserve">при рівні </w:t>
      </w:r>
      <w:r>
        <w:rPr>
          <w:sz w:val="28"/>
          <w:szCs w:val="28"/>
          <w:lang w:val="uk-UA"/>
        </w:rPr>
        <w:t>FasL</w:t>
      </w:r>
      <w:r w:rsidRPr="00101739">
        <w:rPr>
          <w:sz w:val="28"/>
          <w:szCs w:val="28"/>
          <w:lang w:val="uk-UA"/>
        </w:rPr>
        <w:t xml:space="preserve"> в крові </w:t>
      </w:r>
      <w:r>
        <w:rPr>
          <w:sz w:val="28"/>
          <w:szCs w:val="28"/>
          <w:lang w:val="uk-UA"/>
        </w:rPr>
        <w:t>6,4</w:t>
      </w:r>
      <w:r w:rsidRPr="0010173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6,7</w:t>
      </w:r>
      <w:r w:rsidRPr="00101739">
        <w:rPr>
          <w:sz w:val="28"/>
          <w:szCs w:val="28"/>
          <w:lang w:val="uk-UA"/>
        </w:rPr>
        <w:t xml:space="preserve"> </w:t>
      </w:r>
      <w:r w:rsidR="003231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г/мл </w:t>
      </w:r>
      <w:r w:rsidRPr="00101739">
        <w:rPr>
          <w:sz w:val="28"/>
          <w:szCs w:val="28"/>
          <w:lang w:val="uk-UA"/>
        </w:rPr>
        <w:t>(2 </w:t>
      </w:r>
      <w:r>
        <w:rPr>
          <w:sz w:val="28"/>
          <w:szCs w:val="28"/>
          <w:lang w:val="uk-UA"/>
        </w:rPr>
        <w:t>тертиль</w:t>
      </w:r>
      <w:r w:rsidRPr="00101739">
        <w:rPr>
          <w:sz w:val="28"/>
          <w:szCs w:val="28"/>
          <w:lang w:val="uk-UA"/>
        </w:rPr>
        <w:t>на група)</w:t>
      </w:r>
      <w:r w:rsidR="00F1396F">
        <w:rPr>
          <w:sz w:val="28"/>
          <w:szCs w:val="28"/>
          <w:lang w:val="uk-UA"/>
        </w:rPr>
        <w:t>.</w:t>
      </w:r>
    </w:p>
    <w:p w:rsidR="00D50677" w:rsidRDefault="001B3892" w:rsidP="00E22D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62A2">
        <w:rPr>
          <w:noProof/>
        </w:rPr>
        <w:pict>
          <v:group id="_x0000_s1066" style="position:absolute;left:0;text-align:left;margin-left:4.55pt;margin-top:4.5pt;width:390.25pt;height:252pt;z-index:251658240;mso-position-horizontal-relative:text;mso-position-vertical-relative:text" coordorigin="5514,2723" coordsize="7380,5919">
            <v:oval id="_x0000_s1067" style="position:absolute;left:6954;top:3065;width:1080;height:717" strokeweight="1pt">
              <v:textbox style="mso-next-textbox:#_x0000_s1067" inset="0,2mm,0,0">
                <w:txbxContent>
                  <w:p w:rsidR="001210C7" w:rsidRPr="00E14106" w:rsidRDefault="001210C7" w:rsidP="00694C84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694C84">
                      <w:rPr>
                        <w:szCs w:val="28"/>
                        <w:lang w:val="uk-UA"/>
                      </w:rPr>
                      <w:t>ІЛ</w:t>
                    </w:r>
                    <w:r>
                      <w:rPr>
                        <w:szCs w:val="28"/>
                        <w:lang w:val="uk-UA"/>
                      </w:rPr>
                      <w:t>-</w:t>
                    </w:r>
                    <w:r w:rsidRPr="00694C84">
                      <w:rPr>
                        <w:szCs w:val="28"/>
                        <w:lang w:val="uk-UA"/>
                      </w:rPr>
                      <w:t>18</w:t>
                    </w:r>
                  </w:p>
                </w:txbxContent>
              </v:textbox>
            </v:oval>
            <v:oval id="_x0000_s1068" style="position:absolute;left:8034;top:2723;width:1080;height:717" strokeweight="1pt">
              <v:textbox style="mso-next-textbox:#_x0000_s1068" inset="0,2mm,0,0">
                <w:txbxContent>
                  <w:p w:rsidR="001210C7" w:rsidRPr="00694C84" w:rsidRDefault="001210C7" w:rsidP="00694C84">
                    <w:pPr>
                      <w:jc w:val="center"/>
                      <w:rPr>
                        <w:lang w:val="uk-UA"/>
                      </w:rPr>
                    </w:pPr>
                    <w:r w:rsidRPr="00694C84">
                      <w:rPr>
                        <w:lang w:val="uk-UA"/>
                      </w:rPr>
                      <w:t>ІЛ-10</w:t>
                    </w:r>
                  </w:p>
                </w:txbxContent>
              </v:textbox>
            </v:oval>
            <v:oval id="_x0000_s1069" style="position:absolute;left:9294;top:2723;width:1080;height:717" strokeweight="1pt">
              <v:textbox style="mso-next-textbox:#_x0000_s1069" inset="0,2mm,0,0">
                <w:txbxContent>
                  <w:p w:rsidR="001210C7" w:rsidRPr="00E14106" w:rsidRDefault="001210C7" w:rsidP="00694C84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E14106">
                      <w:rPr>
                        <w:sz w:val="28"/>
                        <w:szCs w:val="28"/>
                        <w:lang w:val="uk-UA"/>
                      </w:rPr>
                      <w:t>FasL</w:t>
                    </w:r>
                  </w:p>
                </w:txbxContent>
              </v:textbox>
            </v:oval>
            <v:oval id="_x0000_s1070" style="position:absolute;left:11634;top:4505;width:1080;height:717" strokeweight="1pt">
              <v:textbox style="mso-next-textbox:#_x0000_s1070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ОТ</w:t>
                    </w:r>
                  </w:p>
                </w:txbxContent>
              </v:textbox>
            </v:oval>
            <v:oval id="_x0000_s1071" style="position:absolute;left:11814;top:5408;width:1080;height:717" strokeweight="1pt">
              <v:textbox style="mso-next-textbox:#_x0000_s1071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</w:t>
                    </w:r>
                  </w:p>
                </w:txbxContent>
              </v:textbox>
            </v:oval>
            <v:oval id="_x0000_s1072" style="position:absolute;left:11814;top:6308;width:1080;height:717" strokeweight="1pt">
              <v:textbox style="mso-next-textbox:#_x0000_s1072" inset="0,2mm,0,0">
                <w:txbxContent>
                  <w:p w:rsidR="001210C7" w:rsidRPr="00694C84" w:rsidRDefault="001210C7" w:rsidP="00694C84">
                    <w:pPr>
                      <w:jc w:val="center"/>
                      <w:rPr>
                        <w:szCs w:val="28"/>
                        <w:lang w:val="uk-UA"/>
                      </w:rPr>
                    </w:pPr>
                    <w:r w:rsidRPr="003231FB">
                      <w:rPr>
                        <w:sz w:val="16"/>
                        <w:szCs w:val="16"/>
                        <w:lang w:val="uk-UA"/>
                      </w:rPr>
                      <w:t>Маса</w:t>
                    </w:r>
                    <w:r>
                      <w:rPr>
                        <w:szCs w:val="28"/>
                        <w:lang w:val="uk-UA"/>
                      </w:rPr>
                      <w:t xml:space="preserve"> </w:t>
                    </w:r>
                    <w:r w:rsidRPr="003231FB">
                      <w:rPr>
                        <w:sz w:val="16"/>
                        <w:szCs w:val="16"/>
                        <w:lang w:val="uk-UA"/>
                      </w:rPr>
                      <w:t>тіла</w:t>
                    </w:r>
                  </w:p>
                </w:txbxContent>
              </v:textbox>
            </v:oval>
            <v:oval id="_x0000_s1073" style="position:absolute;left:11274;top:7025;width:1080;height:717" strokeweight="1pt">
              <v:textbox style="mso-next-textbox:#_x0000_s1073" inset="0,2mm,0,0">
                <w:txbxContent>
                  <w:p w:rsidR="001210C7" w:rsidRPr="0010229A" w:rsidRDefault="001C5FD2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З</w:t>
                    </w:r>
                    <w:r w:rsidR="001210C7">
                      <w:rPr>
                        <w:sz w:val="28"/>
                        <w:szCs w:val="28"/>
                        <w:lang w:val="uk-UA"/>
                      </w:rPr>
                      <w:t>ріст</w:t>
                    </w:r>
                  </w:p>
                </w:txbxContent>
              </v:textbox>
            </v:oval>
            <v:oval id="_x0000_s1074" style="position:absolute;left:10374;top:7565;width:1080;height:717" strokeweight="1pt">
              <v:textbox style="mso-next-textbox:#_x0000_s1074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ІМТ</w:t>
                    </w:r>
                  </w:p>
                </w:txbxContent>
              </v:textbox>
            </v:oval>
            <v:oval id="_x0000_s1075" style="position:absolute;left:9294;top:7925;width:1080;height:717" strokeweight="1pt">
              <v:textbox style="mso-next-textbox:#_x0000_s1075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САТ</w:t>
                    </w:r>
                  </w:p>
                </w:txbxContent>
              </v:textbox>
            </v:oval>
            <v:oval id="_x0000_s1076" style="position:absolute;left:6234;top:3785;width:1080;height:717" strokeweight="1pt">
              <v:textbox style="mso-next-textbox:#_x0000_s1076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 w:rsidRPr="00694C84">
                      <w:rPr>
                        <w:spacing w:val="-6"/>
                        <w:sz w:val="20"/>
                        <w:lang w:val="en-US"/>
                      </w:rPr>
                      <w:t>HOMA</w:t>
                    </w:r>
                  </w:p>
                </w:txbxContent>
              </v:textbox>
            </v:oval>
            <v:oval id="_x0000_s1077" style="position:absolute;left:5694;top:4505;width:1080;height:717" strokeweight="1pt">
              <v:textbox style="mso-next-textbox:#_x0000_s1077" inset="0,2mm,0,0">
                <w:txbxContent>
                  <w:p w:rsidR="001210C7" w:rsidRPr="0010229A" w:rsidRDefault="001210C7" w:rsidP="00694C84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Hb</w:t>
                    </w:r>
                    <w:r w:rsidRPr="00B967C2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A1c</w:t>
                    </w:r>
                  </w:p>
                </w:txbxContent>
              </v:textbox>
            </v:oval>
            <v:oval id="_x0000_s1078" style="position:absolute;left:5514;top:5408;width:1080;height:717" strokeweight="1pt">
              <v:textbox style="mso-next-textbox:#_x0000_s1078" inset="0,2mm,0,0">
                <w:txbxContent>
                  <w:p w:rsidR="001210C7" w:rsidRPr="0010229A" w:rsidRDefault="001C5FD2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pacing w:val="-6"/>
                        <w:sz w:val="18"/>
                        <w:szCs w:val="22"/>
                        <w:lang w:val="uk-UA"/>
                      </w:rPr>
                      <w:t>Г</w:t>
                    </w:r>
                    <w:r w:rsidR="001210C7" w:rsidRPr="00694C84">
                      <w:rPr>
                        <w:spacing w:val="-6"/>
                        <w:sz w:val="18"/>
                        <w:szCs w:val="22"/>
                        <w:lang w:val="uk-UA"/>
                      </w:rPr>
                      <w:t>люкоза</w:t>
                    </w:r>
                  </w:p>
                </w:txbxContent>
              </v:textbox>
            </v:oval>
            <v:oval id="_x0000_s1079" style="position:absolute;left:5514;top:6305;width:1080;height:717" strokeweight="1pt">
              <v:textbox style="mso-next-textbox:#_x0000_s1079" inset="0,2mm,0,0">
                <w:txbxContent>
                  <w:p w:rsidR="001210C7" w:rsidRPr="0010229A" w:rsidRDefault="001C5FD2" w:rsidP="00694C84">
                    <w:pPr>
                      <w:jc w:val="center"/>
                      <w:rPr>
                        <w:szCs w:val="22"/>
                      </w:rPr>
                    </w:pPr>
                    <w:r>
                      <w:rPr>
                        <w:spacing w:val="-6"/>
                        <w:sz w:val="20"/>
                        <w:lang w:val="uk-UA"/>
                      </w:rPr>
                      <w:t>І</w:t>
                    </w:r>
                    <w:r w:rsidR="001210C7" w:rsidRPr="00694C84">
                      <w:rPr>
                        <w:spacing w:val="-6"/>
                        <w:sz w:val="20"/>
                        <w:lang w:val="uk-UA"/>
                      </w:rPr>
                      <w:t>нсулін</w:t>
                    </w:r>
                  </w:p>
                </w:txbxContent>
              </v:textbox>
            </v:oval>
            <v:oval id="_x0000_s1080" style="position:absolute;left:6054;top:7028;width:1080;height:717" strokeweight="1pt">
              <v:textbox style="mso-next-textbox:#_x0000_s1080" inset="0,2mm,0,0">
                <w:txbxContent>
                  <w:p w:rsidR="001210C7" w:rsidRPr="0010229A" w:rsidRDefault="001210C7" w:rsidP="00694C84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ЧСС</w:t>
                    </w:r>
                  </w:p>
                </w:txbxContent>
              </v:textbox>
            </v:oval>
            <v:oval id="_x0000_s1081" style="position:absolute;left:6954;top:7565;width:1080;height:717" strokeweight="1pt">
              <v:textbox style="mso-next-textbox:#_x0000_s1081" inset="0,0,0,0">
                <w:txbxContent>
                  <w:p w:rsidR="001210C7" w:rsidRPr="00694C84" w:rsidRDefault="001C5FD2" w:rsidP="00694C84">
                    <w:pPr>
                      <w:spacing w:line="204" w:lineRule="auto"/>
                      <w:jc w:val="center"/>
                      <w:rPr>
                        <w:sz w:val="20"/>
                        <w:szCs w:val="28"/>
                      </w:rPr>
                    </w:pPr>
                    <w:r>
                      <w:rPr>
                        <w:sz w:val="22"/>
                        <w:szCs w:val="28"/>
                        <w:lang w:val="uk-UA"/>
                      </w:rPr>
                      <w:t>Т</w:t>
                    </w:r>
                    <w:r w:rsidR="001210C7" w:rsidRPr="00694C84">
                      <w:rPr>
                        <w:sz w:val="22"/>
                        <w:szCs w:val="28"/>
                        <w:lang w:val="uk-UA"/>
                      </w:rPr>
                      <w:t>рив. АГ</w:t>
                    </w:r>
                  </w:p>
                </w:txbxContent>
              </v:textbox>
            </v:oval>
            <v:oval id="_x0000_s1082" style="position:absolute;left:8034;top:7925;width:1080;height:717" strokeweight="1pt">
              <v:textbox style="mso-next-textbox:#_x0000_s1082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ДАТ</w:t>
                    </w:r>
                  </w:p>
                </w:txbxContent>
              </v:textbox>
            </v:oval>
            <v:line id="_x0000_s1083" style="position:absolute;flip:y" from="11274,4502" to="11274,7200" strokeweight="1pt">
              <v:stroke dashstyle="longDash"/>
            </v:line>
            <v:line id="_x0000_s1084" style="position:absolute;flip:y" from="7802,4325" to="11274,7565" strokeweight="1pt"/>
            <v:line id="_x0000_s1085" style="position:absolute" from="7802,3675" to="11274,4325" strokeweight="1pt">
              <v:stroke dashstyle="longDash"/>
            </v:line>
            <v:line id="_x0000_s1086" style="position:absolute" from="8661,3440" to="11274,4325" strokeweight="1pt">
              <v:stroke dashstyle="longDash"/>
            </v:line>
            <v:line id="_x0000_s1087" style="position:absolute;flip:x y" from="9834,3374" to="11274,4325" strokeweight="1pt"/>
            <v:line id="_x0000_s1088" style="position:absolute;flip:x y" from="10687,3675" to="11274,4325" strokeweight="1pt"/>
            <v:oval id="_x0000_s1089" style="position:absolute;left:11094;top:3785;width:1080;height:717" strokeweight="1pt">
              <v:textbox style="mso-next-textbox:#_x0000_s1089" inset="0,2mm,0,0">
                <w:txbxContent>
                  <w:p w:rsidR="001210C7" w:rsidRPr="0010229A" w:rsidRDefault="001C5FD2" w:rsidP="00694C84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В</w:t>
                    </w:r>
                    <w:r w:rsidR="001210C7">
                      <w:rPr>
                        <w:sz w:val="28"/>
                        <w:szCs w:val="28"/>
                        <w:lang w:val="uk-UA"/>
                      </w:rPr>
                      <w:t>і</w:t>
                    </w:r>
                    <w:r w:rsidR="001210C7">
                      <w:rPr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oval>
            <v:line id="_x0000_s1090" style="position:absolute;flip:x y" from="11634,4862" to="11814,5840" strokeweight="1pt"/>
            <v:line id="_x0000_s1091" style="position:absolute;flip:x y" from="11634,4862" to="11814,6678" strokeweight="1pt"/>
            <v:line id="_x0000_s1092" style="position:absolute;flip:y" from="10687,4868" to="11634,7565" strokeweight="1pt"/>
            <v:line id="_x0000_s1093" style="position:absolute;flip:y" from="11814,5765" to="11814,6678" strokeweight="1pt"/>
            <v:line id="_x0000_s1094" style="position:absolute;flip:y" from="11274,5765" to="11814,7200" strokeweight="1pt">
              <v:stroke dashstyle="longDash"/>
            </v:line>
            <v:line id="_x0000_s1095" style="position:absolute;flip:y" from="10687,5765" to="11814,7568" strokeweight="1pt"/>
            <v:line id="_x0000_s1096" style="position:absolute;flip:y" from="11274,6678" to="11814,7200" strokeweight="1pt"/>
            <v:line id="_x0000_s1097" style="position:absolute;flip:y" from="10687,6678" to="11814,7565" strokeweight="1pt"/>
            <v:line id="_x0000_s1098" style="position:absolute;flip:x y" from="9834,3374" to="11274,7200" strokeweight="1pt">
              <v:stroke dashstyle="longDash"/>
            </v:line>
            <v:line id="_x0000_s1099" style="position:absolute;flip:y" from="8574,7925" to="9834,7925" strokeweight="1pt"/>
            <v:line id="_x0000_s1100" style="position:absolute;flip:x y" from="7802,7568" to="9834,7910" strokeweight="1pt"/>
            <v:line id="_x0000_s1101" style="position:absolute;flip:x y" from="6774,4986" to="9866,7910" strokeweight="1pt">
              <v:stroke dashstyle="longDash"/>
            </v:line>
            <v:line id="_x0000_s1102" style="position:absolute;flip:x y" from="7802,7565" to="8574,7910" strokeweight="1pt"/>
            <v:line id="_x0000_s1103" style="position:absolute" from="6774,4986" to="8574,7925" strokeweight="1pt">
              <v:stroke dashstyle="longDash"/>
            </v:line>
            <v:line id="_x0000_s1104" style="position:absolute;flip:y" from="7802,3374" to="8722,7568" strokeweight="1pt">
              <v:stroke dashstyle="longDash"/>
            </v:line>
            <v:line id="_x0000_s1105" style="position:absolute;flip:y" from="7802,3374" to="9866,7565" strokeweight="1pt"/>
            <v:line id="_x0000_s1106" style="position:absolute;flip:y" from="6594,4148" to="7314,6678" strokeweight="1pt"/>
            <v:line id="_x0000_s1107" style="position:absolute;flip:y" from="6594,4145" to="7314,5765" strokeweight="1pt"/>
            <v:line id="_x0000_s1108" style="position:absolute;flip:y" from="6594,3675" to="7802,5765" strokeweight="1pt">
              <v:stroke dashstyle="longDash"/>
            </v:line>
            <v:line id="_x0000_s1109" style="position:absolute;flip:y" from="6594,3374" to="9866,5765" strokeweight="1pt"/>
            <v:line id="_x0000_s1110" style="position:absolute;flip:y" from="6774,3440" to="8722,4986" strokeweight="1pt">
              <v:stroke dashstyle="longDash"/>
            </v:line>
            <v:line id="_x0000_s1111" style="position:absolute;flip:y" from="6774,3675" to="10687,4986" strokeweight="1pt"/>
            <v:line id="_x0000_s1112" style="position:absolute;flip:y" from="7802,3440" to="8661,3675" strokeweight="1pt"/>
            <v:line id="_x0000_s1113" style="position:absolute;flip:y" from="7802,3374" to="9866,3675" strokeweight="1pt">
              <v:stroke dashstyle="longDash"/>
            </v:line>
            <v:line id="_x0000_s1114" style="position:absolute" from="7802,3675" to="10687,3675" strokeweight="1pt">
              <v:stroke dashstyle="longDash"/>
            </v:line>
            <v:line id="_x0000_s1115" style="position:absolute;flip:y" from="8722,3374" to="9834,3440" strokeweight="1pt">
              <v:stroke dashstyle="longDash"/>
            </v:line>
            <v:line id="_x0000_s1116" style="position:absolute" from="8661,3440" to="10817,3675" strokeweight="1pt">
              <v:stroke dashstyle="longDash"/>
            </v:line>
            <v:line id="_x0000_s1117" style="position:absolute" from="9866,3374" to="10687,3605" strokeweight="1pt"/>
            <v:oval id="_x0000_s1118" style="position:absolute;left:10374;top:3065;width:1080;height:717" strokeweight="1pt">
              <v:textbox style="mso-next-textbox:#_x0000_s1118" inset="0,2mm,0,0">
                <w:txbxContent>
                  <w:p w:rsidR="001210C7" w:rsidRPr="0010229A" w:rsidRDefault="001210C7" w:rsidP="00694C84">
                    <w:pPr>
                      <w:jc w:val="center"/>
                      <w:rPr>
                        <w:szCs w:val="28"/>
                      </w:rPr>
                    </w:pPr>
                    <w:r w:rsidRPr="00E14106">
                      <w:rPr>
                        <w:sz w:val="28"/>
                        <w:szCs w:val="28"/>
                        <w:lang w:val="uk-UA"/>
                      </w:rPr>
                      <w:t>Fas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oval>
          </v:group>
        </w:pict>
      </w: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D50677" w:rsidRDefault="00D50677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042DEF" w:rsidRPr="00953E7F" w:rsidRDefault="00042DEF" w:rsidP="00E22D96">
      <w:pPr>
        <w:tabs>
          <w:tab w:val="left" w:pos="6521"/>
        </w:tabs>
        <w:rPr>
          <w:sz w:val="28"/>
          <w:szCs w:val="28"/>
          <w:lang w:val="uk-UA"/>
        </w:rPr>
      </w:pPr>
    </w:p>
    <w:p w:rsidR="00042DEF" w:rsidRDefault="00042DEF" w:rsidP="00E22D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94C84" w:rsidRDefault="00694C84" w:rsidP="00E22D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94C84" w:rsidRDefault="00694C84" w:rsidP="00E22D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50677" w:rsidRDefault="00D50677" w:rsidP="00E22D96">
      <w:pPr>
        <w:spacing w:line="360" w:lineRule="auto"/>
        <w:jc w:val="both"/>
        <w:rPr>
          <w:sz w:val="28"/>
          <w:szCs w:val="28"/>
          <w:lang w:val="uk-UA"/>
        </w:rPr>
      </w:pPr>
      <w:r w:rsidRPr="00174FCA">
        <w:rPr>
          <w:sz w:val="28"/>
          <w:szCs w:val="28"/>
          <w:lang w:val="uk-UA"/>
        </w:rPr>
        <w:lastRenderedPageBreak/>
        <w:t xml:space="preserve">Рис. </w:t>
      </w:r>
      <w:r w:rsidR="001C5FD2">
        <w:rPr>
          <w:sz w:val="28"/>
          <w:szCs w:val="28"/>
          <w:lang w:val="uk-UA"/>
        </w:rPr>
        <w:t>2.</w:t>
      </w:r>
      <w:r w:rsidRPr="00174FCA">
        <w:rPr>
          <w:sz w:val="28"/>
          <w:szCs w:val="28"/>
          <w:lang w:val="uk-UA"/>
        </w:rPr>
        <w:t xml:space="preserve"> Вірогідні кореляційні зв’язки </w:t>
      </w:r>
      <w:r w:rsidRPr="00101739">
        <w:rPr>
          <w:sz w:val="28"/>
          <w:szCs w:val="28"/>
          <w:lang w:val="uk-UA"/>
        </w:rPr>
        <w:t xml:space="preserve">при рівні </w:t>
      </w:r>
      <w:r>
        <w:rPr>
          <w:sz w:val="28"/>
          <w:szCs w:val="28"/>
          <w:lang w:val="uk-UA"/>
        </w:rPr>
        <w:t>FasL</w:t>
      </w:r>
      <w:r w:rsidRPr="00101739">
        <w:rPr>
          <w:sz w:val="28"/>
          <w:szCs w:val="28"/>
          <w:lang w:val="uk-UA"/>
        </w:rPr>
        <w:t xml:space="preserve"> в крові </w:t>
      </w:r>
      <w:r>
        <w:rPr>
          <w:sz w:val="28"/>
          <w:szCs w:val="28"/>
          <w:lang w:val="uk-UA"/>
        </w:rPr>
        <w:t>6,8</w:t>
      </w:r>
      <w:r w:rsidRPr="00101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нг/мл</w:t>
      </w:r>
      <w:r w:rsidRPr="00101739">
        <w:rPr>
          <w:sz w:val="28"/>
          <w:szCs w:val="28"/>
          <w:lang w:val="uk-UA"/>
        </w:rPr>
        <w:t xml:space="preserve"> і більше</w:t>
      </w:r>
      <w:r>
        <w:rPr>
          <w:sz w:val="28"/>
          <w:szCs w:val="28"/>
          <w:lang w:val="uk-UA"/>
        </w:rPr>
        <w:t xml:space="preserve"> </w:t>
      </w:r>
      <w:r w:rsidRPr="00101739">
        <w:rPr>
          <w:sz w:val="28"/>
          <w:szCs w:val="28"/>
          <w:lang w:val="uk-UA"/>
        </w:rPr>
        <w:t>(3 терт</w:t>
      </w:r>
      <w:r>
        <w:rPr>
          <w:sz w:val="28"/>
          <w:szCs w:val="28"/>
          <w:lang w:val="uk-UA"/>
        </w:rPr>
        <w:t>и</w:t>
      </w:r>
      <w:r w:rsidRPr="00101739">
        <w:rPr>
          <w:sz w:val="28"/>
          <w:szCs w:val="28"/>
          <w:lang w:val="uk-UA"/>
        </w:rPr>
        <w:t>льна група)</w:t>
      </w:r>
      <w:r w:rsidR="00542983">
        <w:rPr>
          <w:sz w:val="28"/>
          <w:szCs w:val="28"/>
          <w:lang w:val="uk-UA"/>
        </w:rPr>
        <w:t>.</w:t>
      </w:r>
    </w:p>
    <w:p w:rsidR="00542983" w:rsidRPr="00174FCA" w:rsidRDefault="00542983" w:rsidP="00E22D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найбільш суттєвих кореляційних взаємозв’язків у 2 групі, слід підкреслити пряму залежність між рівнем FasL та ІЛ-10 (r=0,34; p&lt;0,05), </w:t>
      </w:r>
      <w:r w:rsidRPr="00E14106">
        <w:rPr>
          <w:sz w:val="28"/>
          <w:szCs w:val="28"/>
          <w:lang w:val="uk-UA"/>
        </w:rPr>
        <w:t>Fas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(r=0,44; p&lt;0,05), ОС (r=0,34; p&lt;0,05). Встановлено взаємозв’язок між рівнем глюкози та інсуліну (r=0,51; p&lt;0,05), антропометричними показниками: масою тіла (r=0,36; p&lt;0,05), ІМТ (r=0,36; p&lt;0,05), ОТ (r=0,35; p&lt;0,05).</w:t>
      </w:r>
    </w:p>
    <w:p w:rsidR="0063018D" w:rsidRDefault="00542983" w:rsidP="00E22D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3 групі відзначено найбільшу кількість достовірних кореляційних взаємозв’язків (рис. 2). </w:t>
      </w:r>
      <w:r w:rsidR="00294170">
        <w:rPr>
          <w:sz w:val="28"/>
          <w:szCs w:val="28"/>
          <w:lang w:val="uk-UA"/>
        </w:rPr>
        <w:t>Так виявлено пряму залежність між FasL та віком пацієнтів (r=0,54; p&lt;0,05), тривалістю захворювання (r=0,36; p&lt;0,05), плазматичним вмістом глюкози натще (r=0,34; p&lt;0,05), FasR (r=0,60; p&lt;0,05) та зворотну з рівнем ІЛ-18 (r=-0,64; p&lt;0,05), зростом хворих (r=0,36; p&lt;0,05). Негативний зв’язок мав місце між рівнем глюкози та ІЛ-18 (r=-0,44; p&lt;0,05).</w:t>
      </w:r>
    </w:p>
    <w:p w:rsidR="00E67C58" w:rsidRDefault="0057003A" w:rsidP="00E22D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7C58">
        <w:rPr>
          <w:sz w:val="28"/>
          <w:szCs w:val="28"/>
          <w:lang w:val="uk-UA"/>
        </w:rPr>
        <w:t>Важливо підкреслити той факт, що б</w:t>
      </w:r>
      <w:r>
        <w:rPr>
          <w:sz w:val="28"/>
          <w:szCs w:val="28"/>
          <w:lang w:val="uk-UA"/>
        </w:rPr>
        <w:t xml:space="preserve">ільшість хворих на АГ з супутнім ЦД 2 типу, а саме – 29 хворих, що становило 93,5% віднесено до 3 групи з максимальним рівнем проапоптотичного маркеру FasL. В той час, як лише 2 пацієнта (6,5%) з ЦД 2 типу мали такий плазматичний рівень </w:t>
      </w:r>
      <w:r>
        <w:rPr>
          <w:sz w:val="28"/>
          <w:szCs w:val="28"/>
          <w:lang w:val="en-US"/>
        </w:rPr>
        <w:t>FasL</w:t>
      </w:r>
      <w:r>
        <w:rPr>
          <w:sz w:val="28"/>
          <w:szCs w:val="28"/>
          <w:lang w:val="uk-UA"/>
        </w:rPr>
        <w:t xml:space="preserve">, що дозволив розподілити їх до 2 тертильної групи. </w:t>
      </w:r>
    </w:p>
    <w:p w:rsidR="0057003A" w:rsidRDefault="00E67C58" w:rsidP="00E22D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6375" w:rsidRPr="00242D44">
        <w:rPr>
          <w:sz w:val="28"/>
          <w:szCs w:val="28"/>
          <w:lang w:val="uk-UA"/>
        </w:rPr>
        <w:t>Апоптоз складний активний процес, в результаті якого здійснюється фізіологічно запрограмована загибель клітин при ембріогенезі та нормальній життєдіяльності тканин для підтримки клітинного гомеостазу організму. З іншого боку, апоптоз відіграє важливу роль при патологічних станах, які обумовлено впливом різноманітних ушкоджуючи</w:t>
      </w:r>
      <w:r w:rsidR="00746375">
        <w:rPr>
          <w:sz w:val="28"/>
          <w:szCs w:val="28"/>
          <w:lang w:val="uk-UA"/>
        </w:rPr>
        <w:t>х</w:t>
      </w:r>
      <w:r w:rsidR="00746375" w:rsidRPr="00242D44">
        <w:rPr>
          <w:sz w:val="28"/>
          <w:szCs w:val="28"/>
          <w:lang w:val="uk-UA"/>
        </w:rPr>
        <w:t xml:space="preserve"> факторів</w:t>
      </w:r>
      <w:r w:rsidR="00746375">
        <w:rPr>
          <w:sz w:val="28"/>
          <w:szCs w:val="28"/>
          <w:lang w:val="uk-UA"/>
        </w:rPr>
        <w:t>. Це стосується таких патологічних станів, як АГ, так і ЦД 2 типу.</w:t>
      </w:r>
      <w:r w:rsidR="00C25B6B">
        <w:rPr>
          <w:sz w:val="28"/>
          <w:szCs w:val="28"/>
          <w:lang w:val="uk-UA"/>
        </w:rPr>
        <w:t xml:space="preserve"> Для запуску апоптозу характерним є </w:t>
      </w:r>
      <w:r w:rsidR="00746375">
        <w:rPr>
          <w:sz w:val="28"/>
          <w:szCs w:val="28"/>
          <w:lang w:val="uk-UA"/>
        </w:rPr>
        <w:t xml:space="preserve"> </w:t>
      </w:r>
      <w:r w:rsidR="00C25B6B">
        <w:rPr>
          <w:sz w:val="28"/>
          <w:szCs w:val="28"/>
          <w:lang w:val="uk-UA"/>
        </w:rPr>
        <w:t xml:space="preserve">каскад взаємодій, тригерами якого є цитокіни, що є маркерами як імунозапалення, так і апоптозу. </w:t>
      </w:r>
      <w:r w:rsidR="0074637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тримані нами результати дають змогу стверджувати</w:t>
      </w:r>
      <w:r w:rsidR="00746375">
        <w:rPr>
          <w:sz w:val="28"/>
          <w:szCs w:val="28"/>
          <w:lang w:val="uk-UA"/>
        </w:rPr>
        <w:t xml:space="preserve"> про взаємозв’язок глюкометаболічних порушень з  активацією апоптотичних та імунозапальних сигнальних молекул</w:t>
      </w:r>
      <w:r>
        <w:rPr>
          <w:sz w:val="28"/>
          <w:szCs w:val="28"/>
          <w:lang w:val="uk-UA"/>
        </w:rPr>
        <w:t xml:space="preserve">, що </w:t>
      </w:r>
      <w:r w:rsidR="00746375">
        <w:rPr>
          <w:sz w:val="28"/>
          <w:szCs w:val="28"/>
          <w:lang w:val="uk-UA"/>
        </w:rPr>
        <w:t xml:space="preserve">було найбільш виражено за </w:t>
      </w:r>
      <w:r>
        <w:rPr>
          <w:sz w:val="28"/>
          <w:szCs w:val="28"/>
          <w:lang w:val="uk-UA"/>
        </w:rPr>
        <w:t>наявн</w:t>
      </w:r>
      <w:r w:rsidR="00746375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 xml:space="preserve"> супутнього ЦД 2 типу у хворих на АГ</w:t>
      </w:r>
      <w:r w:rsidR="00746375">
        <w:rPr>
          <w:sz w:val="28"/>
          <w:szCs w:val="28"/>
          <w:lang w:val="uk-UA"/>
        </w:rPr>
        <w:t>.</w:t>
      </w:r>
      <w:r w:rsidR="00C25B6B">
        <w:rPr>
          <w:sz w:val="28"/>
          <w:szCs w:val="28"/>
          <w:lang w:val="uk-UA"/>
        </w:rPr>
        <w:t xml:space="preserve"> </w:t>
      </w:r>
      <w:r w:rsidR="005652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003A">
        <w:rPr>
          <w:sz w:val="28"/>
          <w:szCs w:val="28"/>
          <w:lang w:val="uk-UA"/>
        </w:rPr>
        <w:t xml:space="preserve"> </w:t>
      </w:r>
    </w:p>
    <w:p w:rsidR="0057003A" w:rsidRDefault="0057003A" w:rsidP="00E22D96">
      <w:pPr>
        <w:spacing w:line="360" w:lineRule="auto"/>
        <w:jc w:val="both"/>
        <w:rPr>
          <w:sz w:val="28"/>
          <w:szCs w:val="28"/>
          <w:lang w:val="uk-UA"/>
        </w:rPr>
      </w:pPr>
    </w:p>
    <w:p w:rsidR="00042DEF" w:rsidRPr="00A323FF" w:rsidRDefault="0063018D" w:rsidP="00E22D9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294170">
        <w:rPr>
          <w:sz w:val="28"/>
          <w:szCs w:val="28"/>
          <w:lang w:val="uk-UA"/>
        </w:rPr>
        <w:t xml:space="preserve">       </w:t>
      </w:r>
      <w:r w:rsidR="00542983">
        <w:rPr>
          <w:sz w:val="28"/>
          <w:szCs w:val="28"/>
          <w:lang w:val="uk-UA"/>
        </w:rPr>
        <w:t xml:space="preserve"> </w:t>
      </w:r>
      <w:r w:rsidR="00042DEF" w:rsidRPr="00A323FF">
        <w:rPr>
          <w:b/>
          <w:sz w:val="28"/>
          <w:szCs w:val="28"/>
          <w:lang w:val="uk-UA"/>
        </w:rPr>
        <w:t>ПЕРЕЛІК ЛІТЕРАТУРИ</w:t>
      </w:r>
    </w:p>
    <w:p w:rsidR="00042DEF" w:rsidRPr="007F2B07" w:rsidRDefault="00042DEF" w:rsidP="00E22D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F2B07">
        <w:rPr>
          <w:sz w:val="28"/>
          <w:szCs w:val="28"/>
          <w:lang w:val="uk-UA"/>
        </w:rPr>
        <w:t>Горбась І.М. Програма профілактики та лікування артеріальної гіпертензії в Україні: підсумки виконання / І.М. Горбась // Здоров’я України. – 2011. – №3(18). – С.32-34.</w:t>
      </w:r>
    </w:p>
    <w:p w:rsidR="00480750" w:rsidRPr="00480750" w:rsidRDefault="00480750" w:rsidP="00E22D96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480750">
        <w:rPr>
          <w:sz w:val="28"/>
          <w:lang w:val="en-US"/>
        </w:rPr>
        <w:t xml:space="preserve">Fortuno MA, Ravassa S, Fortuno A, et al. Cardiomyocyte apoptotic cell death in arterial hypertension. Mechanisms and potential management // Hypertens. – 2001. – Vol.38. – P.1406-1412.   </w:t>
      </w:r>
    </w:p>
    <w:p w:rsidR="00480750" w:rsidRPr="00962BEE" w:rsidRDefault="00042DEF" w:rsidP="00E22D96">
      <w:pPr>
        <w:pStyle w:val="a8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E85D9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80750" w:rsidRPr="00962BEE">
        <w:rPr>
          <w:color w:val="000000"/>
          <w:sz w:val="28"/>
          <w:szCs w:val="28"/>
          <w:lang w:val="en-US"/>
        </w:rPr>
        <w:t>Elmore S.</w:t>
      </w:r>
      <w:r w:rsidR="00480750" w:rsidRPr="00962BEE">
        <w:rPr>
          <w:bCs/>
          <w:color w:val="000000"/>
          <w:sz w:val="28"/>
          <w:szCs w:val="28"/>
          <w:lang w:val="en-US"/>
        </w:rPr>
        <w:t xml:space="preserve"> Apoptosis: a review of programmed cell death</w:t>
      </w:r>
      <w:r w:rsidR="00480750">
        <w:rPr>
          <w:bCs/>
          <w:color w:val="000000"/>
          <w:sz w:val="28"/>
          <w:szCs w:val="28"/>
          <w:lang w:val="uk-UA"/>
        </w:rPr>
        <w:t xml:space="preserve"> /</w:t>
      </w:r>
      <w:r w:rsidR="00480750" w:rsidRPr="00962BEE">
        <w:rPr>
          <w:bCs/>
          <w:color w:val="000000"/>
          <w:sz w:val="28"/>
          <w:szCs w:val="28"/>
          <w:lang w:val="en-US"/>
        </w:rPr>
        <w:t xml:space="preserve"> </w:t>
      </w:r>
      <w:r w:rsidR="00480750" w:rsidRPr="00962BEE">
        <w:rPr>
          <w:color w:val="000000"/>
          <w:sz w:val="28"/>
          <w:szCs w:val="28"/>
          <w:lang w:val="en-US"/>
        </w:rPr>
        <w:t xml:space="preserve">S.Elmore </w:t>
      </w:r>
      <w:r w:rsidR="00480750" w:rsidRPr="00962BEE">
        <w:rPr>
          <w:bCs/>
          <w:color w:val="000000"/>
          <w:sz w:val="28"/>
          <w:szCs w:val="28"/>
          <w:lang w:val="en-US"/>
        </w:rPr>
        <w:t xml:space="preserve">// </w:t>
      </w:r>
      <w:r w:rsidR="00480750" w:rsidRPr="00962BEE">
        <w:rPr>
          <w:iCs/>
          <w:color w:val="000000"/>
          <w:sz w:val="28"/>
          <w:szCs w:val="28"/>
          <w:lang w:val="en-US"/>
        </w:rPr>
        <w:t>Toxicol Pathol</w:t>
      </w:r>
      <w:r w:rsidR="00480750" w:rsidRPr="00962BEE">
        <w:rPr>
          <w:color w:val="000000"/>
          <w:sz w:val="28"/>
          <w:szCs w:val="28"/>
          <w:lang w:val="en-US"/>
        </w:rPr>
        <w:t xml:space="preserve">. – 2007. – Vol.35(4). – P.495-516. </w:t>
      </w:r>
    </w:p>
    <w:p w:rsidR="008A49C6" w:rsidRPr="00E11DF8" w:rsidRDefault="008A49C6" w:rsidP="00E22D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E11DF8">
        <w:rPr>
          <w:sz w:val="28"/>
          <w:szCs w:val="28"/>
        </w:rPr>
        <w:t>Ащеулова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Т</w:t>
      </w:r>
      <w:r w:rsidRPr="00E11DF8">
        <w:rPr>
          <w:sz w:val="28"/>
          <w:szCs w:val="28"/>
          <w:lang w:val="en-US"/>
        </w:rPr>
        <w:t>.</w:t>
      </w:r>
      <w:r w:rsidRPr="00E11DF8">
        <w:rPr>
          <w:sz w:val="28"/>
          <w:szCs w:val="28"/>
        </w:rPr>
        <w:t>В</w:t>
      </w:r>
      <w:r w:rsidRPr="00E11DF8">
        <w:rPr>
          <w:sz w:val="28"/>
          <w:szCs w:val="28"/>
          <w:lang w:val="en-US"/>
        </w:rPr>
        <w:t>.</w:t>
      </w:r>
      <w:r w:rsid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Дистанційні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маркери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апоптозу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при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артеріальній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гіпертензії</w:t>
      </w:r>
      <w:r w:rsidRPr="00E11DF8">
        <w:rPr>
          <w:sz w:val="28"/>
          <w:szCs w:val="28"/>
          <w:lang w:val="en-US"/>
        </w:rPr>
        <w:t xml:space="preserve"> </w:t>
      </w:r>
      <w:r w:rsidR="00E11DF8">
        <w:rPr>
          <w:sz w:val="28"/>
          <w:szCs w:val="28"/>
          <w:lang w:val="uk-UA"/>
        </w:rPr>
        <w:t xml:space="preserve">/ </w:t>
      </w:r>
      <w:r w:rsidR="00E11DF8" w:rsidRPr="00E11DF8">
        <w:rPr>
          <w:sz w:val="28"/>
          <w:szCs w:val="28"/>
        </w:rPr>
        <w:t>Т</w:t>
      </w:r>
      <w:r w:rsidR="00E11DF8" w:rsidRPr="00E11DF8">
        <w:rPr>
          <w:sz w:val="28"/>
          <w:szCs w:val="28"/>
          <w:lang w:val="en-US"/>
        </w:rPr>
        <w:t>.</w:t>
      </w:r>
      <w:r w:rsidR="00E11DF8" w:rsidRPr="00E11DF8">
        <w:rPr>
          <w:sz w:val="28"/>
          <w:szCs w:val="28"/>
        </w:rPr>
        <w:t>В</w:t>
      </w:r>
      <w:r w:rsidR="00E11DF8" w:rsidRPr="00E11DF8">
        <w:rPr>
          <w:sz w:val="28"/>
          <w:szCs w:val="28"/>
          <w:lang w:val="en-US"/>
        </w:rPr>
        <w:t>.</w:t>
      </w:r>
      <w:r w:rsidR="00E11DF8">
        <w:rPr>
          <w:sz w:val="28"/>
          <w:szCs w:val="28"/>
          <w:lang w:val="uk-UA"/>
        </w:rPr>
        <w:t xml:space="preserve"> </w:t>
      </w:r>
      <w:r w:rsidR="00E11DF8" w:rsidRPr="00E11DF8">
        <w:rPr>
          <w:sz w:val="28"/>
          <w:szCs w:val="28"/>
        </w:rPr>
        <w:t>Ащеулова</w:t>
      </w:r>
      <w:r w:rsidR="00E11DF8" w:rsidRPr="00E11DF8">
        <w:rPr>
          <w:sz w:val="28"/>
          <w:szCs w:val="28"/>
          <w:lang w:val="en-US"/>
        </w:rPr>
        <w:t xml:space="preserve">, </w:t>
      </w:r>
      <w:r w:rsidR="00E11DF8" w:rsidRPr="00E11DF8">
        <w:rPr>
          <w:sz w:val="28"/>
          <w:szCs w:val="28"/>
        </w:rPr>
        <w:t>О</w:t>
      </w:r>
      <w:r w:rsidR="00E11DF8" w:rsidRPr="00E11DF8">
        <w:rPr>
          <w:sz w:val="28"/>
          <w:szCs w:val="28"/>
          <w:lang w:val="en-US"/>
        </w:rPr>
        <w:t>.</w:t>
      </w:r>
      <w:r w:rsidR="00E11DF8" w:rsidRPr="00E11DF8">
        <w:rPr>
          <w:sz w:val="28"/>
          <w:szCs w:val="28"/>
        </w:rPr>
        <w:t>М</w:t>
      </w:r>
      <w:r w:rsidR="00E11DF8" w:rsidRPr="00E11DF8">
        <w:rPr>
          <w:sz w:val="28"/>
          <w:szCs w:val="28"/>
          <w:lang w:val="en-US"/>
        </w:rPr>
        <w:t>.</w:t>
      </w:r>
      <w:r w:rsidR="00E11DF8">
        <w:rPr>
          <w:sz w:val="28"/>
          <w:szCs w:val="28"/>
          <w:lang w:val="uk-UA"/>
        </w:rPr>
        <w:t xml:space="preserve"> </w:t>
      </w:r>
      <w:r w:rsidR="00E11DF8" w:rsidRPr="00E11DF8">
        <w:rPr>
          <w:sz w:val="28"/>
          <w:szCs w:val="28"/>
        </w:rPr>
        <w:t>Ковальова</w:t>
      </w:r>
      <w:r w:rsidR="00E11DF8"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  <w:lang w:val="en-US"/>
        </w:rPr>
        <w:t xml:space="preserve">// </w:t>
      </w:r>
      <w:r w:rsidRPr="00E11DF8">
        <w:rPr>
          <w:sz w:val="28"/>
          <w:szCs w:val="28"/>
        </w:rPr>
        <w:t>Журн</w:t>
      </w:r>
      <w:r w:rsidRPr="00E11DF8">
        <w:rPr>
          <w:sz w:val="28"/>
          <w:szCs w:val="28"/>
          <w:lang w:val="en-US"/>
        </w:rPr>
        <w:t xml:space="preserve">. </w:t>
      </w:r>
      <w:r w:rsidRPr="00E11DF8">
        <w:rPr>
          <w:sz w:val="28"/>
          <w:szCs w:val="28"/>
        </w:rPr>
        <w:t>АМН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України</w:t>
      </w:r>
      <w:r w:rsidRPr="00E11DF8">
        <w:rPr>
          <w:sz w:val="28"/>
          <w:szCs w:val="28"/>
          <w:lang w:val="en-US"/>
        </w:rPr>
        <w:t xml:space="preserve">. – 2007. – </w:t>
      </w:r>
      <w:r w:rsidRPr="00E11DF8">
        <w:rPr>
          <w:sz w:val="28"/>
          <w:szCs w:val="28"/>
        </w:rPr>
        <w:t>Том</w:t>
      </w:r>
      <w:r w:rsidRPr="00E11DF8">
        <w:rPr>
          <w:sz w:val="28"/>
          <w:szCs w:val="28"/>
          <w:lang w:val="en-US"/>
        </w:rPr>
        <w:t xml:space="preserve"> 13, №2. – </w:t>
      </w:r>
      <w:r w:rsidRPr="00E11DF8">
        <w:rPr>
          <w:sz w:val="28"/>
          <w:szCs w:val="28"/>
        </w:rPr>
        <w:t>С</w:t>
      </w:r>
      <w:r w:rsidRPr="00E11DF8">
        <w:rPr>
          <w:sz w:val="28"/>
          <w:szCs w:val="28"/>
          <w:lang w:val="en-US"/>
        </w:rPr>
        <w:t>. 319-325.</w:t>
      </w:r>
    </w:p>
    <w:p w:rsidR="00E11DF8" w:rsidRPr="00E11DF8" w:rsidRDefault="00E11DF8" w:rsidP="00E22D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E11DF8">
        <w:rPr>
          <w:sz w:val="28"/>
          <w:szCs w:val="28"/>
        </w:rPr>
        <w:t>Ащеулова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Т</w:t>
      </w:r>
      <w:r w:rsidRPr="00E11DF8">
        <w:rPr>
          <w:sz w:val="28"/>
          <w:szCs w:val="28"/>
          <w:lang w:val="en-US"/>
        </w:rPr>
        <w:t>.</w:t>
      </w:r>
      <w:r w:rsidRPr="00E11DF8">
        <w:rPr>
          <w:sz w:val="28"/>
          <w:szCs w:val="28"/>
        </w:rPr>
        <w:t>В</w:t>
      </w:r>
      <w:r w:rsidRPr="00E11DF8">
        <w:rPr>
          <w:sz w:val="28"/>
          <w:szCs w:val="28"/>
          <w:lang w:val="en-US"/>
        </w:rPr>
        <w:t xml:space="preserve">. </w:t>
      </w:r>
      <w:r w:rsidRPr="00E11DF8">
        <w:rPr>
          <w:sz w:val="28"/>
          <w:szCs w:val="28"/>
        </w:rPr>
        <w:t>Прозапальні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цитокіни</w:t>
      </w:r>
      <w:r w:rsidRPr="00E11DF8">
        <w:rPr>
          <w:sz w:val="28"/>
          <w:szCs w:val="28"/>
          <w:lang w:val="en-US"/>
        </w:rPr>
        <w:t xml:space="preserve">, </w:t>
      </w:r>
      <w:r w:rsidRPr="00E11DF8">
        <w:rPr>
          <w:sz w:val="28"/>
          <w:szCs w:val="28"/>
        </w:rPr>
        <w:t>апоптоз</w:t>
      </w:r>
      <w:r w:rsidRPr="00E11DF8">
        <w:rPr>
          <w:sz w:val="28"/>
          <w:szCs w:val="28"/>
          <w:lang w:val="en-US"/>
        </w:rPr>
        <w:t xml:space="preserve">: </w:t>
      </w:r>
      <w:r w:rsidRPr="00E11DF8">
        <w:rPr>
          <w:sz w:val="28"/>
          <w:szCs w:val="28"/>
        </w:rPr>
        <w:t>зв</w:t>
      </w:r>
      <w:r w:rsidRPr="00E11DF8">
        <w:rPr>
          <w:sz w:val="28"/>
          <w:szCs w:val="28"/>
          <w:lang w:val="en-US"/>
        </w:rPr>
        <w:t>’</w:t>
      </w:r>
      <w:r w:rsidRPr="00E11DF8">
        <w:rPr>
          <w:sz w:val="28"/>
          <w:szCs w:val="28"/>
        </w:rPr>
        <w:t>язок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зі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структурно</w:t>
      </w:r>
      <w:r w:rsidRPr="00E11DF8">
        <w:rPr>
          <w:sz w:val="28"/>
          <w:szCs w:val="28"/>
          <w:lang w:val="en-US"/>
        </w:rPr>
        <w:t>-</w:t>
      </w:r>
      <w:r w:rsidRPr="00E11DF8">
        <w:rPr>
          <w:sz w:val="28"/>
          <w:szCs w:val="28"/>
        </w:rPr>
        <w:t>функціональними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параметрами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гіпертензивного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серця</w:t>
      </w:r>
      <w:r>
        <w:rPr>
          <w:sz w:val="28"/>
          <w:szCs w:val="28"/>
          <w:lang w:val="uk-UA"/>
        </w:rPr>
        <w:t xml:space="preserve"> /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Т</w:t>
      </w:r>
      <w:r w:rsidRPr="00E11DF8">
        <w:rPr>
          <w:sz w:val="28"/>
          <w:szCs w:val="28"/>
          <w:lang w:val="en-US"/>
        </w:rPr>
        <w:t>.</w:t>
      </w:r>
      <w:r w:rsidRPr="00E11DF8">
        <w:rPr>
          <w:sz w:val="28"/>
          <w:szCs w:val="28"/>
        </w:rPr>
        <w:t>В</w:t>
      </w:r>
      <w:r w:rsidRPr="00E11DF8">
        <w:rPr>
          <w:sz w:val="28"/>
          <w:szCs w:val="28"/>
          <w:lang w:val="en-US"/>
        </w:rPr>
        <w:t xml:space="preserve">. </w:t>
      </w:r>
      <w:r w:rsidRPr="00E11DF8">
        <w:rPr>
          <w:sz w:val="28"/>
          <w:szCs w:val="28"/>
        </w:rPr>
        <w:t>Ащеулова</w:t>
      </w:r>
      <w:r w:rsidRPr="00E11DF8">
        <w:rPr>
          <w:sz w:val="28"/>
          <w:szCs w:val="28"/>
          <w:lang w:val="en-US"/>
        </w:rPr>
        <w:t xml:space="preserve"> // </w:t>
      </w:r>
      <w:r w:rsidRPr="00E11DF8">
        <w:rPr>
          <w:sz w:val="28"/>
          <w:szCs w:val="28"/>
        </w:rPr>
        <w:t>Медицина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сьогодні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і</w:t>
      </w:r>
      <w:r w:rsidRPr="00E11DF8">
        <w:rPr>
          <w:sz w:val="28"/>
          <w:szCs w:val="28"/>
          <w:lang w:val="en-US"/>
        </w:rPr>
        <w:t xml:space="preserve"> </w:t>
      </w:r>
      <w:r w:rsidRPr="00E11DF8">
        <w:rPr>
          <w:sz w:val="28"/>
          <w:szCs w:val="28"/>
        </w:rPr>
        <w:t>завтра</w:t>
      </w:r>
      <w:r w:rsidRPr="00E11DF8">
        <w:rPr>
          <w:sz w:val="28"/>
          <w:szCs w:val="28"/>
          <w:lang w:val="en-US"/>
        </w:rPr>
        <w:t xml:space="preserve">. – 2007. – №2. – </w:t>
      </w:r>
      <w:r w:rsidRPr="00E11DF8">
        <w:rPr>
          <w:sz w:val="28"/>
          <w:szCs w:val="28"/>
        </w:rPr>
        <w:t>С</w:t>
      </w:r>
      <w:r w:rsidRPr="00E11DF8">
        <w:rPr>
          <w:sz w:val="28"/>
          <w:szCs w:val="28"/>
          <w:lang w:val="en-US"/>
        </w:rPr>
        <w:t>. 59-63.</w:t>
      </w:r>
    </w:p>
    <w:p w:rsidR="00042DEF" w:rsidRPr="00ED4E77" w:rsidRDefault="00042DEF" w:rsidP="00E22D9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357" w:hanging="357"/>
        <w:jc w:val="both"/>
        <w:textAlignment w:val="baseline"/>
        <w:rPr>
          <w:sz w:val="28"/>
          <w:szCs w:val="28"/>
          <w:lang w:val="en-US"/>
        </w:rPr>
      </w:pPr>
      <w:r w:rsidRPr="00E85D9C">
        <w:rPr>
          <w:sz w:val="28"/>
          <w:szCs w:val="28"/>
          <w:bdr w:val="none" w:sz="0" w:space="0" w:color="auto" w:frame="1"/>
          <w:lang w:val="en-US"/>
        </w:rPr>
        <w:t>McKenzie</w:t>
      </w:r>
      <w:r w:rsidRPr="00ED4E77">
        <w:rPr>
          <w:lang w:val="en-US"/>
        </w:rPr>
        <w:t xml:space="preserve"> </w:t>
      </w:r>
      <w:r w:rsidRPr="00ED4E77">
        <w:rPr>
          <w:sz w:val="28"/>
          <w:szCs w:val="28"/>
          <w:lang w:val="en-US"/>
        </w:rPr>
        <w:t>M.D.</w:t>
      </w:r>
      <w:r w:rsidRPr="00ED4E77">
        <w:rPr>
          <w:b/>
          <w:color w:val="000000"/>
          <w:sz w:val="28"/>
          <w:szCs w:val="28"/>
          <w:lang w:val="en-US"/>
        </w:rPr>
        <w:t xml:space="preserve"> </w:t>
      </w:r>
      <w:r w:rsidRPr="00ED4E77">
        <w:rPr>
          <w:color w:val="000000"/>
          <w:sz w:val="28"/>
          <w:szCs w:val="28"/>
          <w:lang w:val="en-US"/>
        </w:rPr>
        <w:t xml:space="preserve">Glucose Induces Pancreatic Islet Cell Apoptosis That Requires the BH3-Only Proteins Bim and Puma and Multi-BH Domain Protein Bax / </w:t>
      </w:r>
      <w:r w:rsidRPr="00E85D9C">
        <w:rPr>
          <w:sz w:val="28"/>
          <w:szCs w:val="28"/>
          <w:bdr w:val="none" w:sz="0" w:space="0" w:color="auto" w:frame="1"/>
          <w:lang w:val="en-US"/>
        </w:rPr>
        <w:t>M.D. McKenzie</w:t>
      </w:r>
      <w:r w:rsidRPr="00ED4E77">
        <w:rPr>
          <w:sz w:val="28"/>
          <w:szCs w:val="28"/>
          <w:lang w:val="en-US"/>
        </w:rPr>
        <w:t xml:space="preserve">, </w:t>
      </w:r>
      <w:r w:rsidRPr="00E85D9C">
        <w:rPr>
          <w:sz w:val="28"/>
          <w:szCs w:val="28"/>
          <w:bdr w:val="none" w:sz="0" w:space="0" w:color="auto" w:frame="1"/>
          <w:lang w:val="en-US"/>
        </w:rPr>
        <w:t>E. Jamieson</w:t>
      </w:r>
      <w:r w:rsidR="00E85D9C">
        <w:rPr>
          <w:sz w:val="28"/>
          <w:szCs w:val="28"/>
          <w:lang w:val="uk-UA"/>
        </w:rPr>
        <w:t>,</w:t>
      </w:r>
      <w:r w:rsidRPr="00ED4E77">
        <w:rPr>
          <w:sz w:val="28"/>
          <w:szCs w:val="28"/>
          <w:lang w:val="uk-UA"/>
        </w:rPr>
        <w:t xml:space="preserve"> </w:t>
      </w:r>
      <w:r w:rsidRPr="00E85D9C">
        <w:rPr>
          <w:sz w:val="28"/>
          <w:szCs w:val="28"/>
          <w:bdr w:val="none" w:sz="0" w:space="0" w:color="auto" w:frame="1"/>
          <w:lang w:val="en-US"/>
        </w:rPr>
        <w:t>E.S. Jansen</w:t>
      </w:r>
      <w:r w:rsidRPr="00ED4E77">
        <w:rPr>
          <w:sz w:val="28"/>
          <w:szCs w:val="28"/>
          <w:lang w:val="en-US"/>
        </w:rPr>
        <w:t xml:space="preserve"> [et al.] // Diabetes. – 2010. – Vol. 59(3). – P.644-652. </w:t>
      </w:r>
    </w:p>
    <w:p w:rsidR="00042DEF" w:rsidRPr="0025521C" w:rsidRDefault="00042DEF" w:rsidP="00E22D96">
      <w:pPr>
        <w:pStyle w:val="a5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/>
          <w:sz w:val="28"/>
          <w:szCs w:val="28"/>
          <w:lang w:val="en-US"/>
        </w:rPr>
      </w:pP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Mancia G. Reappraisal of European guidelines on hypertension management: a European Society of Hypertension Task Force document / G.Mancia, S.Laurent, E.Agabiti – Rosei 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et al.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J. Hypertension.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2009.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Vol.27. </w:t>
      </w:r>
      <w:r w:rsidRPr="007F2B07">
        <w:rPr>
          <w:rFonts w:ascii="Times New Roman" w:hAnsi="Times New Roman" w:cs="Times New Roman"/>
          <w:sz w:val="28"/>
          <w:szCs w:val="28"/>
        </w:rPr>
        <w:t>–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P. 2121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7F2B0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2158.</w:t>
      </w:r>
    </w:p>
    <w:p w:rsidR="002F6729" w:rsidRPr="0093075A" w:rsidRDefault="002F6729" w:rsidP="00E22D96">
      <w:pPr>
        <w:pStyle w:val="a8"/>
        <w:numPr>
          <w:ilvl w:val="0"/>
          <w:numId w:val="1"/>
        </w:numPr>
        <w:spacing w:line="360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Prentki M.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3075A"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>Islet beta cell failure in type 2 diabetes</w:t>
      </w:r>
      <w:r>
        <w:rPr>
          <w:rStyle w:val="ref-title"/>
          <w:color w:val="000000"/>
          <w:sz w:val="28"/>
          <w:szCs w:val="28"/>
          <w:bdr w:val="none" w:sz="0" w:space="0" w:color="auto" w:frame="1"/>
          <w:lang w:val="en-US"/>
        </w:rPr>
        <w:t xml:space="preserve"> /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M Prentki, CJ Nolan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 xml:space="preserve"> //</w:t>
      </w:r>
      <w:r w:rsidRPr="0093075A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  </w:t>
      </w:r>
      <w:r w:rsidRPr="0093075A"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J Clin Invest</w:t>
      </w:r>
      <w:r>
        <w:rPr>
          <w:rStyle w:val="ref-journal"/>
          <w:color w:val="000000"/>
          <w:sz w:val="28"/>
          <w:szCs w:val="28"/>
          <w:bdr w:val="none" w:sz="0" w:space="0" w:color="auto" w:frame="1"/>
          <w:lang w:val="en-US"/>
        </w:rPr>
        <w:t>. – 2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006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. – Vol.</w:t>
      </w:r>
      <w:r w:rsidRPr="0093075A"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116</w:t>
      </w:r>
      <w:r>
        <w:rPr>
          <w:rStyle w:val="ref-vol"/>
          <w:color w:val="000000"/>
          <w:sz w:val="28"/>
          <w:szCs w:val="28"/>
          <w:bdr w:val="none" w:sz="0" w:space="0" w:color="auto" w:frame="1"/>
          <w:lang w:val="en-US"/>
        </w:rPr>
        <w:t>. – P.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1802</w:t>
      </w:r>
      <w:r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93075A">
        <w:rPr>
          <w:rStyle w:val="mixed-citation"/>
          <w:color w:val="000000"/>
          <w:sz w:val="28"/>
          <w:szCs w:val="28"/>
          <w:bdr w:val="none" w:sz="0" w:space="0" w:color="auto" w:frame="1"/>
          <w:lang w:val="en-US"/>
        </w:rPr>
        <w:t>1812.</w:t>
      </w:r>
    </w:p>
    <w:p w:rsidR="00381850" w:rsidRPr="00E67C58" w:rsidRDefault="00381850" w:rsidP="00E22D96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divider"/>
          <w:color w:val="000000"/>
          <w:sz w:val="28"/>
          <w:szCs w:val="14"/>
          <w:shd w:val="clear" w:color="auto" w:fill="FFFFFF"/>
        </w:rPr>
      </w:pPr>
      <w:r w:rsidRPr="00E67C58">
        <w:rPr>
          <w:rStyle w:val="author"/>
          <w:bCs/>
          <w:color w:val="000000"/>
          <w:sz w:val="28"/>
          <w:szCs w:val="28"/>
          <w:shd w:val="clear" w:color="auto" w:fill="FFFFFF"/>
          <w:lang w:val="en-US"/>
        </w:rPr>
        <w:t>Rabkin</w:t>
      </w:r>
      <w:r w:rsidRPr="00E67C58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 SW. The role of interleukin 18 in the pathogenesis of hypertension-induced vascular disease / SW. Rabkin // </w:t>
      </w:r>
      <w:r w:rsidRPr="00E67C58">
        <w:rPr>
          <w:rStyle w:val="journalname"/>
          <w:iCs/>
          <w:color w:val="000000"/>
          <w:sz w:val="28"/>
          <w:szCs w:val="14"/>
          <w:shd w:val="clear" w:color="auto" w:fill="FFFFFF"/>
          <w:lang w:val="en-US"/>
        </w:rPr>
        <w:t>Nature Reviews Cardiology. – 2009. – Vol.</w:t>
      </w:r>
      <w:r w:rsidRPr="00E67C58">
        <w:rPr>
          <w:rStyle w:val="journalnumber"/>
          <w:bCs/>
          <w:color w:val="000000"/>
          <w:sz w:val="28"/>
          <w:szCs w:val="14"/>
          <w:shd w:val="clear" w:color="auto" w:fill="FFFFFF"/>
          <w:lang w:val="en-US"/>
        </w:rPr>
        <w:t>6. – P.</w:t>
      </w:r>
      <w:r w:rsidRPr="00E67C58">
        <w:rPr>
          <w:rStyle w:val="cite-pages"/>
          <w:color w:val="000000"/>
          <w:sz w:val="28"/>
          <w:szCs w:val="14"/>
          <w:shd w:val="clear" w:color="auto" w:fill="FFFFFF"/>
          <w:lang w:val="en-US"/>
        </w:rPr>
        <w:t xml:space="preserve">192-199. </w:t>
      </w:r>
    </w:p>
    <w:p w:rsidR="00381850" w:rsidRPr="00354F0A" w:rsidRDefault="00381850" w:rsidP="00E22D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54F0A">
        <w:rPr>
          <w:bCs/>
          <w:sz w:val="28"/>
          <w:szCs w:val="28"/>
          <w:lang w:val="en-US"/>
        </w:rPr>
        <w:t xml:space="preserve">Fischer CP. </w:t>
      </w:r>
      <w:r w:rsidRPr="00354F0A">
        <w:rPr>
          <w:sz w:val="28"/>
          <w:szCs w:val="28"/>
          <w:lang w:val="en-US"/>
        </w:rPr>
        <w:t>Elevated plasma interleukin-18 is a marker of</w:t>
      </w:r>
      <w:r w:rsidRPr="00354F0A">
        <w:rPr>
          <w:sz w:val="28"/>
          <w:szCs w:val="28"/>
          <w:lang w:val="uk-UA"/>
        </w:rPr>
        <w:t xml:space="preserve"> </w:t>
      </w:r>
      <w:r w:rsidRPr="00354F0A">
        <w:rPr>
          <w:sz w:val="28"/>
          <w:szCs w:val="28"/>
          <w:lang w:val="en-US"/>
        </w:rPr>
        <w:t>insulin-resistance in type 2 diabetic and non-diabetic humans /</w:t>
      </w:r>
      <w:r w:rsidRPr="00354F0A">
        <w:rPr>
          <w:sz w:val="28"/>
          <w:szCs w:val="28"/>
          <w:lang w:val="uk-UA"/>
        </w:rPr>
        <w:t xml:space="preserve"> </w:t>
      </w:r>
      <w:r w:rsidRPr="00354F0A">
        <w:rPr>
          <w:bCs/>
          <w:sz w:val="28"/>
          <w:szCs w:val="28"/>
          <w:lang w:val="en-US"/>
        </w:rPr>
        <w:t xml:space="preserve">CP Fischer, LB Perstrup, A Berntsen, [et al.] // </w:t>
      </w:r>
      <w:r w:rsidRPr="00354F0A">
        <w:rPr>
          <w:iCs/>
          <w:sz w:val="28"/>
          <w:szCs w:val="28"/>
          <w:lang w:val="en-US"/>
        </w:rPr>
        <w:t xml:space="preserve">Clin Immunol. – </w:t>
      </w:r>
      <w:r w:rsidRPr="00354F0A">
        <w:rPr>
          <w:sz w:val="28"/>
          <w:szCs w:val="28"/>
          <w:lang w:val="en-US"/>
        </w:rPr>
        <w:t>2005. – Vol.117. – P.152-160.</w:t>
      </w:r>
    </w:p>
    <w:p w:rsidR="00381850" w:rsidRPr="00661448" w:rsidRDefault="00381850" w:rsidP="00E22D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54430E">
        <w:rPr>
          <w:bCs/>
          <w:sz w:val="28"/>
          <w:szCs w:val="28"/>
          <w:lang w:val="en-US"/>
        </w:rPr>
        <w:lastRenderedPageBreak/>
        <w:t xml:space="preserve">Escobar-Morreale HF. </w:t>
      </w:r>
      <w:r w:rsidRPr="0054430E">
        <w:rPr>
          <w:sz w:val="28"/>
          <w:szCs w:val="28"/>
          <w:lang w:val="en-US"/>
        </w:rPr>
        <w:t>Serum interleukin-18 concentrations</w:t>
      </w:r>
      <w:r w:rsidRPr="0054430E">
        <w:rPr>
          <w:sz w:val="28"/>
          <w:szCs w:val="28"/>
          <w:lang w:val="uk-UA"/>
        </w:rPr>
        <w:t xml:space="preserve"> </w:t>
      </w:r>
      <w:r w:rsidRPr="0054430E">
        <w:rPr>
          <w:sz w:val="28"/>
          <w:szCs w:val="28"/>
          <w:lang w:val="en-US"/>
        </w:rPr>
        <w:t>are increased in the polycystic ovary syndrome: relationship</w:t>
      </w:r>
      <w:r w:rsidRPr="0054430E">
        <w:rPr>
          <w:sz w:val="28"/>
          <w:szCs w:val="28"/>
          <w:lang w:val="uk-UA"/>
        </w:rPr>
        <w:t xml:space="preserve"> </w:t>
      </w:r>
      <w:r w:rsidRPr="0054430E">
        <w:rPr>
          <w:sz w:val="28"/>
          <w:szCs w:val="28"/>
          <w:lang w:val="en-US"/>
        </w:rPr>
        <w:t xml:space="preserve">to insulin resistance and to obesity / </w:t>
      </w:r>
      <w:r w:rsidRPr="0054430E">
        <w:rPr>
          <w:bCs/>
          <w:sz w:val="28"/>
          <w:szCs w:val="28"/>
          <w:lang w:val="en-US"/>
        </w:rPr>
        <w:t xml:space="preserve">HF Escobar-Morreale, JI Botella-Carretero, G Villuendas, [et al.] // </w:t>
      </w:r>
      <w:r w:rsidRPr="0054430E">
        <w:rPr>
          <w:iCs/>
          <w:sz w:val="28"/>
          <w:szCs w:val="28"/>
          <w:lang w:val="en-US"/>
        </w:rPr>
        <w:t>J Clin Endocrinol</w:t>
      </w:r>
      <w:r w:rsidRPr="0054430E">
        <w:rPr>
          <w:iCs/>
          <w:sz w:val="28"/>
          <w:szCs w:val="28"/>
          <w:lang w:val="uk-UA"/>
        </w:rPr>
        <w:t xml:space="preserve"> </w:t>
      </w:r>
      <w:r w:rsidRPr="00661448">
        <w:rPr>
          <w:iCs/>
          <w:sz w:val="28"/>
          <w:szCs w:val="28"/>
          <w:lang w:val="en-US"/>
        </w:rPr>
        <w:t xml:space="preserve">Metab. – </w:t>
      </w:r>
      <w:r w:rsidRPr="00661448">
        <w:rPr>
          <w:sz w:val="28"/>
          <w:szCs w:val="28"/>
          <w:lang w:val="en-US"/>
        </w:rPr>
        <w:t>2004. – Vol.89. – P.806-811.</w:t>
      </w:r>
      <w:r w:rsidRPr="00661448">
        <w:rPr>
          <w:sz w:val="28"/>
          <w:szCs w:val="28"/>
          <w:lang w:val="uk-UA"/>
        </w:rPr>
        <w:t xml:space="preserve"> </w:t>
      </w:r>
    </w:p>
    <w:p w:rsidR="00D77B69" w:rsidRPr="00661448" w:rsidRDefault="0052544A" w:rsidP="00E22D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en-US"/>
        </w:rPr>
      </w:pPr>
      <w:hyperlink r:id="rId9" w:history="1">
        <w:r w:rsidR="00D77B69" w:rsidRPr="00661448">
          <w:rPr>
            <w:sz w:val="28"/>
            <w:szCs w:val="28"/>
            <w:lang w:val="en-US"/>
          </w:rPr>
          <w:t>Calcaterra V</w:t>
        </w:r>
      </w:hyperlink>
      <w:r w:rsidR="00D77B69" w:rsidRPr="00661448">
        <w:rPr>
          <w:sz w:val="28"/>
          <w:szCs w:val="28"/>
          <w:lang w:val="uk-UA"/>
        </w:rPr>
        <w:t xml:space="preserve">. </w:t>
      </w:r>
      <w:r w:rsidR="00D77B69" w:rsidRPr="00661448">
        <w:rPr>
          <w:bCs/>
          <w:kern w:val="36"/>
          <w:sz w:val="28"/>
          <w:szCs w:val="28"/>
          <w:lang w:val="en-US"/>
        </w:rPr>
        <w:t>Adiponectin, IL-10 and metabolic syndrome in obese children and adolescents</w:t>
      </w:r>
      <w:r w:rsidR="00D77B69" w:rsidRPr="00661448">
        <w:rPr>
          <w:bCs/>
          <w:kern w:val="36"/>
          <w:sz w:val="28"/>
          <w:szCs w:val="28"/>
          <w:lang w:val="uk-UA"/>
        </w:rPr>
        <w:t xml:space="preserve"> /</w:t>
      </w:r>
      <w:r w:rsidR="00D77B69" w:rsidRPr="00661448">
        <w:rPr>
          <w:sz w:val="28"/>
          <w:szCs w:val="28"/>
          <w:lang w:val="en-US"/>
        </w:rPr>
        <w:t xml:space="preserve"> V. </w:t>
      </w:r>
      <w:hyperlink r:id="rId10" w:history="1">
        <w:r w:rsidR="00D77B69" w:rsidRPr="00661448">
          <w:rPr>
            <w:sz w:val="28"/>
            <w:szCs w:val="28"/>
            <w:lang w:val="en-US"/>
          </w:rPr>
          <w:t xml:space="preserve">Calcaterra </w:t>
        </w:r>
      </w:hyperlink>
      <w:r w:rsidR="00D77B69" w:rsidRPr="00661448">
        <w:rPr>
          <w:sz w:val="28"/>
          <w:szCs w:val="28"/>
          <w:lang w:val="en-US"/>
        </w:rPr>
        <w:t xml:space="preserve">, M. </w:t>
      </w:r>
      <w:hyperlink r:id="rId11" w:history="1">
        <w:r w:rsidR="00D77B69" w:rsidRPr="00661448">
          <w:rPr>
            <w:sz w:val="28"/>
            <w:szCs w:val="28"/>
            <w:lang w:val="en-US"/>
          </w:rPr>
          <w:t>D</w:t>
        </w:r>
        <w:r w:rsidR="00D77B69" w:rsidRPr="00661448">
          <w:rPr>
            <w:lang w:val="en-US"/>
          </w:rPr>
          <w:t xml:space="preserve"> </w:t>
        </w:r>
        <w:r w:rsidR="00D77B69" w:rsidRPr="00661448">
          <w:rPr>
            <w:sz w:val="28"/>
            <w:szCs w:val="28"/>
            <w:lang w:val="en-US"/>
          </w:rPr>
          <w:t>e Amici</w:t>
        </w:r>
      </w:hyperlink>
      <w:r w:rsidR="00D77B69" w:rsidRPr="00661448">
        <w:rPr>
          <w:sz w:val="28"/>
          <w:szCs w:val="28"/>
          <w:lang w:val="en-US"/>
        </w:rPr>
        <w:t xml:space="preserve">, C. </w:t>
      </w:r>
      <w:hyperlink r:id="rId12" w:history="1">
        <w:r w:rsidR="00D77B69" w:rsidRPr="00661448">
          <w:rPr>
            <w:sz w:val="28"/>
            <w:szCs w:val="28"/>
            <w:lang w:val="en-US"/>
          </w:rPr>
          <w:t>Klersy</w:t>
        </w:r>
      </w:hyperlink>
      <w:r w:rsidR="00D77B69" w:rsidRPr="00661448">
        <w:rPr>
          <w:sz w:val="28"/>
          <w:szCs w:val="28"/>
          <w:lang w:val="en-US"/>
        </w:rPr>
        <w:t>,</w:t>
      </w:r>
      <w:r w:rsidR="00D77B69" w:rsidRPr="00661448">
        <w:rPr>
          <w:sz w:val="28"/>
          <w:szCs w:val="28"/>
          <w:lang w:val="uk-UA"/>
        </w:rPr>
        <w:t xml:space="preserve"> </w:t>
      </w:r>
      <w:r w:rsidR="00D77B69" w:rsidRPr="00661448">
        <w:rPr>
          <w:sz w:val="28"/>
          <w:szCs w:val="28"/>
          <w:lang w:val="en-US"/>
        </w:rPr>
        <w:t xml:space="preserve">[et al]. // </w:t>
      </w:r>
      <w:hyperlink r:id="rId13" w:tooltip="Acta bio-medica : Atenei Parmensis." w:history="1">
        <w:r w:rsidR="00D77B69" w:rsidRPr="00661448">
          <w:rPr>
            <w:sz w:val="28"/>
            <w:szCs w:val="28"/>
            <w:lang w:val="en-US"/>
          </w:rPr>
          <w:t>Acta Biomed.</w:t>
        </w:r>
      </w:hyperlink>
      <w:r w:rsidR="00D77B69" w:rsidRPr="00661448">
        <w:rPr>
          <w:sz w:val="28"/>
          <w:szCs w:val="28"/>
          <w:lang w:val="en-US"/>
        </w:rPr>
        <w:t xml:space="preserve"> – 2009. – Vol.80(2). – P.117-123.</w:t>
      </w:r>
    </w:p>
    <w:p w:rsidR="00D77B69" w:rsidRPr="0056143C" w:rsidRDefault="00D77B69" w:rsidP="00E22D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Caslon-Regular" w:hAnsi="ACaslon-Regular" w:cs="ACaslon-Regular"/>
          <w:sz w:val="21"/>
          <w:szCs w:val="21"/>
          <w:lang w:val="en-US"/>
        </w:rPr>
      </w:pPr>
      <w:r>
        <w:rPr>
          <w:sz w:val="28"/>
          <w:szCs w:val="28"/>
          <w:lang w:val="uk-UA"/>
        </w:rPr>
        <w:t>Straczkowski M.</w:t>
      </w:r>
      <w:r>
        <w:rPr>
          <w:sz w:val="28"/>
          <w:szCs w:val="28"/>
          <w:lang w:val="en-US"/>
        </w:rPr>
        <w:t xml:space="preserve"> Plasma interleukin-10 concentration is positively related to insulin sensitivity in young healthy individuals / M. Straczkowski, I. Kowalska, A. Nokolajul, [et al.] // Diabetes Care. – 2005. – Vol.28. – P.2036-2037.     </w:t>
      </w:r>
    </w:p>
    <w:p w:rsidR="00381850" w:rsidRDefault="00381850" w:rsidP="00E22D96">
      <w:pPr>
        <w:rPr>
          <w:lang w:val="uk-UA"/>
        </w:rPr>
      </w:pPr>
    </w:p>
    <w:p w:rsidR="00D77B69" w:rsidRPr="00903DF1" w:rsidRDefault="00903DF1" w:rsidP="00903D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DF1">
        <w:rPr>
          <w:b/>
          <w:sz w:val="28"/>
          <w:szCs w:val="28"/>
          <w:lang w:val="uk-UA"/>
        </w:rPr>
        <w:t>Ключові слова</w:t>
      </w:r>
      <w:r w:rsidRPr="00903DF1">
        <w:rPr>
          <w:sz w:val="28"/>
          <w:szCs w:val="28"/>
          <w:lang w:val="uk-UA"/>
        </w:rPr>
        <w:t xml:space="preserve">: апоптоз, імунозапалення, глюкометаболічні порушення, артеріальна гіпертензія, цукровий діабет 2 типу. </w:t>
      </w:r>
    </w:p>
    <w:p w:rsidR="00D77B69" w:rsidRPr="00903DF1" w:rsidRDefault="00903DF1" w:rsidP="00903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903DF1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апоптоз, иммуновоспаление, глюкометаболические нарушения, артериальная гипертензия, сахарный диабет 2 типа. </w:t>
      </w:r>
    </w:p>
    <w:p w:rsidR="00D77B69" w:rsidRPr="00903DF1" w:rsidRDefault="00903DF1" w:rsidP="00903DF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 w:rsidRPr="00FA1EB8">
        <w:rPr>
          <w:b/>
          <w:sz w:val="28"/>
          <w:szCs w:val="28"/>
          <w:lang w:val="en-US"/>
        </w:rPr>
        <w:t>Kew words</w:t>
      </w:r>
      <w:r>
        <w:rPr>
          <w:sz w:val="28"/>
          <w:szCs w:val="28"/>
          <w:lang w:val="en-US"/>
        </w:rPr>
        <w:t xml:space="preserve">: apoptosis, immune inflammation, glucometabolic disorders, arterial hypertension, diabetes mellitus 2 type.  </w:t>
      </w:r>
    </w:p>
    <w:p w:rsidR="00FA1EB8" w:rsidRDefault="00661448" w:rsidP="00FA1EB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СИГНАЛЬНІ МОЛЕКУЛИ АПОПТОЗУ ТА ІМУНОЗАПАЛЕННЯ У ХВОРИХ НА АРТЕРІАЛЬНУ ГІПЕРТЕНЗІЮ З СУПУТНІМ ЦУКРОВИМ ДІАБЕТОМ 2 ТИПУ</w:t>
      </w:r>
      <w:r w:rsidR="00FA1EB8" w:rsidRPr="00FA1EB8">
        <w:rPr>
          <w:sz w:val="28"/>
          <w:szCs w:val="28"/>
          <w:lang w:val="uk-UA"/>
        </w:rPr>
        <w:t xml:space="preserve"> </w:t>
      </w:r>
    </w:p>
    <w:p w:rsidR="00FA1EB8" w:rsidRDefault="00FA1EB8" w:rsidP="00FA1EB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Ащеулова Т.В., Аль Шейкх Д</w:t>
      </w:r>
      <w:r w:rsidR="00B65CC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б Х. Х.</w:t>
      </w:r>
    </w:p>
    <w:p w:rsidR="00661448" w:rsidRDefault="00661448" w:rsidP="00661448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нашого дослідження було вивчення плазматичного рівню сигнальних молекул апоптозу: </w:t>
      </w:r>
      <w:r>
        <w:rPr>
          <w:sz w:val="28"/>
          <w:szCs w:val="28"/>
          <w:lang w:val="en-US"/>
        </w:rPr>
        <w:t>FasL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FasR</w:t>
      </w:r>
      <w:r>
        <w:rPr>
          <w:sz w:val="28"/>
          <w:szCs w:val="28"/>
          <w:lang w:val="uk-UA"/>
        </w:rPr>
        <w:t xml:space="preserve"> та імунозапалення: ІЛ-18, ІЛ-10 у хворих на </w:t>
      </w:r>
      <w:r w:rsidR="00903DF1">
        <w:rPr>
          <w:sz w:val="28"/>
          <w:szCs w:val="28"/>
          <w:lang w:val="uk-UA"/>
        </w:rPr>
        <w:t>артеріальну гіпертензію (</w:t>
      </w:r>
      <w:r>
        <w:rPr>
          <w:sz w:val="28"/>
          <w:szCs w:val="28"/>
          <w:lang w:val="uk-UA"/>
        </w:rPr>
        <w:t>АГ</w:t>
      </w:r>
      <w:r w:rsidR="00903DF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 супутніми порушеннями вуглеводного метаболізму.  </w:t>
      </w:r>
    </w:p>
    <w:p w:rsidR="001F11D0" w:rsidRPr="001F11D0" w:rsidRDefault="00661448" w:rsidP="00404D3C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Обстежено 113 осіб, з них </w:t>
      </w:r>
      <w:r>
        <w:rPr>
          <w:sz w:val="28"/>
          <w:szCs w:val="28"/>
          <w:lang w:val="uk-UA"/>
        </w:rPr>
        <w:t>104 пацієнта на АГ та 10 практично здорових осіб контрольної груп</w:t>
      </w:r>
      <w:r w:rsidR="00903DF1">
        <w:rPr>
          <w:sz w:val="28"/>
          <w:szCs w:val="28"/>
          <w:lang w:val="uk-UA"/>
        </w:rPr>
        <w:t>и.</w:t>
      </w:r>
      <w:r w:rsidRPr="00661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Супутній </w:t>
      </w:r>
      <w:r w:rsidR="001F11D0">
        <w:rPr>
          <w:sz w:val="28"/>
          <w:szCs w:val="28"/>
          <w:lang w:val="uk-UA"/>
        </w:rPr>
        <w:t>цукровий діабет 2 типу (</w:t>
      </w:r>
      <w:r>
        <w:rPr>
          <w:sz w:val="28"/>
          <w:szCs w:val="28"/>
          <w:lang w:val="uk-UA"/>
        </w:rPr>
        <w:t>ЦД 2 типу</w:t>
      </w:r>
      <w:r w:rsidR="001F11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мав місце у 31 (29,8%) хворих на АГ.</w:t>
      </w:r>
      <w:r w:rsidR="00404D3C">
        <w:rPr>
          <w:sz w:val="28"/>
          <w:szCs w:val="28"/>
          <w:lang w:val="uk-UA"/>
        </w:rPr>
        <w:t xml:space="preserve"> </w:t>
      </w:r>
    </w:p>
    <w:p w:rsidR="00404D3C" w:rsidRDefault="00404D3C" w:rsidP="00404D3C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Було </w:t>
      </w:r>
      <w:r w:rsidR="00661448">
        <w:rPr>
          <w:sz w:val="28"/>
          <w:szCs w:val="28"/>
          <w:lang w:val="uk-UA"/>
        </w:rPr>
        <w:t>виділено наступні тертильні групи</w:t>
      </w:r>
      <w:r>
        <w:rPr>
          <w:sz w:val="28"/>
          <w:szCs w:val="28"/>
          <w:lang w:val="uk-UA"/>
        </w:rPr>
        <w:t xml:space="preserve"> згідно плазматичного рівню FasL</w:t>
      </w:r>
      <w:r w:rsidR="00661448">
        <w:rPr>
          <w:sz w:val="28"/>
          <w:szCs w:val="28"/>
          <w:lang w:val="uk-UA"/>
        </w:rPr>
        <w:t>: 1 група: інтервал значень менше за 6,4 пг/мл, 2 група: інтервал значень 6,4–6,7 пг/мл, 3 група: інтервал значень 6,8 пг/мл та вище</w:t>
      </w:r>
      <w:r w:rsidRPr="00404D3C">
        <w:rPr>
          <w:sz w:val="28"/>
          <w:szCs w:val="28"/>
        </w:rPr>
        <w:t>.</w:t>
      </w:r>
      <w:r w:rsidR="00903DF1" w:rsidRPr="00903DF1">
        <w:rPr>
          <w:sz w:val="28"/>
          <w:szCs w:val="28"/>
          <w:lang w:val="uk-UA"/>
        </w:rPr>
        <w:t xml:space="preserve"> </w:t>
      </w:r>
    </w:p>
    <w:p w:rsidR="00903DF1" w:rsidRDefault="00903DF1" w:rsidP="00404D3C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Отримані нами результати дають змогу стверджувати про взаємозв’язок глюкометаболічних порушень з  активацією апоптотичних та імунозапальних сигнальних молекул, що було найбільш виражено за наявності супутнього ЦД 2 типу у хворих на АГ.    </w:t>
      </w:r>
    </w:p>
    <w:p w:rsidR="00404D3C" w:rsidRPr="00B31F62" w:rsidRDefault="00404D3C" w:rsidP="00404D3C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31F62">
        <w:rPr>
          <w:b/>
          <w:sz w:val="28"/>
          <w:szCs w:val="28"/>
        </w:rPr>
        <w:t>СИГНАЛЬНЫЕ МОЛЕКУЛЫ АПОПТОЗА И ИММУНОВОСПАЛЕНИЯ У БОЛЬНЫХ АРТЕРИАЛЬНОЙ ГИПЕРТЕНЗИЕЙ С СОПУТСТВУЮЩИМ САХАРНЫМ ДИАБЕТОМ 2 ТИПА</w:t>
      </w:r>
    </w:p>
    <w:p w:rsidR="00404D3C" w:rsidRDefault="00404D3C" w:rsidP="00404D3C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Ащеулова Т.В., Аль Шейкх Диб Х.Х.</w:t>
      </w:r>
    </w:p>
    <w:p w:rsidR="00404D3C" w:rsidRDefault="00404D3C" w:rsidP="00B31F62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нашего исследования было изучение плазматического уровня сигнальных молекул апоптоза</w:t>
      </w:r>
      <w:r w:rsidR="00B31F62">
        <w:rPr>
          <w:sz w:val="28"/>
          <w:szCs w:val="28"/>
        </w:rPr>
        <w:t xml:space="preserve">: FasL, FasR и иммуновоспаления: ИЛ-18, ИЛ-10 у больных артериальной гипертензией (АГ) с сопутствующими нарушениями углеводного метаболизма.  </w:t>
      </w:r>
      <w:r>
        <w:rPr>
          <w:sz w:val="28"/>
          <w:szCs w:val="28"/>
        </w:rPr>
        <w:t xml:space="preserve"> </w:t>
      </w:r>
    </w:p>
    <w:p w:rsidR="00B31F62" w:rsidRDefault="00B31F62" w:rsidP="00B31F62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Обследовано 113 лиц, из которых 104 пациента АГ и 10 практически здоровых лиц контрольной группы. Сопутствующий </w:t>
      </w:r>
      <w:r w:rsidRPr="00B31F62">
        <w:rPr>
          <w:sz w:val="28"/>
          <w:szCs w:val="28"/>
        </w:rPr>
        <w:t>сах</w:t>
      </w:r>
      <w:r>
        <w:rPr>
          <w:sz w:val="28"/>
          <w:szCs w:val="28"/>
        </w:rPr>
        <w:t>а</w:t>
      </w:r>
      <w:r w:rsidRPr="00B31F62">
        <w:rPr>
          <w:sz w:val="28"/>
          <w:szCs w:val="28"/>
        </w:rPr>
        <w:t xml:space="preserve">рный диабет </w:t>
      </w:r>
      <w:r>
        <w:rPr>
          <w:sz w:val="28"/>
          <w:szCs w:val="28"/>
        </w:rPr>
        <w:t xml:space="preserve">2 типа (СД 2 типа) имел место у 31 (29,8%) больных АГ. </w:t>
      </w:r>
    </w:p>
    <w:p w:rsidR="00B31F62" w:rsidRPr="00B31F62" w:rsidRDefault="00B31F62" w:rsidP="00B31F62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Были </w:t>
      </w:r>
      <w:r>
        <w:rPr>
          <w:sz w:val="28"/>
          <w:szCs w:val="28"/>
        </w:rPr>
        <w:t xml:space="preserve">выделены следующие тертильные группы согласно плазматического уровня FasL: 1 группа интервал значений менее 6,4 пг/мл, 2 группа: интервал значений 6,4-6,7 пг/мл, 3 группа: интервал значений 6,8 пг/мл и выше.  </w:t>
      </w:r>
    </w:p>
    <w:p w:rsidR="004D7AA1" w:rsidRDefault="004D7AA1" w:rsidP="00404D3C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Полученные нами результаты позволяют утверждать о взаимосвязи глюкометаболических нарушений с активацией апоптотических и иммуновоспалительных сигнальних молекул, что было наиболее выражено при налички сопутствующего СД 2 типа у больных АГ. </w:t>
      </w:r>
    </w:p>
    <w:p w:rsidR="00FB5F7B" w:rsidRDefault="00FB5F7B" w:rsidP="008240D4">
      <w:pPr>
        <w:pStyle w:val="a3"/>
        <w:tabs>
          <w:tab w:val="left" w:pos="708"/>
        </w:tabs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FB5F7B" w:rsidRDefault="00FB5F7B" w:rsidP="008240D4">
      <w:pPr>
        <w:pStyle w:val="a3"/>
        <w:tabs>
          <w:tab w:val="left" w:pos="708"/>
        </w:tabs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FB5F7B" w:rsidRDefault="00FB5F7B" w:rsidP="008240D4">
      <w:pPr>
        <w:pStyle w:val="a3"/>
        <w:tabs>
          <w:tab w:val="left" w:pos="708"/>
        </w:tabs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8240D4" w:rsidRPr="008240D4" w:rsidRDefault="008240D4" w:rsidP="008240D4">
      <w:pPr>
        <w:pStyle w:val="a3"/>
        <w:tabs>
          <w:tab w:val="left" w:pos="708"/>
        </w:tabs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 w:rsidRPr="008240D4">
        <w:rPr>
          <w:b/>
          <w:sz w:val="28"/>
          <w:szCs w:val="28"/>
          <w:lang w:val="en-US"/>
        </w:rPr>
        <w:lastRenderedPageBreak/>
        <w:t>SIGNAL MOLECULES OF APOPTOSIS AND IMMUNE INFLAMMATION IN PATIENTS WITH ARTERIAL HYPERTENSION ASSOCIATED WITH DIABETES MELLITUS 2 TYPE</w:t>
      </w:r>
    </w:p>
    <w:p w:rsidR="008240D4" w:rsidRDefault="008240D4" w:rsidP="008240D4">
      <w:pPr>
        <w:pStyle w:val="a3"/>
        <w:tabs>
          <w:tab w:val="left" w:pos="708"/>
        </w:tabs>
        <w:spacing w:line="360" w:lineRule="auto"/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Ashcheulova T.V., Al Sheikh Dib H.H.</w:t>
      </w:r>
    </w:p>
    <w:p w:rsidR="001F11D0" w:rsidRDefault="008240D4" w:rsidP="008240D4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aim of our study was to investigate plasma levels </w:t>
      </w:r>
      <w:r w:rsidR="001F11D0">
        <w:rPr>
          <w:sz w:val="28"/>
          <w:szCs w:val="28"/>
          <w:lang w:val="en-US"/>
        </w:rPr>
        <w:t>of signal molecules of apoptosis: FasL, FasR and immune inflammation: IL-18, IL-10 in patients with arterial hypertension (AH) with concomitant carbohydrates metabolism disorders.</w:t>
      </w:r>
    </w:p>
    <w:p w:rsidR="009E1C1B" w:rsidRDefault="001F11D0" w:rsidP="008240D4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It</w:t>
      </w:r>
      <w:r w:rsidRPr="001F11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1F11D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examined</w:t>
      </w:r>
      <w:r w:rsidRPr="001F11D0">
        <w:rPr>
          <w:sz w:val="28"/>
          <w:szCs w:val="28"/>
          <w:lang w:val="en-US"/>
        </w:rPr>
        <w:t xml:space="preserve"> 113 </w:t>
      </w:r>
      <w:r>
        <w:rPr>
          <w:sz w:val="28"/>
          <w:szCs w:val="28"/>
          <w:lang w:val="en-US"/>
        </w:rPr>
        <w:t>subjects</w:t>
      </w:r>
      <w:r w:rsidRPr="001F11D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104 patients with AH and 10 practically health persons of control group. Concomitant diabetes mellitus 2 type (DM 2 type) was diagnosed in 31 patients (29.8%) with AH.</w:t>
      </w:r>
    </w:p>
    <w:p w:rsidR="009E1C1B" w:rsidRDefault="009E1C1B" w:rsidP="008240D4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E1C1B">
        <w:rPr>
          <w:sz w:val="28"/>
          <w:szCs w:val="28"/>
          <w:lang w:val="en-US"/>
        </w:rPr>
        <w:t>According to plasma FasL levels following tertile</w:t>
      </w:r>
      <w:r>
        <w:rPr>
          <w:sz w:val="28"/>
          <w:szCs w:val="28"/>
          <w:lang w:val="en-US"/>
        </w:rPr>
        <w:t xml:space="preserve"> group were detected: 1 group: means interval less than 6.4 pg/ml, 2 group: means interval 6.4-6.8 pg/ml, 3 </w:t>
      </w:r>
      <w:r w:rsidR="00D159DA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roup: means interval more than 6.8 pg/ml. </w:t>
      </w:r>
    </w:p>
    <w:p w:rsidR="00D159DA" w:rsidRDefault="00D159DA" w:rsidP="008240D4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Obtained results can suggest relationships between glucometabolic disorders and apoptosis and immune inflammation signal molecule activation, most evident in presence of concomitant DM 2 type in patients with AH.   </w:t>
      </w:r>
    </w:p>
    <w:p w:rsidR="008240D4" w:rsidRPr="009E1C1B" w:rsidRDefault="009E1C1B" w:rsidP="008240D4">
      <w:pPr>
        <w:pStyle w:val="a3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E1C1B">
        <w:rPr>
          <w:sz w:val="28"/>
          <w:szCs w:val="28"/>
          <w:lang w:val="en-US"/>
        </w:rPr>
        <w:t xml:space="preserve"> </w:t>
      </w:r>
      <w:r w:rsidR="001F11D0" w:rsidRPr="009E1C1B">
        <w:rPr>
          <w:sz w:val="28"/>
          <w:szCs w:val="28"/>
          <w:lang w:val="en-US"/>
        </w:rPr>
        <w:t xml:space="preserve">   </w:t>
      </w:r>
      <w:r w:rsidR="008240D4" w:rsidRPr="009E1C1B">
        <w:rPr>
          <w:sz w:val="28"/>
          <w:szCs w:val="28"/>
          <w:lang w:val="en-US"/>
        </w:rPr>
        <w:t xml:space="preserve"> </w:t>
      </w:r>
    </w:p>
    <w:sectPr w:rsidR="008240D4" w:rsidRPr="009E1C1B" w:rsidSect="00E22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A2" w:rsidRDefault="004662A2" w:rsidP="00B31F62">
      <w:r>
        <w:separator/>
      </w:r>
    </w:p>
  </w:endnote>
  <w:endnote w:type="continuationSeparator" w:id="1">
    <w:p w:rsidR="004662A2" w:rsidRDefault="004662A2" w:rsidP="00B3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sl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A2" w:rsidRDefault="004662A2" w:rsidP="00B31F62">
      <w:r>
        <w:separator/>
      </w:r>
    </w:p>
  </w:footnote>
  <w:footnote w:type="continuationSeparator" w:id="1">
    <w:p w:rsidR="004662A2" w:rsidRDefault="004662A2" w:rsidP="00B3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5B0"/>
    <w:multiLevelType w:val="hybridMultilevel"/>
    <w:tmpl w:val="7D06E776"/>
    <w:lvl w:ilvl="0" w:tplc="E71A6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1088D"/>
    <w:multiLevelType w:val="hybridMultilevel"/>
    <w:tmpl w:val="60BA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CF1276"/>
    <w:multiLevelType w:val="hybridMultilevel"/>
    <w:tmpl w:val="A3CE9FB2"/>
    <w:lvl w:ilvl="0" w:tplc="8E70CF2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cs="Times New Roman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9F"/>
    <w:rsid w:val="000202F8"/>
    <w:rsid w:val="00026475"/>
    <w:rsid w:val="00042DEF"/>
    <w:rsid w:val="0007580C"/>
    <w:rsid w:val="00085595"/>
    <w:rsid w:val="000869EB"/>
    <w:rsid w:val="00090444"/>
    <w:rsid w:val="00091F23"/>
    <w:rsid w:val="000A4122"/>
    <w:rsid w:val="000C1523"/>
    <w:rsid w:val="000C1811"/>
    <w:rsid w:val="000C3ECE"/>
    <w:rsid w:val="00101739"/>
    <w:rsid w:val="0010229A"/>
    <w:rsid w:val="001210C7"/>
    <w:rsid w:val="00123F86"/>
    <w:rsid w:val="001268D5"/>
    <w:rsid w:val="00156257"/>
    <w:rsid w:val="00174FCA"/>
    <w:rsid w:val="001B0725"/>
    <w:rsid w:val="001B3892"/>
    <w:rsid w:val="001C5FD2"/>
    <w:rsid w:val="001E758D"/>
    <w:rsid w:val="001F11D0"/>
    <w:rsid w:val="002321B3"/>
    <w:rsid w:val="00242D44"/>
    <w:rsid w:val="00243BED"/>
    <w:rsid w:val="0025521C"/>
    <w:rsid w:val="00255A76"/>
    <w:rsid w:val="00286781"/>
    <w:rsid w:val="00294170"/>
    <w:rsid w:val="002B1D14"/>
    <w:rsid w:val="002C7A38"/>
    <w:rsid w:val="002D1126"/>
    <w:rsid w:val="002F6729"/>
    <w:rsid w:val="002F6A3D"/>
    <w:rsid w:val="00317BAC"/>
    <w:rsid w:val="003231FB"/>
    <w:rsid w:val="00330D79"/>
    <w:rsid w:val="00354F0A"/>
    <w:rsid w:val="00357363"/>
    <w:rsid w:val="003675C8"/>
    <w:rsid w:val="00371783"/>
    <w:rsid w:val="00381850"/>
    <w:rsid w:val="003C03D3"/>
    <w:rsid w:val="003C3C71"/>
    <w:rsid w:val="003E359C"/>
    <w:rsid w:val="003F1AEC"/>
    <w:rsid w:val="003F4ECF"/>
    <w:rsid w:val="00404D3C"/>
    <w:rsid w:val="0041588E"/>
    <w:rsid w:val="004662A2"/>
    <w:rsid w:val="00480750"/>
    <w:rsid w:val="00482240"/>
    <w:rsid w:val="00483C38"/>
    <w:rsid w:val="00491D87"/>
    <w:rsid w:val="004C2FBF"/>
    <w:rsid w:val="004C77D5"/>
    <w:rsid w:val="004D4050"/>
    <w:rsid w:val="004D7AA1"/>
    <w:rsid w:val="004E4F58"/>
    <w:rsid w:val="00511E02"/>
    <w:rsid w:val="0052544A"/>
    <w:rsid w:val="00542983"/>
    <w:rsid w:val="0054430E"/>
    <w:rsid w:val="005552C4"/>
    <w:rsid w:val="0056143C"/>
    <w:rsid w:val="00565200"/>
    <w:rsid w:val="0057003A"/>
    <w:rsid w:val="00570DA0"/>
    <w:rsid w:val="005718D6"/>
    <w:rsid w:val="00594B53"/>
    <w:rsid w:val="00595B16"/>
    <w:rsid w:val="00616942"/>
    <w:rsid w:val="0063018D"/>
    <w:rsid w:val="00644168"/>
    <w:rsid w:val="00647237"/>
    <w:rsid w:val="00661448"/>
    <w:rsid w:val="00694C84"/>
    <w:rsid w:val="00703D43"/>
    <w:rsid w:val="00712DD4"/>
    <w:rsid w:val="00746375"/>
    <w:rsid w:val="00747871"/>
    <w:rsid w:val="00774402"/>
    <w:rsid w:val="00776C1D"/>
    <w:rsid w:val="00793E80"/>
    <w:rsid w:val="007A4875"/>
    <w:rsid w:val="007B622F"/>
    <w:rsid w:val="007C681E"/>
    <w:rsid w:val="007F2B07"/>
    <w:rsid w:val="008222DC"/>
    <w:rsid w:val="00822DEC"/>
    <w:rsid w:val="008240D4"/>
    <w:rsid w:val="00850513"/>
    <w:rsid w:val="008962BA"/>
    <w:rsid w:val="00897321"/>
    <w:rsid w:val="008A49C6"/>
    <w:rsid w:val="008B1188"/>
    <w:rsid w:val="00903DF1"/>
    <w:rsid w:val="00910897"/>
    <w:rsid w:val="0092306A"/>
    <w:rsid w:val="0093075A"/>
    <w:rsid w:val="009415F5"/>
    <w:rsid w:val="00953E7F"/>
    <w:rsid w:val="00962BEE"/>
    <w:rsid w:val="0096536B"/>
    <w:rsid w:val="009749CA"/>
    <w:rsid w:val="009A26E0"/>
    <w:rsid w:val="009A7A12"/>
    <w:rsid w:val="009D19DA"/>
    <w:rsid w:val="009E1C1B"/>
    <w:rsid w:val="009F1742"/>
    <w:rsid w:val="009F741C"/>
    <w:rsid w:val="00A00B74"/>
    <w:rsid w:val="00A138C9"/>
    <w:rsid w:val="00A323FF"/>
    <w:rsid w:val="00AA7135"/>
    <w:rsid w:val="00AB4BCE"/>
    <w:rsid w:val="00AD07EB"/>
    <w:rsid w:val="00AD7B9D"/>
    <w:rsid w:val="00B31F62"/>
    <w:rsid w:val="00B65CCE"/>
    <w:rsid w:val="00B6642B"/>
    <w:rsid w:val="00B967C2"/>
    <w:rsid w:val="00BE21F5"/>
    <w:rsid w:val="00BE49D2"/>
    <w:rsid w:val="00C01377"/>
    <w:rsid w:val="00C24C83"/>
    <w:rsid w:val="00C25B6B"/>
    <w:rsid w:val="00C35343"/>
    <w:rsid w:val="00C36A9D"/>
    <w:rsid w:val="00CB769F"/>
    <w:rsid w:val="00CD7E92"/>
    <w:rsid w:val="00CE0979"/>
    <w:rsid w:val="00D137F6"/>
    <w:rsid w:val="00D15534"/>
    <w:rsid w:val="00D159DA"/>
    <w:rsid w:val="00D27DE6"/>
    <w:rsid w:val="00D50677"/>
    <w:rsid w:val="00D77B69"/>
    <w:rsid w:val="00D8689F"/>
    <w:rsid w:val="00DA5B68"/>
    <w:rsid w:val="00DA6F35"/>
    <w:rsid w:val="00E11DF8"/>
    <w:rsid w:val="00E14106"/>
    <w:rsid w:val="00E22D96"/>
    <w:rsid w:val="00E40A09"/>
    <w:rsid w:val="00E67C58"/>
    <w:rsid w:val="00E805A9"/>
    <w:rsid w:val="00E85D9C"/>
    <w:rsid w:val="00EA2BD3"/>
    <w:rsid w:val="00ED4E77"/>
    <w:rsid w:val="00ED5CC7"/>
    <w:rsid w:val="00F1396F"/>
    <w:rsid w:val="00F17BC0"/>
    <w:rsid w:val="00F238F3"/>
    <w:rsid w:val="00F364F2"/>
    <w:rsid w:val="00F40A4B"/>
    <w:rsid w:val="00F81028"/>
    <w:rsid w:val="00FA1EB8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42DE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42D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2D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2D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042DEF"/>
    <w:pPr>
      <w:widowControl w:val="0"/>
      <w:autoSpaceDE w:val="0"/>
      <w:autoSpaceDN w:val="0"/>
    </w:pPr>
    <w:rPr>
      <w:rFonts w:ascii="Times" w:hAnsi="Times" w:cs="Times"/>
      <w:sz w:val="20"/>
      <w:szCs w:val="20"/>
      <w:lang w:val="uk-UA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42DEF"/>
    <w:rPr>
      <w:rFonts w:ascii="Times" w:hAnsi="Times" w:cs="Times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042DEF"/>
    <w:rPr>
      <w:rFonts w:cs="Times New Roman"/>
    </w:rPr>
  </w:style>
  <w:style w:type="character" w:customStyle="1" w:styleId="apple-converted-space">
    <w:name w:val="apple-converted-space"/>
    <w:basedOn w:val="a0"/>
    <w:rsid w:val="00042DEF"/>
    <w:rPr>
      <w:rFonts w:cs="Times New Roman"/>
    </w:rPr>
  </w:style>
  <w:style w:type="character" w:customStyle="1" w:styleId="mixed-citation">
    <w:name w:val="mixed-citation"/>
    <w:basedOn w:val="a0"/>
    <w:rsid w:val="00042DEF"/>
    <w:rPr>
      <w:rFonts w:cs="Times New Roman"/>
    </w:rPr>
  </w:style>
  <w:style w:type="character" w:customStyle="1" w:styleId="ref-title">
    <w:name w:val="ref-title"/>
    <w:basedOn w:val="a0"/>
    <w:rsid w:val="00042DEF"/>
    <w:rPr>
      <w:rFonts w:cs="Times New Roman"/>
    </w:rPr>
  </w:style>
  <w:style w:type="character" w:customStyle="1" w:styleId="ref-journal">
    <w:name w:val="ref-journal"/>
    <w:basedOn w:val="a0"/>
    <w:rsid w:val="00042DEF"/>
    <w:rPr>
      <w:rFonts w:cs="Times New Roman"/>
    </w:rPr>
  </w:style>
  <w:style w:type="character" w:customStyle="1" w:styleId="ref-vol">
    <w:name w:val="ref-vol"/>
    <w:basedOn w:val="a0"/>
    <w:rsid w:val="00042DEF"/>
    <w:rPr>
      <w:rFonts w:cs="Times New Roman"/>
    </w:rPr>
  </w:style>
  <w:style w:type="character" w:styleId="a7">
    <w:name w:val="Hyperlink"/>
    <w:basedOn w:val="a0"/>
    <w:uiPriority w:val="99"/>
    <w:unhideWhenUsed/>
    <w:rsid w:val="00042DE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42DE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85D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5D9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B4BCE"/>
    <w:pPr>
      <w:spacing w:before="100" w:beforeAutospacing="1" w:after="100" w:afterAutospacing="1"/>
    </w:pPr>
    <w:rPr>
      <w:lang w:val="uk-UA"/>
    </w:rPr>
  </w:style>
  <w:style w:type="character" w:customStyle="1" w:styleId="journalname">
    <w:name w:val="journalname"/>
    <w:basedOn w:val="a0"/>
    <w:rsid w:val="00AB4BCE"/>
    <w:rPr>
      <w:rFonts w:cs="Times New Roman"/>
    </w:rPr>
  </w:style>
  <w:style w:type="character" w:customStyle="1" w:styleId="journalnumber">
    <w:name w:val="journalnumber"/>
    <w:basedOn w:val="a0"/>
    <w:rsid w:val="00AB4BCE"/>
    <w:rPr>
      <w:rFonts w:cs="Times New Roman"/>
    </w:rPr>
  </w:style>
  <w:style w:type="character" w:customStyle="1" w:styleId="cite-pages">
    <w:name w:val="cite-pages"/>
    <w:basedOn w:val="a0"/>
    <w:rsid w:val="00AB4BCE"/>
    <w:rPr>
      <w:rFonts w:cs="Times New Roman"/>
    </w:rPr>
  </w:style>
  <w:style w:type="character" w:customStyle="1" w:styleId="divider">
    <w:name w:val="divider"/>
    <w:basedOn w:val="a0"/>
    <w:rsid w:val="00AB4BCE"/>
    <w:rPr>
      <w:rFonts w:cs="Times New Roman"/>
    </w:rPr>
  </w:style>
  <w:style w:type="character" w:customStyle="1" w:styleId="author">
    <w:name w:val="author"/>
    <w:basedOn w:val="a0"/>
    <w:rsid w:val="00AB4BCE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B31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F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ashcheulova@gmail.com" TargetMode="External"/><Relationship Id="rId13" Type="http://schemas.openxmlformats.org/officeDocument/2006/relationships/hyperlink" Target="http://www.ncbi.nlm.nih.gov/sites/entrez?Db=pubmed&amp;Cmd=Retrieve&amp;list_uids=19848048&amp;dopt=abstract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Klersy%20C%22%5BAuthor%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De%20Amici%20M%22%5BAuthor%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Calcaterra%20V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Calcaterra%20V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C5E5-C24D-443C-B1C6-1FB6E1E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16407</Characters>
  <Application>Microsoft Office Word</Application>
  <DocSecurity>0</DocSecurity>
  <Lines>136</Lines>
  <Paragraphs>38</Paragraphs>
  <ScaleCrop>false</ScaleCrop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RDCUSER</cp:lastModifiedBy>
  <cp:revision>2</cp:revision>
  <dcterms:created xsi:type="dcterms:W3CDTF">2012-12-06T06:43:00Z</dcterms:created>
  <dcterms:modified xsi:type="dcterms:W3CDTF">2012-12-06T06:43:00Z</dcterms:modified>
</cp:coreProperties>
</file>