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2E" w:rsidRPr="00A11768" w:rsidRDefault="00FC0B2E">
      <w:pPr>
        <w:pStyle w:val="10"/>
        <w:spacing w:line="360" w:lineRule="auto"/>
        <w:ind w:firstLine="709"/>
        <w:outlineLvl w:val="0"/>
        <w:rPr>
          <w:b/>
        </w:rPr>
      </w:pPr>
      <w:r w:rsidRPr="00A11768">
        <w:rPr>
          <w:b/>
        </w:rPr>
        <w:t>МІНІСТЕРСТВО ОХОРОНИ ЗДОРОВ'Я УКРАЇНИ</w:t>
      </w:r>
    </w:p>
    <w:p w:rsidR="00FC0B2E" w:rsidRPr="00A11768" w:rsidRDefault="00FC0B2E">
      <w:pPr>
        <w:spacing w:line="360" w:lineRule="auto"/>
        <w:ind w:firstLine="709"/>
        <w:jc w:val="center"/>
        <w:outlineLvl w:val="0"/>
        <w:rPr>
          <w:b/>
          <w:sz w:val="28"/>
          <w:lang w:val="uk-UA"/>
        </w:rPr>
      </w:pPr>
      <w:r w:rsidRPr="00A11768">
        <w:rPr>
          <w:b/>
          <w:sz w:val="28"/>
          <w:lang w:val="uk-UA"/>
        </w:rPr>
        <w:t>Український центр наукової медичної інформації</w:t>
      </w:r>
    </w:p>
    <w:p w:rsidR="00FC0B2E" w:rsidRPr="00A11768" w:rsidRDefault="00FC0B2E">
      <w:pPr>
        <w:spacing w:line="360" w:lineRule="auto"/>
        <w:ind w:firstLine="709"/>
        <w:jc w:val="center"/>
        <w:outlineLvl w:val="0"/>
        <w:rPr>
          <w:b/>
          <w:sz w:val="28"/>
          <w:lang w:val="uk-UA"/>
        </w:rPr>
      </w:pPr>
      <w:r w:rsidRPr="00A11768">
        <w:rPr>
          <w:b/>
          <w:sz w:val="28"/>
          <w:lang w:val="uk-UA"/>
        </w:rPr>
        <w:t>та патентно-ліцензійної роботи</w:t>
      </w:r>
    </w:p>
    <w:p w:rsidR="00FC0B2E" w:rsidRPr="00A11768" w:rsidRDefault="00FC0B2E">
      <w:pPr>
        <w:spacing w:line="360" w:lineRule="auto"/>
        <w:ind w:firstLine="709"/>
        <w:jc w:val="center"/>
        <w:outlineLvl w:val="0"/>
        <w:rPr>
          <w:b/>
          <w:sz w:val="28"/>
          <w:lang w:val="uk-UA"/>
        </w:rPr>
      </w:pPr>
      <w:r w:rsidRPr="00A11768">
        <w:rPr>
          <w:b/>
          <w:sz w:val="28"/>
          <w:lang w:val="uk-UA"/>
        </w:rPr>
        <w:t>(Укрмедпатентінформ)</w:t>
      </w:r>
    </w:p>
    <w:p w:rsidR="00FC0B2E" w:rsidRPr="00A11768" w:rsidRDefault="00FC0B2E">
      <w:pPr>
        <w:spacing w:line="360" w:lineRule="auto"/>
        <w:ind w:firstLine="709"/>
        <w:jc w:val="center"/>
        <w:rPr>
          <w:b/>
          <w:sz w:val="28"/>
          <w:lang w:val="uk-UA"/>
        </w:rPr>
      </w:pPr>
    </w:p>
    <w:p w:rsidR="00FC0B2E" w:rsidRPr="00A11768" w:rsidRDefault="00FC0B2E">
      <w:pPr>
        <w:spacing w:line="360" w:lineRule="auto"/>
        <w:ind w:firstLine="709"/>
        <w:jc w:val="center"/>
        <w:outlineLvl w:val="0"/>
        <w:rPr>
          <w:b/>
          <w:sz w:val="28"/>
          <w:lang w:val="uk-UA"/>
        </w:rPr>
      </w:pPr>
      <w:r w:rsidRPr="00A11768">
        <w:rPr>
          <w:b/>
          <w:sz w:val="28"/>
          <w:lang w:val="uk-UA"/>
        </w:rPr>
        <w:t>ІНФОРМАЦІЙНИЙ ЛИСТ</w:t>
      </w:r>
    </w:p>
    <w:p w:rsidR="00FC0B2E" w:rsidRPr="00A11768" w:rsidRDefault="00FC0B2E" w:rsidP="0069711F">
      <w:pPr>
        <w:spacing w:line="276" w:lineRule="auto"/>
        <w:ind w:firstLine="709"/>
        <w:jc w:val="center"/>
        <w:outlineLvl w:val="0"/>
        <w:rPr>
          <w:sz w:val="28"/>
          <w:lang w:val="uk-UA"/>
        </w:rPr>
      </w:pPr>
      <w:r w:rsidRPr="00A11768">
        <w:rPr>
          <w:sz w:val="28"/>
          <w:lang w:val="uk-UA"/>
        </w:rPr>
        <w:t>про нововведення в сфері охорони здоров’я</w:t>
      </w:r>
    </w:p>
    <w:p w:rsidR="00FC0B2E" w:rsidRPr="00A11768" w:rsidRDefault="00FC0B2E" w:rsidP="0069711F">
      <w:pPr>
        <w:pStyle w:val="a3"/>
        <w:spacing w:line="276" w:lineRule="auto"/>
        <w:ind w:firstLine="709"/>
        <w:rPr>
          <w:b/>
          <w:sz w:val="28"/>
          <w:lang w:val="uk-UA"/>
        </w:rPr>
      </w:pPr>
    </w:p>
    <w:tbl>
      <w:tblPr>
        <w:tblW w:w="10846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007"/>
        <w:gridCol w:w="5839"/>
      </w:tblGrid>
      <w:tr w:rsidR="00FC0B2E" w:rsidRPr="00A11768" w:rsidTr="00B85475">
        <w:tc>
          <w:tcPr>
            <w:tcW w:w="5007" w:type="dxa"/>
          </w:tcPr>
          <w:p w:rsidR="00FC0B2E" w:rsidRPr="00A11768" w:rsidRDefault="00FC0B2E" w:rsidP="0073151D">
            <w:pPr>
              <w:pStyle w:val="1"/>
              <w:spacing w:line="360" w:lineRule="auto"/>
              <w:jc w:val="both"/>
            </w:pPr>
            <w:r w:rsidRPr="00A11768">
              <w:t>Випуск ___ з проблеми</w:t>
            </w:r>
          </w:p>
          <w:p w:rsidR="00FC0B2E" w:rsidRPr="00A11768" w:rsidRDefault="00FC0B2E" w:rsidP="0073151D">
            <w:pPr>
              <w:spacing w:line="360" w:lineRule="auto"/>
              <w:jc w:val="both"/>
              <w:rPr>
                <w:sz w:val="28"/>
                <w:lang w:val="uk-UA"/>
              </w:rPr>
            </w:pPr>
            <w:r w:rsidRPr="00A11768">
              <w:rPr>
                <w:sz w:val="28"/>
                <w:lang w:val="uk-UA"/>
              </w:rPr>
              <w:t>«</w:t>
            </w:r>
            <w:r w:rsidR="005B14AB" w:rsidRPr="00A11768">
              <w:rPr>
                <w:sz w:val="28"/>
                <w:lang w:val="uk-UA"/>
              </w:rPr>
              <w:t>Терапія</w:t>
            </w:r>
            <w:r w:rsidRPr="00A11768">
              <w:rPr>
                <w:sz w:val="28"/>
                <w:lang w:val="uk-UA"/>
              </w:rPr>
              <w:t>»</w:t>
            </w:r>
          </w:p>
          <w:p w:rsidR="00B85475" w:rsidRPr="00A11768" w:rsidRDefault="00FC0B2E" w:rsidP="00B85475">
            <w:pPr>
              <w:pStyle w:val="a9"/>
              <w:widowControl w:val="0"/>
              <w:spacing w:after="0" w:line="360" w:lineRule="auto"/>
              <w:ind w:left="0"/>
              <w:rPr>
                <w:sz w:val="28"/>
                <w:lang w:val="uk-UA"/>
              </w:rPr>
            </w:pPr>
            <w:r w:rsidRPr="00A11768">
              <w:rPr>
                <w:sz w:val="28"/>
                <w:lang w:val="uk-UA"/>
              </w:rPr>
              <w:t xml:space="preserve">Підстава: </w:t>
            </w:r>
            <w:r w:rsidR="00B85475">
              <w:rPr>
                <w:sz w:val="28"/>
                <w:lang w:val="uk-UA"/>
              </w:rPr>
              <w:t>рецензія експерта з групи експертів МОЗ та НАМН України</w:t>
            </w:r>
          </w:p>
          <w:p w:rsidR="00FC0B2E" w:rsidRPr="00A11768" w:rsidRDefault="00FC0B2E" w:rsidP="0073151D">
            <w:pPr>
              <w:pStyle w:val="11"/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5839" w:type="dxa"/>
          </w:tcPr>
          <w:p w:rsidR="008D0826" w:rsidRDefault="008D0826">
            <w:pPr>
              <w:pStyle w:val="2"/>
              <w:spacing w:line="360" w:lineRule="auto"/>
              <w:rPr>
                <w:sz w:val="32"/>
                <w:szCs w:val="28"/>
                <w:bdr w:val="double" w:sz="4" w:space="0" w:color="auto"/>
              </w:rPr>
            </w:pPr>
            <w:r>
              <w:rPr>
                <w:sz w:val="32"/>
                <w:szCs w:val="28"/>
                <w:bdr w:val="double" w:sz="4" w:space="0" w:color="auto"/>
                <w:lang w:val="ru-RU"/>
              </w:rPr>
              <w:t xml:space="preserve"> </w:t>
            </w:r>
            <w:r w:rsidRPr="008D0826">
              <w:rPr>
                <w:sz w:val="32"/>
                <w:szCs w:val="28"/>
                <w:bdr w:val="double" w:sz="4" w:space="0" w:color="auto"/>
              </w:rPr>
              <w:t xml:space="preserve">№ 76 </w:t>
            </w:r>
            <w:r>
              <w:rPr>
                <w:sz w:val="32"/>
                <w:szCs w:val="28"/>
                <w:bdr w:val="double" w:sz="4" w:space="0" w:color="auto"/>
              </w:rPr>
              <w:t>–</w:t>
            </w:r>
            <w:r w:rsidRPr="008D0826">
              <w:rPr>
                <w:sz w:val="32"/>
                <w:szCs w:val="28"/>
                <w:bdr w:val="double" w:sz="4" w:space="0" w:color="auto"/>
              </w:rPr>
              <w:t xml:space="preserve"> 2020</w:t>
            </w:r>
            <w:r>
              <w:rPr>
                <w:sz w:val="32"/>
                <w:szCs w:val="28"/>
                <w:bdr w:val="double" w:sz="4" w:space="0" w:color="auto"/>
              </w:rPr>
              <w:t> </w:t>
            </w:r>
          </w:p>
          <w:p w:rsidR="00FC0B2E" w:rsidRPr="00482E90" w:rsidRDefault="00A11768">
            <w:pPr>
              <w:pStyle w:val="2"/>
              <w:spacing w:line="360" w:lineRule="auto"/>
              <w:rPr>
                <w:szCs w:val="28"/>
              </w:rPr>
            </w:pPr>
            <w:r>
              <w:t xml:space="preserve">НАПРЯМ </w:t>
            </w:r>
            <w:r w:rsidRPr="00482E90">
              <w:rPr>
                <w:szCs w:val="28"/>
              </w:rPr>
              <w:t>ВПРОВАДЖЕННЯ:</w:t>
            </w:r>
          </w:p>
          <w:p w:rsidR="00A11768" w:rsidRDefault="00A11768" w:rsidP="00A11768">
            <w:pPr>
              <w:jc w:val="center"/>
              <w:rPr>
                <w:sz w:val="28"/>
                <w:szCs w:val="28"/>
                <w:lang w:val="uk-UA"/>
              </w:rPr>
            </w:pPr>
            <w:r w:rsidRPr="00482E90">
              <w:rPr>
                <w:sz w:val="28"/>
                <w:szCs w:val="28"/>
                <w:lang w:val="uk-UA"/>
              </w:rPr>
              <w:t>ТЕРАПІЯ</w:t>
            </w:r>
          </w:p>
          <w:p w:rsidR="008D0826" w:rsidRDefault="008D0826" w:rsidP="00A117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0826" w:rsidRDefault="008D0826" w:rsidP="00A11768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8D0826" w:rsidRPr="00A11768" w:rsidRDefault="008D0826" w:rsidP="00A11768">
            <w:pPr>
              <w:jc w:val="center"/>
              <w:rPr>
                <w:lang w:val="uk-UA"/>
              </w:rPr>
            </w:pPr>
          </w:p>
        </w:tc>
      </w:tr>
    </w:tbl>
    <w:p w:rsidR="0069711F" w:rsidRPr="00A11768" w:rsidRDefault="0069711F" w:rsidP="00D41504">
      <w:pPr>
        <w:spacing w:line="360" w:lineRule="auto"/>
        <w:jc w:val="center"/>
        <w:rPr>
          <w:b/>
          <w:sz w:val="16"/>
          <w:szCs w:val="16"/>
          <w:lang w:val="uk-UA" w:eastAsia="uk-UA"/>
        </w:rPr>
      </w:pPr>
    </w:p>
    <w:p w:rsidR="00802DFE" w:rsidRDefault="00A85217" w:rsidP="00D41504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A11768">
        <w:rPr>
          <w:b/>
          <w:sz w:val="28"/>
          <w:szCs w:val="28"/>
          <w:lang w:val="uk-UA" w:eastAsia="uk-UA"/>
        </w:rPr>
        <w:t xml:space="preserve">СПОСІБ ВИЗНАЧЕННЯ РИЗИКУ РОЗВИТКУ ПОРУШЕНЬ ГЛЮКОМЕТАБОЛІЧНОГО ПРОФІЛЮ У ХВОРИХ ІЗ ПОЄДНАНИМ ПЕРЕБІГОМ ГІПЕРТОНІЧНОЇ ХВОРОБИ ТА МОРБІДНОГО ОЖИРІННЯ </w:t>
      </w:r>
    </w:p>
    <w:p w:rsidR="009D3D08" w:rsidRPr="00A11768" w:rsidRDefault="009D3D08" w:rsidP="00D41504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XSpec="center" w:tblpY="37"/>
        <w:tblW w:w="0" w:type="auto"/>
        <w:tblLayout w:type="fixed"/>
        <w:tblLook w:val="0000" w:firstRow="0" w:lastRow="0" w:firstColumn="0" w:lastColumn="0" w:noHBand="0" w:noVBand="0"/>
      </w:tblPr>
      <w:tblGrid>
        <w:gridCol w:w="5236"/>
        <w:gridCol w:w="4216"/>
      </w:tblGrid>
      <w:tr w:rsidR="00A11768" w:rsidRPr="00A11768" w:rsidTr="00A11768">
        <w:tc>
          <w:tcPr>
            <w:tcW w:w="5236" w:type="dxa"/>
          </w:tcPr>
          <w:p w:rsidR="00903669" w:rsidRDefault="00903669" w:rsidP="00A11768">
            <w:pPr>
              <w:pStyle w:val="11"/>
              <w:spacing w:line="360" w:lineRule="auto"/>
              <w:jc w:val="center"/>
              <w:rPr>
                <w:sz w:val="28"/>
                <w:lang w:val="uk-UA"/>
              </w:rPr>
            </w:pPr>
          </w:p>
          <w:p w:rsidR="00A11768" w:rsidRPr="00A11768" w:rsidRDefault="00A11768" w:rsidP="00A11768">
            <w:pPr>
              <w:pStyle w:val="11"/>
              <w:spacing w:line="360" w:lineRule="auto"/>
              <w:jc w:val="center"/>
              <w:rPr>
                <w:sz w:val="28"/>
                <w:lang w:val="uk-UA"/>
              </w:rPr>
            </w:pPr>
            <w:r w:rsidRPr="00A11768">
              <w:rPr>
                <w:sz w:val="28"/>
                <w:lang w:val="uk-UA"/>
              </w:rPr>
              <w:t>УСТАНОВИ-РОЗРОБНИКИ:</w:t>
            </w:r>
          </w:p>
          <w:p w:rsidR="00A11768" w:rsidRPr="00A11768" w:rsidRDefault="00A11768" w:rsidP="00A11768">
            <w:pPr>
              <w:pStyle w:val="11"/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A11768">
              <w:rPr>
                <w:b/>
                <w:sz w:val="28"/>
                <w:lang w:val="uk-UA"/>
              </w:rPr>
              <w:t>ХАРКІВСЬКИЙ НАЦІОНАЛЬНИЙ МЕДИЧНИЙ УНІВЕРСИТЕТ МОЗ УКРАЇНИ</w:t>
            </w:r>
          </w:p>
          <w:p w:rsidR="00A11768" w:rsidRPr="00A11768" w:rsidRDefault="00A11768" w:rsidP="00A11768">
            <w:pPr>
              <w:pStyle w:val="11"/>
              <w:spacing w:line="360" w:lineRule="auto"/>
              <w:jc w:val="center"/>
              <w:rPr>
                <w:b/>
                <w:sz w:val="28"/>
                <w:lang w:val="uk-UA"/>
              </w:rPr>
            </w:pPr>
          </w:p>
          <w:p w:rsidR="00A11768" w:rsidRPr="00A11768" w:rsidRDefault="00A11768" w:rsidP="00A11768">
            <w:pPr>
              <w:pStyle w:val="11"/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A11768">
              <w:rPr>
                <w:b/>
                <w:sz w:val="28"/>
                <w:lang w:val="uk-UA"/>
              </w:rPr>
              <w:t>УКРМЕДПАТЕНТІНФОРМ</w:t>
            </w:r>
          </w:p>
          <w:p w:rsidR="00A11768" w:rsidRPr="00A11768" w:rsidRDefault="00A11768" w:rsidP="00A11768">
            <w:pPr>
              <w:pStyle w:val="11"/>
              <w:spacing w:line="360" w:lineRule="auto"/>
              <w:jc w:val="center"/>
              <w:rPr>
                <w:sz w:val="28"/>
                <w:lang w:val="uk-UA"/>
              </w:rPr>
            </w:pPr>
            <w:r w:rsidRPr="00A11768">
              <w:rPr>
                <w:b/>
                <w:sz w:val="28"/>
                <w:lang w:val="uk-UA"/>
              </w:rPr>
              <w:t>МОЗ УКРАЇНИ</w:t>
            </w:r>
          </w:p>
        </w:tc>
        <w:tc>
          <w:tcPr>
            <w:tcW w:w="4216" w:type="dxa"/>
          </w:tcPr>
          <w:p w:rsidR="00A11768" w:rsidRPr="00A11768" w:rsidRDefault="00A11768" w:rsidP="00A11768">
            <w:pPr>
              <w:spacing w:line="360" w:lineRule="auto"/>
              <w:ind w:firstLine="88"/>
              <w:jc w:val="center"/>
              <w:rPr>
                <w:sz w:val="28"/>
                <w:lang w:val="uk-UA"/>
              </w:rPr>
            </w:pPr>
            <w:r w:rsidRPr="00A11768">
              <w:rPr>
                <w:sz w:val="28"/>
                <w:lang w:val="uk-UA"/>
              </w:rPr>
              <w:t>АВТОРИ:</w:t>
            </w:r>
          </w:p>
          <w:p w:rsidR="00A11768" w:rsidRPr="00A11768" w:rsidRDefault="00A11768" w:rsidP="00A11768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A11768">
              <w:rPr>
                <w:b/>
                <w:sz w:val="28"/>
                <w:lang w:val="uk-UA"/>
              </w:rPr>
              <w:t>ВІЗІР М.О.</w:t>
            </w:r>
          </w:p>
          <w:p w:rsidR="00A11768" w:rsidRPr="00A11768" w:rsidRDefault="00A11768" w:rsidP="00A11768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A11768">
              <w:rPr>
                <w:b/>
                <w:sz w:val="28"/>
                <w:lang w:val="uk-UA"/>
              </w:rPr>
              <w:t>КОВАЛЬОВА О.М.</w:t>
            </w:r>
          </w:p>
          <w:p w:rsidR="00A11768" w:rsidRPr="00A11768" w:rsidRDefault="00A11768" w:rsidP="00A11768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A11768">
              <w:rPr>
                <w:b/>
                <w:sz w:val="28"/>
                <w:lang w:val="uk-UA"/>
              </w:rPr>
              <w:t>БАБАК О.Я.</w:t>
            </w:r>
          </w:p>
          <w:p w:rsidR="00A11768" w:rsidRPr="00A11768" w:rsidRDefault="00A11768" w:rsidP="00A11768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A11768">
              <w:rPr>
                <w:b/>
                <w:sz w:val="28"/>
                <w:lang w:val="uk-UA"/>
              </w:rPr>
              <w:t>ЖЕЛЕЗНЯКОВА Н.М.</w:t>
            </w:r>
          </w:p>
          <w:p w:rsidR="00A11768" w:rsidRPr="00A11768" w:rsidRDefault="00A11768" w:rsidP="00A11768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A11768">
              <w:rPr>
                <w:b/>
                <w:sz w:val="28"/>
                <w:lang w:val="uk-UA"/>
              </w:rPr>
              <w:t>МОЛОДАН В.І.</w:t>
            </w:r>
          </w:p>
          <w:p w:rsidR="00A11768" w:rsidRPr="00A11768" w:rsidRDefault="00A11768" w:rsidP="00A11768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A11768">
              <w:rPr>
                <w:b/>
                <w:sz w:val="28"/>
                <w:lang w:val="uk-UA"/>
              </w:rPr>
              <w:t>КАРПЕНКО І.І.</w:t>
            </w:r>
          </w:p>
          <w:p w:rsidR="00A11768" w:rsidRPr="00A11768" w:rsidRDefault="00A11768" w:rsidP="00A11768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A11768">
              <w:rPr>
                <w:b/>
                <w:sz w:val="28"/>
                <w:lang w:val="uk-UA"/>
              </w:rPr>
              <w:t>ЛАПШИНА К.А.</w:t>
            </w:r>
          </w:p>
          <w:p w:rsidR="00A11768" w:rsidRPr="00A11768" w:rsidRDefault="00A11768" w:rsidP="00A11768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A11768">
              <w:rPr>
                <w:b/>
                <w:sz w:val="28"/>
                <w:lang w:val="uk-UA"/>
              </w:rPr>
              <w:t>ФРОЛОВА-РОМАНЮК Е.Ю.</w:t>
            </w:r>
          </w:p>
          <w:p w:rsidR="00A11768" w:rsidRPr="00A11768" w:rsidRDefault="00A11768" w:rsidP="00A11768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A11768">
              <w:rPr>
                <w:b/>
                <w:sz w:val="28"/>
                <w:lang w:val="uk-UA"/>
              </w:rPr>
              <w:t>АЛЕКСАНДРОВА Т.М.</w:t>
            </w:r>
          </w:p>
        </w:tc>
      </w:tr>
    </w:tbl>
    <w:p w:rsidR="00A11768" w:rsidRDefault="00A11768" w:rsidP="00D41504">
      <w:pPr>
        <w:spacing w:line="360" w:lineRule="auto"/>
        <w:jc w:val="center"/>
        <w:rPr>
          <w:sz w:val="28"/>
          <w:lang w:val="uk-UA"/>
        </w:rPr>
      </w:pPr>
    </w:p>
    <w:p w:rsidR="00FC0B2E" w:rsidRPr="00A11768" w:rsidRDefault="00FC0B2E" w:rsidP="00D41504">
      <w:pPr>
        <w:spacing w:line="360" w:lineRule="auto"/>
        <w:jc w:val="center"/>
        <w:rPr>
          <w:sz w:val="28"/>
          <w:lang w:val="uk-UA"/>
        </w:rPr>
      </w:pPr>
      <w:r w:rsidRPr="00A11768">
        <w:rPr>
          <w:sz w:val="28"/>
          <w:lang w:val="uk-UA"/>
        </w:rPr>
        <w:t>м. Київ</w:t>
      </w:r>
    </w:p>
    <w:p w:rsidR="006049A7" w:rsidRPr="00A11768" w:rsidRDefault="00FC0B2E" w:rsidP="009D3D08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  <w:r w:rsidRPr="00A11768">
        <w:rPr>
          <w:b/>
          <w:sz w:val="28"/>
          <w:lang w:val="uk-UA"/>
        </w:rPr>
        <w:lastRenderedPageBreak/>
        <w:t xml:space="preserve">Суть впровадження: </w:t>
      </w:r>
      <w:r w:rsidR="006E7E44" w:rsidRPr="00A11768">
        <w:rPr>
          <w:sz w:val="28"/>
          <w:lang w:val="uk-UA"/>
        </w:rPr>
        <w:t xml:space="preserve">ефективний </w:t>
      </w:r>
      <w:r w:rsidR="009C4992" w:rsidRPr="00A11768">
        <w:rPr>
          <w:sz w:val="28"/>
          <w:lang w:val="uk-UA"/>
        </w:rPr>
        <w:t>спосіб</w:t>
      </w:r>
      <w:r w:rsidR="009D3D08">
        <w:rPr>
          <w:sz w:val="28"/>
          <w:lang w:val="uk-UA"/>
        </w:rPr>
        <w:t xml:space="preserve"> </w:t>
      </w:r>
      <w:r w:rsidR="009D3D08" w:rsidRPr="009D3D08">
        <w:rPr>
          <w:sz w:val="28"/>
          <w:szCs w:val="28"/>
          <w:lang w:val="uk-UA" w:eastAsia="uk-UA"/>
        </w:rPr>
        <w:t>визначення ризику розвитку порушень глюкометаболічного профілю у хворих із поєднаним перебігом гіпертонічної хвороби та морбідного ожиріння за рівнем несфатину-1</w:t>
      </w:r>
      <w:r w:rsidR="009D3D08">
        <w:rPr>
          <w:rFonts w:eastAsia="Calibri"/>
          <w:sz w:val="28"/>
          <w:szCs w:val="28"/>
          <w:lang w:val="uk-UA"/>
        </w:rPr>
        <w:t>.</w:t>
      </w:r>
      <w:r w:rsidR="009D3D08" w:rsidRPr="009D3D08">
        <w:rPr>
          <w:rFonts w:eastAsia="Calibri"/>
          <w:sz w:val="28"/>
          <w:szCs w:val="28"/>
          <w:lang w:val="uk-UA"/>
        </w:rPr>
        <w:t xml:space="preserve"> </w:t>
      </w:r>
    </w:p>
    <w:p w:rsidR="00FC0B2E" w:rsidRPr="00A11768" w:rsidRDefault="00FC0B2E" w:rsidP="006049A7">
      <w:pPr>
        <w:pStyle w:val="a9"/>
        <w:spacing w:after="0" w:line="360" w:lineRule="auto"/>
        <w:ind w:left="0" w:firstLine="567"/>
        <w:jc w:val="both"/>
        <w:rPr>
          <w:sz w:val="28"/>
          <w:lang w:val="uk-UA"/>
        </w:rPr>
      </w:pPr>
      <w:r w:rsidRPr="00A11768">
        <w:rPr>
          <w:sz w:val="28"/>
          <w:lang w:val="uk-UA"/>
        </w:rPr>
        <w:t xml:space="preserve">Пропонується для впровадження в лікувально-профілактичних установах практичної охорони здоров’я (обласних, міських, районних) </w:t>
      </w:r>
      <w:r w:rsidR="00FD3EE2" w:rsidRPr="00A11768">
        <w:rPr>
          <w:sz w:val="28"/>
          <w:lang w:val="uk-UA"/>
        </w:rPr>
        <w:t xml:space="preserve">терапевтичного </w:t>
      </w:r>
      <w:r w:rsidRPr="00A11768">
        <w:rPr>
          <w:sz w:val="28"/>
          <w:lang w:val="uk-UA"/>
        </w:rPr>
        <w:t xml:space="preserve">профілю </w:t>
      </w:r>
      <w:r w:rsidR="00FD3EE2" w:rsidRPr="00A11768">
        <w:rPr>
          <w:sz w:val="28"/>
          <w:lang w:val="uk-UA"/>
        </w:rPr>
        <w:t>спосіб</w:t>
      </w:r>
      <w:r w:rsidR="009D3D08" w:rsidRPr="009D3D08">
        <w:rPr>
          <w:sz w:val="28"/>
          <w:szCs w:val="28"/>
          <w:lang w:val="uk-UA" w:eastAsia="uk-UA"/>
        </w:rPr>
        <w:t xml:space="preserve"> визначення ризику розвитку порушень глюкометаболічного профілю у хворих із поєднаним перебігом гіпертонічної хвороби та морбідного ожиріння</w:t>
      </w:r>
      <w:r w:rsidR="006E7E44" w:rsidRPr="00A11768">
        <w:rPr>
          <w:sz w:val="28"/>
          <w:lang w:val="uk-UA"/>
        </w:rPr>
        <w:t>.</w:t>
      </w:r>
    </w:p>
    <w:p w:rsidR="006049A7" w:rsidRPr="00A11768" w:rsidRDefault="000D5648" w:rsidP="006049A7">
      <w:pPr>
        <w:spacing w:line="360" w:lineRule="auto"/>
        <w:ind w:firstLine="720"/>
        <w:jc w:val="both"/>
        <w:rPr>
          <w:rFonts w:eastAsia="Calibri"/>
          <w:sz w:val="28"/>
          <w:szCs w:val="28"/>
          <w:highlight w:val="lightGray"/>
          <w:lang w:val="uk-UA"/>
        </w:rPr>
      </w:pPr>
      <w:r w:rsidRPr="00A11768">
        <w:rPr>
          <w:rFonts w:eastAsia="Calibri"/>
          <w:sz w:val="28"/>
          <w:szCs w:val="28"/>
          <w:lang w:val="uk-UA"/>
        </w:rPr>
        <w:t>У всьому світі гіпертонічна хвороба (ГХ) залишається найпоширенішою серцево-судинною патологією та найбільш впливовим фактором ризику серцево-судинних ускладнень</w:t>
      </w:r>
      <w:r w:rsidR="00204F54" w:rsidRPr="00A11768">
        <w:rPr>
          <w:rFonts w:eastAsia="Calibri"/>
          <w:sz w:val="28"/>
          <w:szCs w:val="28"/>
          <w:lang w:val="uk-UA"/>
        </w:rPr>
        <w:t>. Суттєву роль у погіршенні прогнозу для гіпертензивних пацієнтів відіграє супутнє ожиріння, яке також набуло глобальних масштабів. Морбідний тип ожиріння (МО), або ожиріння 3-го ступеня, вважається найбільш агресивним чинником розвитку цукрового діабету 2-го типу, атерогенних процесів та кардіоваскулярних ускладнень.</w:t>
      </w:r>
      <w:r w:rsidR="006049A7" w:rsidRPr="00A11768">
        <w:rPr>
          <w:rFonts w:eastAsia="Calibri"/>
          <w:sz w:val="28"/>
          <w:szCs w:val="28"/>
          <w:lang w:val="uk-UA"/>
        </w:rPr>
        <w:t xml:space="preserve"> </w:t>
      </w:r>
      <w:r w:rsidR="00F65C0D" w:rsidRPr="00A11768">
        <w:rPr>
          <w:rFonts w:eastAsia="Calibri"/>
          <w:sz w:val="28"/>
          <w:szCs w:val="28"/>
          <w:lang w:val="uk-UA"/>
        </w:rPr>
        <w:t>Гіперінсулінемія, інсулінорезистентність, порушення функції β-клітин підшлункової залози, що спостерігаються у багатьох хворих на ГХ та у більшості пацієнтів з МО, призводять до виникнення дисглікемії – одного з найагресивніших чинників серцево-судинних ускладнень.</w:t>
      </w:r>
    </w:p>
    <w:p w:rsidR="006049A7" w:rsidRPr="00A11768" w:rsidRDefault="00832D54" w:rsidP="006049A7">
      <w:pPr>
        <w:spacing w:line="360" w:lineRule="auto"/>
        <w:ind w:firstLine="720"/>
        <w:jc w:val="both"/>
        <w:rPr>
          <w:rFonts w:eastAsia="Calibri"/>
          <w:sz w:val="28"/>
          <w:szCs w:val="28"/>
          <w:highlight w:val="lightGray"/>
          <w:lang w:val="uk-UA"/>
        </w:rPr>
      </w:pPr>
      <w:r w:rsidRPr="00A11768">
        <w:rPr>
          <w:rFonts w:eastAsia="Calibri"/>
          <w:sz w:val="28"/>
          <w:szCs w:val="28"/>
          <w:lang w:val="uk-UA"/>
        </w:rPr>
        <w:t>На сьогоднішній день серед методів діагностики порушень вуглеводного обміну  найбільш поширеними є визначення глікемії натще, постпрандіальної глікемії, глікозильованого гемоглобіну, важливе значення має визначення гіперінсулінемії та інсулінорезистентності, але переважними та більш перспективними є прогнозування та попередження розвитку будь-якого типу дисглікемії у хворих з коморбідним перебігом ГХ та МО.</w:t>
      </w:r>
      <w:r w:rsidR="006049A7" w:rsidRPr="00A11768">
        <w:rPr>
          <w:rFonts w:eastAsia="Calibri"/>
          <w:sz w:val="28"/>
          <w:szCs w:val="28"/>
          <w:highlight w:val="lightGray"/>
          <w:lang w:val="uk-UA"/>
        </w:rPr>
        <w:t xml:space="preserve"> </w:t>
      </w:r>
    </w:p>
    <w:p w:rsidR="00FD3EE2" w:rsidRPr="00A11768" w:rsidRDefault="00631E22" w:rsidP="00496AD5">
      <w:pPr>
        <w:spacing w:line="360" w:lineRule="auto"/>
        <w:ind w:firstLine="720"/>
        <w:jc w:val="both"/>
        <w:rPr>
          <w:sz w:val="28"/>
          <w:szCs w:val="28"/>
          <w:highlight w:val="lightGray"/>
          <w:lang w:val="uk-UA"/>
        </w:rPr>
      </w:pPr>
      <w:r w:rsidRPr="00A11768">
        <w:rPr>
          <w:sz w:val="28"/>
          <w:szCs w:val="28"/>
          <w:lang w:val="uk-UA"/>
        </w:rPr>
        <w:t>Зазначені факти</w:t>
      </w:r>
      <w:r w:rsidR="00FD3EE2" w:rsidRPr="00A11768">
        <w:rPr>
          <w:sz w:val="28"/>
          <w:szCs w:val="28"/>
          <w:lang w:val="uk-UA"/>
        </w:rPr>
        <w:t xml:space="preserve"> є переконливим підґрунтям для розробки </w:t>
      </w:r>
      <w:r w:rsidRPr="00A11768">
        <w:rPr>
          <w:sz w:val="28"/>
          <w:szCs w:val="28"/>
          <w:lang w:val="uk-UA"/>
        </w:rPr>
        <w:t>нових ефективних</w:t>
      </w:r>
      <w:r w:rsidR="00FD3EE2" w:rsidRPr="00A11768">
        <w:rPr>
          <w:sz w:val="28"/>
          <w:szCs w:val="28"/>
          <w:lang w:val="uk-UA"/>
        </w:rPr>
        <w:t xml:space="preserve"> </w:t>
      </w:r>
      <w:r w:rsidR="0041727E" w:rsidRPr="00A11768">
        <w:rPr>
          <w:sz w:val="28"/>
          <w:szCs w:val="28"/>
          <w:lang w:val="uk-UA"/>
        </w:rPr>
        <w:t>способів</w:t>
      </w:r>
      <w:r w:rsidR="00D16E30" w:rsidRPr="00A11768">
        <w:rPr>
          <w:sz w:val="28"/>
          <w:szCs w:val="28"/>
          <w:lang w:val="uk-UA"/>
        </w:rPr>
        <w:t xml:space="preserve"> визначення ризику розвитку </w:t>
      </w:r>
      <w:r w:rsidR="00E73084" w:rsidRPr="00A11768">
        <w:rPr>
          <w:sz w:val="28"/>
          <w:szCs w:val="28"/>
          <w:lang w:val="uk-UA"/>
        </w:rPr>
        <w:t>дисглікемії</w:t>
      </w:r>
      <w:r w:rsidR="00D16E30" w:rsidRPr="00A11768">
        <w:rPr>
          <w:sz w:val="28"/>
          <w:szCs w:val="28"/>
          <w:lang w:val="uk-UA"/>
        </w:rPr>
        <w:t xml:space="preserve"> у хворих </w:t>
      </w:r>
      <w:r w:rsidR="009D3D08">
        <w:rPr>
          <w:sz w:val="28"/>
          <w:szCs w:val="28"/>
          <w:lang w:val="uk-UA"/>
        </w:rPr>
        <w:t xml:space="preserve">із </w:t>
      </w:r>
      <w:r w:rsidR="009D3D08" w:rsidRPr="00A11768">
        <w:rPr>
          <w:rFonts w:eastAsia="Calibri"/>
          <w:sz w:val="28"/>
          <w:szCs w:val="28"/>
          <w:lang w:val="uk-UA"/>
        </w:rPr>
        <w:t>ГХ та МО</w:t>
      </w:r>
      <w:r w:rsidR="00FD3EE2" w:rsidRPr="00A11768">
        <w:rPr>
          <w:sz w:val="28"/>
          <w:szCs w:val="28"/>
          <w:lang w:val="uk-UA"/>
        </w:rPr>
        <w:t>, що визначає актуальність даного інформаційного листа.</w:t>
      </w:r>
    </w:p>
    <w:p w:rsidR="0017278F" w:rsidRPr="00A11768" w:rsidRDefault="00FC0B2E" w:rsidP="00B03335">
      <w:pPr>
        <w:pStyle w:val="a9"/>
        <w:spacing w:after="0" w:line="360" w:lineRule="auto"/>
        <w:ind w:left="0"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A11768">
        <w:rPr>
          <w:sz w:val="28"/>
          <w:lang w:val="uk-UA"/>
        </w:rPr>
        <w:t xml:space="preserve">Нами розроблений </w:t>
      </w:r>
      <w:r w:rsidR="006049A7" w:rsidRPr="00A11768">
        <w:rPr>
          <w:sz w:val="28"/>
          <w:lang w:val="uk-UA"/>
        </w:rPr>
        <w:t>спосіб</w:t>
      </w:r>
      <w:r w:rsidR="006049A7" w:rsidRPr="00A11768">
        <w:rPr>
          <w:b/>
          <w:sz w:val="28"/>
          <w:lang w:val="uk-UA"/>
        </w:rPr>
        <w:t xml:space="preserve"> </w:t>
      </w:r>
      <w:r w:rsidR="00E73084" w:rsidRPr="00A11768">
        <w:rPr>
          <w:sz w:val="28"/>
          <w:lang w:val="uk-UA"/>
        </w:rPr>
        <w:t>визначення ризику розвитку порушень глюкометаболічного профілю</w:t>
      </w:r>
      <w:r w:rsidR="00C87D29" w:rsidRPr="00A11768">
        <w:rPr>
          <w:sz w:val="28"/>
          <w:lang w:val="uk-UA"/>
        </w:rPr>
        <w:t xml:space="preserve">, </w:t>
      </w:r>
      <w:r w:rsidR="005C05E4" w:rsidRPr="00A11768">
        <w:rPr>
          <w:color w:val="000000"/>
          <w:spacing w:val="-4"/>
          <w:sz w:val="28"/>
          <w:szCs w:val="28"/>
          <w:lang w:val="uk-UA"/>
        </w:rPr>
        <w:t xml:space="preserve">як </w:t>
      </w:r>
      <w:r w:rsidR="00A37DE1" w:rsidRPr="00A11768">
        <w:rPr>
          <w:color w:val="000000"/>
          <w:spacing w:val="-4"/>
          <w:sz w:val="28"/>
          <w:szCs w:val="28"/>
          <w:lang w:val="uk-UA"/>
        </w:rPr>
        <w:t>вагомого</w:t>
      </w:r>
      <w:r w:rsidR="005C05E4" w:rsidRPr="00A11768">
        <w:rPr>
          <w:color w:val="000000"/>
          <w:spacing w:val="-4"/>
          <w:sz w:val="28"/>
          <w:szCs w:val="28"/>
          <w:lang w:val="uk-UA"/>
        </w:rPr>
        <w:t xml:space="preserve"> </w:t>
      </w:r>
      <w:r w:rsidR="00A37DE1" w:rsidRPr="00A11768">
        <w:rPr>
          <w:color w:val="000000"/>
          <w:spacing w:val="-4"/>
          <w:sz w:val="28"/>
          <w:szCs w:val="28"/>
          <w:lang w:val="uk-UA"/>
        </w:rPr>
        <w:t>фактору</w:t>
      </w:r>
      <w:r w:rsidR="00C87D29" w:rsidRPr="00A11768">
        <w:rPr>
          <w:color w:val="000000"/>
          <w:spacing w:val="-4"/>
          <w:sz w:val="28"/>
          <w:szCs w:val="28"/>
          <w:lang w:val="uk-UA"/>
        </w:rPr>
        <w:t xml:space="preserve"> </w:t>
      </w:r>
      <w:r w:rsidR="00AA69FC" w:rsidRPr="00A11768">
        <w:rPr>
          <w:rFonts w:eastAsia="Calibri"/>
          <w:sz w:val="28"/>
          <w:szCs w:val="28"/>
          <w:lang w:val="uk-UA"/>
        </w:rPr>
        <w:t>серцево-судинних</w:t>
      </w:r>
      <w:r w:rsidR="00C87D29" w:rsidRPr="00A11768">
        <w:rPr>
          <w:color w:val="000000"/>
          <w:spacing w:val="-4"/>
          <w:sz w:val="28"/>
          <w:szCs w:val="28"/>
          <w:lang w:val="uk-UA"/>
        </w:rPr>
        <w:t xml:space="preserve"> ускладнень,</w:t>
      </w:r>
      <w:r w:rsidR="00E73084" w:rsidRPr="00A11768">
        <w:rPr>
          <w:sz w:val="28"/>
          <w:lang w:val="uk-UA"/>
        </w:rPr>
        <w:t xml:space="preserve"> у хворих із поєднаним перебігом </w:t>
      </w:r>
      <w:r w:rsidR="00AA69FC" w:rsidRPr="00A11768">
        <w:rPr>
          <w:sz w:val="28"/>
          <w:lang w:val="uk-UA"/>
        </w:rPr>
        <w:t>ГХ</w:t>
      </w:r>
      <w:r w:rsidR="00E73084" w:rsidRPr="00A11768">
        <w:rPr>
          <w:sz w:val="28"/>
          <w:lang w:val="uk-UA"/>
        </w:rPr>
        <w:t xml:space="preserve"> та </w:t>
      </w:r>
      <w:r w:rsidR="00AA69FC" w:rsidRPr="00A11768">
        <w:rPr>
          <w:sz w:val="28"/>
          <w:lang w:val="uk-UA"/>
        </w:rPr>
        <w:t>МО</w:t>
      </w:r>
      <w:r w:rsidR="006049A7" w:rsidRPr="00A11768">
        <w:rPr>
          <w:color w:val="000000"/>
          <w:spacing w:val="-4"/>
          <w:sz w:val="28"/>
          <w:szCs w:val="28"/>
          <w:lang w:val="uk-UA"/>
        </w:rPr>
        <w:t>.</w:t>
      </w:r>
      <w:r w:rsidR="0017278F" w:rsidRPr="00A11768">
        <w:rPr>
          <w:color w:val="000000"/>
          <w:spacing w:val="-4"/>
          <w:sz w:val="28"/>
          <w:szCs w:val="28"/>
          <w:lang w:val="uk-UA"/>
        </w:rPr>
        <w:t xml:space="preserve"> </w:t>
      </w:r>
    </w:p>
    <w:p w:rsidR="00B03335" w:rsidRPr="00A11768" w:rsidRDefault="004243A9" w:rsidP="00085582">
      <w:pPr>
        <w:pStyle w:val="a9"/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A11768">
        <w:rPr>
          <w:sz w:val="28"/>
          <w:lang w:val="uk-UA"/>
        </w:rPr>
        <w:lastRenderedPageBreak/>
        <w:t>Ефективність способу доведена клінічними дослідженнями</w:t>
      </w:r>
      <w:r w:rsidR="009D3D08">
        <w:rPr>
          <w:sz w:val="28"/>
          <w:lang w:val="uk-UA"/>
        </w:rPr>
        <w:t>.</w:t>
      </w:r>
      <w:r w:rsidR="00B03335" w:rsidRPr="00A11768">
        <w:rPr>
          <w:lang w:val="uk-UA"/>
        </w:rPr>
        <w:t xml:space="preserve"> </w:t>
      </w:r>
      <w:r w:rsidR="00B03335" w:rsidRPr="00A11768">
        <w:rPr>
          <w:sz w:val="28"/>
          <w:lang w:val="uk-UA"/>
        </w:rPr>
        <w:t xml:space="preserve">Було проведено комплексне обстеження 38 хворих на ГХ </w:t>
      </w:r>
      <w:r w:rsidR="00B03335" w:rsidRPr="00A11768">
        <w:rPr>
          <w:rFonts w:eastAsia="Calibri"/>
          <w:sz w:val="28"/>
          <w:lang w:val="uk-UA"/>
        </w:rPr>
        <w:t>(</w:t>
      </w:r>
      <w:r w:rsidR="00B03335" w:rsidRPr="00A11768">
        <w:rPr>
          <w:rFonts w:eastAsia="Calibri"/>
          <w:sz w:val="28"/>
          <w:szCs w:val="28"/>
          <w:lang w:val="uk-UA"/>
        </w:rPr>
        <w:t>21 хворий на ГХ з МО та супутньою дисглікемією та 17 хворих на ГХ з МО та нормоглікемією)</w:t>
      </w:r>
      <w:r w:rsidR="00B03335" w:rsidRPr="00A11768">
        <w:rPr>
          <w:sz w:val="28"/>
          <w:lang w:val="uk-UA"/>
        </w:rPr>
        <w:t>, що знаходилися на лікуванні у терапевтичному відділенні</w:t>
      </w:r>
      <w:r w:rsidR="00B03335" w:rsidRPr="00A11768">
        <w:rPr>
          <w:rFonts w:eastAsia="Calibri"/>
          <w:sz w:val="28"/>
          <w:szCs w:val="28"/>
          <w:lang w:val="uk-UA"/>
        </w:rPr>
        <w:t>. Контрольну групу склали 12 практично здорових осіб.</w:t>
      </w:r>
      <w:r w:rsidR="009D047A" w:rsidRPr="00A11768">
        <w:rPr>
          <w:rFonts w:eastAsia="Calibri"/>
          <w:sz w:val="28"/>
          <w:szCs w:val="28"/>
          <w:lang w:val="uk-UA"/>
        </w:rPr>
        <w:t xml:space="preserve"> </w:t>
      </w:r>
      <w:r w:rsidR="00B03335" w:rsidRPr="00A11768">
        <w:rPr>
          <w:rFonts w:eastAsia="Calibri"/>
          <w:sz w:val="28"/>
          <w:szCs w:val="28"/>
          <w:lang w:val="uk-UA"/>
        </w:rPr>
        <w:t>Були проведені лабораторні методи обстеження (біохімічні, імуноферментні) за загальноприйнятою схемою. Під час огляду у кожного пацієнта були додатково оцінені основні антропометричні показники. Верифікацію діагнозу ГХ проводили з використанням критеріїв, рекомендованих Українським товариством кардіологів та експертами ВООЗ, та згідно з останніми рекомендаціями Європейського товариства гіпертензії та Європейського товариства кардіології 2013 року. Діагностику МО проводили з використанням класифікації, запропонованої ВООЗ, згідно якої морбідним вважається ожиріння за умови ІМТ ≥ 40,0 кг/м2.</w:t>
      </w:r>
      <w:r w:rsidR="006049A7" w:rsidRPr="00A11768">
        <w:rPr>
          <w:rFonts w:eastAsia="Calibri"/>
          <w:sz w:val="28"/>
          <w:szCs w:val="28"/>
          <w:lang w:val="uk-UA"/>
        </w:rPr>
        <w:t xml:space="preserve"> </w:t>
      </w:r>
      <w:r w:rsidR="0017278F" w:rsidRPr="00A11768">
        <w:rPr>
          <w:rFonts w:eastAsia="Calibri"/>
          <w:sz w:val="28"/>
          <w:szCs w:val="28"/>
          <w:lang w:val="uk-UA"/>
        </w:rPr>
        <w:t xml:space="preserve"> </w:t>
      </w:r>
      <w:r w:rsidR="00B03335" w:rsidRPr="00A11768">
        <w:rPr>
          <w:rFonts w:eastAsia="Calibri"/>
          <w:sz w:val="28"/>
          <w:szCs w:val="28"/>
          <w:lang w:val="uk-UA"/>
        </w:rPr>
        <w:t xml:space="preserve">Крім загальноприйнятих методів обстеження проводили визначення рівнів інсуліну та несфатину-1 у плазмі крові. Рівень несфатину-1 визначали за допомогою імуноферментного методу з використанням набору реагентів на імуноферментному аналізаторі. Кількість несфатину-1 визначали за калібрувальною кривою, яку будували паралельно з визначенням у пробах, використовуючи стандарти, що додаються до набору, і виражали в нг/мл. </w:t>
      </w:r>
    </w:p>
    <w:p w:rsidR="006049A7" w:rsidRPr="00A11768" w:rsidRDefault="00B03335" w:rsidP="00085582">
      <w:pPr>
        <w:pStyle w:val="a9"/>
        <w:spacing w:after="0" w:line="360" w:lineRule="auto"/>
        <w:ind w:left="0" w:firstLine="567"/>
        <w:jc w:val="both"/>
        <w:rPr>
          <w:rFonts w:eastAsia="Calibri"/>
          <w:sz w:val="28"/>
          <w:szCs w:val="28"/>
          <w:highlight w:val="lightGray"/>
          <w:lang w:val="uk-UA"/>
        </w:rPr>
      </w:pPr>
      <w:r w:rsidRPr="00A11768">
        <w:rPr>
          <w:rFonts w:eastAsia="Calibri"/>
          <w:sz w:val="28"/>
          <w:szCs w:val="28"/>
          <w:lang w:val="uk-UA"/>
        </w:rPr>
        <w:t>Отримані показники були проаналізовані за допомогою непараметричних методів статистики з використанням тесту Манна-Уітні та коефіцієнту рангової кореляції Спірмена.</w:t>
      </w:r>
    </w:p>
    <w:p w:rsidR="000470D2" w:rsidRPr="00A11768" w:rsidRDefault="00D334EF" w:rsidP="000470D2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/>
        </w:rPr>
      </w:pPr>
      <w:r w:rsidRPr="00A11768">
        <w:rPr>
          <w:rFonts w:eastAsia="Calibri"/>
          <w:sz w:val="28"/>
          <w:szCs w:val="28"/>
          <w:lang w:val="uk-UA"/>
        </w:rPr>
        <w:t>Середній рівень несфатину-1 у вибірці обстежених хворих склав 7,58 (6,44</w:t>
      </w:r>
      <w:r w:rsidR="00711D63">
        <w:rPr>
          <w:rFonts w:eastAsia="Calibri"/>
          <w:sz w:val="28"/>
          <w:szCs w:val="28"/>
          <w:lang w:val="uk-UA"/>
        </w:rPr>
        <w:noBreakHyphen/>
      </w:r>
      <w:r w:rsidRPr="00A11768">
        <w:rPr>
          <w:rFonts w:eastAsia="Calibri"/>
          <w:sz w:val="28"/>
          <w:szCs w:val="28"/>
          <w:lang w:val="uk-UA"/>
        </w:rPr>
        <w:t>8,47) нг/мл, що значно перевищувало показники групи контролю – 4,53 (4,23</w:t>
      </w:r>
      <w:r w:rsidR="00711D63">
        <w:rPr>
          <w:rFonts w:eastAsia="Calibri"/>
          <w:sz w:val="28"/>
          <w:szCs w:val="28"/>
          <w:lang w:val="uk-UA"/>
        </w:rPr>
        <w:noBreakHyphen/>
      </w:r>
      <w:r w:rsidRPr="00A11768">
        <w:rPr>
          <w:rFonts w:eastAsia="Calibri"/>
          <w:sz w:val="28"/>
          <w:szCs w:val="28"/>
          <w:lang w:val="uk-UA"/>
        </w:rPr>
        <w:t xml:space="preserve">4,87) нг/мл. Аналіз несфатинемії з розподілом основних груп хворих на підгрупи згідно наявності порушень обміну вуглеводів (предіабету або цукрового діабету 2-го типу) дозволив встановити, що рівень несфатину-1 у хворих основної групи </w:t>
      </w:r>
      <w:r w:rsidR="00085582">
        <w:rPr>
          <w:rFonts w:eastAsia="Calibri"/>
          <w:sz w:val="28"/>
          <w:szCs w:val="28"/>
          <w:lang w:val="uk-UA"/>
        </w:rPr>
        <w:t xml:space="preserve">становив </w:t>
      </w:r>
      <w:r w:rsidRPr="00A11768">
        <w:rPr>
          <w:rFonts w:eastAsia="Calibri"/>
          <w:sz w:val="28"/>
          <w:szCs w:val="28"/>
          <w:lang w:val="uk-UA"/>
        </w:rPr>
        <w:t>7,12 (6,24-7,69) нг/мл був достовірно нижчим за рівень пептиду у хворих групи порівняння 8,51 (7,95-8,56) нг/мл (p</w:t>
      </w:r>
      <w:r w:rsidR="00711D63">
        <w:rPr>
          <w:rFonts w:eastAsia="Calibri"/>
          <w:sz w:val="28"/>
          <w:szCs w:val="28"/>
          <w:lang w:val="uk-UA"/>
        </w:rPr>
        <w:t> </w:t>
      </w:r>
      <w:r w:rsidRPr="00A11768">
        <w:rPr>
          <w:rFonts w:eastAsia="Calibri"/>
          <w:sz w:val="28"/>
          <w:szCs w:val="28"/>
          <w:lang w:val="uk-UA"/>
        </w:rPr>
        <w:t>&lt;</w:t>
      </w:r>
      <w:r w:rsidR="00711D63">
        <w:rPr>
          <w:rFonts w:eastAsia="Calibri"/>
          <w:sz w:val="28"/>
          <w:szCs w:val="28"/>
          <w:lang w:val="uk-UA"/>
        </w:rPr>
        <w:t> </w:t>
      </w:r>
      <w:r w:rsidRPr="00A11768">
        <w:rPr>
          <w:rFonts w:eastAsia="Calibri"/>
          <w:sz w:val="28"/>
          <w:szCs w:val="28"/>
          <w:lang w:val="uk-UA"/>
        </w:rPr>
        <w:t>0,001).</w:t>
      </w:r>
      <w:r w:rsidRPr="00A11768">
        <w:rPr>
          <w:lang w:val="uk-UA"/>
        </w:rPr>
        <w:t xml:space="preserve"> </w:t>
      </w:r>
      <w:r w:rsidRPr="00A11768">
        <w:rPr>
          <w:rFonts w:eastAsia="Calibri"/>
          <w:sz w:val="28"/>
          <w:szCs w:val="28"/>
          <w:lang w:val="uk-UA"/>
        </w:rPr>
        <w:t xml:space="preserve">Дослідження кореляційних зв’язків дозволило встановити, що серед усієї вибірки хворих рівень </w:t>
      </w:r>
      <w:r w:rsidRPr="00A11768">
        <w:rPr>
          <w:rFonts w:eastAsia="Calibri"/>
          <w:sz w:val="28"/>
          <w:szCs w:val="28"/>
          <w:lang w:val="uk-UA"/>
        </w:rPr>
        <w:lastRenderedPageBreak/>
        <w:t>несфатину-1 корелює з глікемією натще (r = -0,345, p &lt; 0,05), постпрандіальною глікемією (r = -0,643, p</w:t>
      </w:r>
      <w:r w:rsidR="00711D63">
        <w:rPr>
          <w:rFonts w:eastAsia="Calibri"/>
          <w:sz w:val="28"/>
          <w:szCs w:val="28"/>
          <w:lang w:val="uk-UA"/>
        </w:rPr>
        <w:t> </w:t>
      </w:r>
      <w:r w:rsidRPr="00A11768">
        <w:rPr>
          <w:rFonts w:eastAsia="Calibri"/>
          <w:sz w:val="28"/>
          <w:szCs w:val="28"/>
          <w:lang w:val="uk-UA"/>
        </w:rPr>
        <w:t>&lt;</w:t>
      </w:r>
      <w:r w:rsidR="00711D63">
        <w:rPr>
          <w:rFonts w:eastAsia="Calibri"/>
          <w:sz w:val="28"/>
          <w:szCs w:val="28"/>
          <w:lang w:val="uk-UA"/>
        </w:rPr>
        <w:t> </w:t>
      </w:r>
      <w:r w:rsidRPr="00A11768">
        <w:rPr>
          <w:rFonts w:eastAsia="Calibri"/>
          <w:sz w:val="28"/>
          <w:szCs w:val="28"/>
          <w:lang w:val="uk-UA"/>
        </w:rPr>
        <w:t>0,01). Сильний негативний зв'язок з рівнем постпрандіальної глікемії також встановлено за даними основної групи хворих</w:t>
      </w:r>
      <w:r w:rsidR="004A5E30" w:rsidRPr="00A11768">
        <w:rPr>
          <w:rFonts w:eastAsia="Calibri"/>
          <w:sz w:val="28"/>
          <w:szCs w:val="28"/>
          <w:lang w:val="uk-UA"/>
        </w:rPr>
        <w:t xml:space="preserve"> </w:t>
      </w:r>
      <w:r w:rsidRPr="00A11768">
        <w:rPr>
          <w:rFonts w:eastAsia="Calibri"/>
          <w:sz w:val="28"/>
          <w:szCs w:val="28"/>
          <w:lang w:val="uk-UA"/>
        </w:rPr>
        <w:t>(r</w:t>
      </w:r>
      <w:r w:rsidR="00711D63">
        <w:rPr>
          <w:rFonts w:eastAsia="Calibri"/>
          <w:sz w:val="28"/>
          <w:szCs w:val="28"/>
          <w:lang w:val="uk-UA"/>
        </w:rPr>
        <w:t> </w:t>
      </w:r>
      <w:r w:rsidRPr="00A11768">
        <w:rPr>
          <w:rFonts w:eastAsia="Calibri"/>
          <w:sz w:val="28"/>
          <w:szCs w:val="28"/>
          <w:lang w:val="uk-UA"/>
        </w:rPr>
        <w:t xml:space="preserve">= </w:t>
      </w:r>
      <w:r w:rsidR="00711D63">
        <w:rPr>
          <w:rFonts w:eastAsia="Calibri"/>
          <w:sz w:val="28"/>
          <w:szCs w:val="28"/>
          <w:lang w:val="uk-UA"/>
        </w:rPr>
        <w:noBreakHyphen/>
      </w:r>
      <w:r w:rsidRPr="00A11768">
        <w:rPr>
          <w:rFonts w:eastAsia="Calibri"/>
          <w:sz w:val="28"/>
          <w:szCs w:val="28"/>
          <w:lang w:val="uk-UA"/>
        </w:rPr>
        <w:t>0,771, p</w:t>
      </w:r>
      <w:r w:rsidR="00711D63">
        <w:rPr>
          <w:rFonts w:eastAsia="Calibri"/>
          <w:sz w:val="28"/>
          <w:szCs w:val="28"/>
          <w:lang w:val="uk-UA"/>
        </w:rPr>
        <w:t xml:space="preserve"> </w:t>
      </w:r>
      <w:r w:rsidRPr="00A11768">
        <w:rPr>
          <w:rFonts w:eastAsia="Calibri"/>
          <w:sz w:val="28"/>
          <w:szCs w:val="28"/>
          <w:lang w:val="uk-UA"/>
        </w:rPr>
        <w:t>&lt;</w:t>
      </w:r>
      <w:r w:rsidR="00711D63">
        <w:rPr>
          <w:rFonts w:eastAsia="Calibri"/>
          <w:sz w:val="28"/>
          <w:szCs w:val="28"/>
          <w:lang w:val="uk-UA"/>
        </w:rPr>
        <w:t xml:space="preserve"> </w:t>
      </w:r>
      <w:r w:rsidRPr="00A11768">
        <w:rPr>
          <w:rFonts w:eastAsia="Calibri"/>
          <w:sz w:val="28"/>
          <w:szCs w:val="28"/>
          <w:lang w:val="uk-UA"/>
        </w:rPr>
        <w:t>0,001).</w:t>
      </w:r>
    </w:p>
    <w:p w:rsidR="001D0050" w:rsidRPr="0023284F" w:rsidRDefault="001D0050" w:rsidP="001D0050">
      <w:pPr>
        <w:pStyle w:val="Style2"/>
        <w:widowControl/>
        <w:spacing w:line="360" w:lineRule="auto"/>
        <w:ind w:firstLine="709"/>
        <w:jc w:val="both"/>
        <w:rPr>
          <w:rStyle w:val="FontStyle33"/>
          <w:sz w:val="28"/>
          <w:szCs w:val="28"/>
          <w:lang w:val="uk-UA" w:eastAsia="uk-UA"/>
        </w:rPr>
      </w:pPr>
      <w:r w:rsidRPr="00A11768">
        <w:rPr>
          <w:rStyle w:val="FontStyle33"/>
          <w:b/>
          <w:sz w:val="28"/>
          <w:szCs w:val="28"/>
          <w:lang w:val="uk-UA" w:eastAsia="uk-UA"/>
        </w:rPr>
        <w:t>Висновок.</w:t>
      </w:r>
      <w:r w:rsidRPr="00A11768">
        <w:rPr>
          <w:rStyle w:val="FontStyle33"/>
          <w:sz w:val="28"/>
          <w:szCs w:val="28"/>
          <w:lang w:val="uk-UA" w:eastAsia="uk-UA"/>
        </w:rPr>
        <w:t xml:space="preserve"> </w:t>
      </w:r>
      <w:r w:rsidR="00D334EF" w:rsidRPr="00A11768">
        <w:rPr>
          <w:rStyle w:val="FontStyle33"/>
          <w:sz w:val="28"/>
          <w:szCs w:val="28"/>
          <w:lang w:val="uk-UA" w:eastAsia="uk-UA"/>
        </w:rPr>
        <w:t>Отримані результати свідчать про участь несфатину-1 у метаболічних процесах хворих на гіпертонічну хворобу з супутнім морбідним ожирінням, а саме, зниження рівня пептиду у таких хворих асоціюється з розвитком порушень глікемічного профілю. Таким чином, визначення несфатину-1 може бути використане з метою оцінки ризику розвитку дисглікемії, що сприятиме своєчасному вживанню прев</w:t>
      </w:r>
      <w:r w:rsidR="004A5E30" w:rsidRPr="00A11768">
        <w:rPr>
          <w:rStyle w:val="FontStyle33"/>
          <w:sz w:val="28"/>
          <w:szCs w:val="28"/>
          <w:lang w:val="uk-UA" w:eastAsia="uk-UA"/>
        </w:rPr>
        <w:t>ентивних заходів (модифікація</w:t>
      </w:r>
      <w:r w:rsidR="00D334EF" w:rsidRPr="00A11768">
        <w:rPr>
          <w:rStyle w:val="FontStyle33"/>
          <w:sz w:val="28"/>
          <w:szCs w:val="28"/>
          <w:lang w:val="uk-UA" w:eastAsia="uk-UA"/>
        </w:rPr>
        <w:t xml:space="preserve"> способу життя, дієтичні рекомендації) та може вплинути на вибір препаратів </w:t>
      </w:r>
      <w:r w:rsidR="00D334EF" w:rsidRPr="0023284F">
        <w:rPr>
          <w:rStyle w:val="FontStyle33"/>
          <w:sz w:val="28"/>
          <w:szCs w:val="28"/>
          <w:lang w:val="uk-UA" w:eastAsia="uk-UA"/>
        </w:rPr>
        <w:t>антигіпертензивної терапії.</w:t>
      </w:r>
    </w:p>
    <w:p w:rsidR="00FC0B2E" w:rsidRPr="0023284F" w:rsidRDefault="00FC0B2E" w:rsidP="0046295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3284F">
        <w:rPr>
          <w:sz w:val="28"/>
          <w:szCs w:val="28"/>
          <w:lang w:val="uk-UA" w:eastAsia="uk-UA"/>
        </w:rPr>
        <w:t>Інформаційний ли</w:t>
      </w:r>
      <w:r w:rsidR="00D334EF" w:rsidRPr="0023284F">
        <w:rPr>
          <w:sz w:val="28"/>
          <w:szCs w:val="28"/>
          <w:lang w:val="uk-UA" w:eastAsia="uk-UA"/>
        </w:rPr>
        <w:t>ст складено за матеріалами НДР «</w:t>
      </w:r>
      <w:r w:rsidR="0023284F" w:rsidRPr="0023284F">
        <w:rPr>
          <w:sz w:val="28"/>
          <w:szCs w:val="28"/>
          <w:lang w:val="uk-UA" w:eastAsia="en-US"/>
        </w:rPr>
        <w:t>Клінічне значення маркерів запалення та метаболічних порушень у хворих на неалкогольну жирову хворобу печінки з урахуванням коморбідності</w:t>
      </w:r>
      <w:r w:rsidR="00D334EF" w:rsidRPr="0023284F">
        <w:rPr>
          <w:sz w:val="28"/>
          <w:szCs w:val="28"/>
          <w:lang w:val="uk-UA" w:eastAsia="uk-UA"/>
        </w:rPr>
        <w:t>»</w:t>
      </w:r>
      <w:r w:rsidR="00085582" w:rsidRPr="0023284F">
        <w:rPr>
          <w:sz w:val="28"/>
          <w:szCs w:val="28"/>
          <w:lang w:val="uk-UA" w:eastAsia="uk-UA"/>
        </w:rPr>
        <w:t>,</w:t>
      </w:r>
      <w:r w:rsidRPr="0023284F">
        <w:rPr>
          <w:sz w:val="28"/>
          <w:szCs w:val="28"/>
          <w:lang w:val="uk-UA" w:eastAsia="uk-UA"/>
        </w:rPr>
        <w:t xml:space="preserve"> </w:t>
      </w:r>
      <w:r w:rsidR="00CE15DC" w:rsidRPr="0023284F">
        <w:rPr>
          <w:sz w:val="28"/>
          <w:szCs w:val="28"/>
          <w:lang w:val="uk-UA"/>
        </w:rPr>
        <w:t xml:space="preserve">№ держреєстрації </w:t>
      </w:r>
      <w:r w:rsidR="0023284F" w:rsidRPr="0023284F">
        <w:rPr>
          <w:sz w:val="28"/>
          <w:szCs w:val="28"/>
          <w:lang w:val="uk-UA"/>
        </w:rPr>
        <w:t>0118U000937</w:t>
      </w:r>
      <w:r w:rsidR="00C04A49" w:rsidRPr="0023284F">
        <w:rPr>
          <w:sz w:val="28"/>
          <w:szCs w:val="28"/>
          <w:lang w:val="uk-UA"/>
        </w:rPr>
        <w:t>, термін виконання 201</w:t>
      </w:r>
      <w:r w:rsidR="0023284F" w:rsidRPr="0023284F">
        <w:rPr>
          <w:sz w:val="28"/>
          <w:szCs w:val="28"/>
          <w:lang w:val="uk-UA"/>
        </w:rPr>
        <w:t>8</w:t>
      </w:r>
      <w:r w:rsidR="00D334EF" w:rsidRPr="0023284F">
        <w:rPr>
          <w:sz w:val="28"/>
          <w:szCs w:val="28"/>
          <w:lang w:val="uk-UA"/>
        </w:rPr>
        <w:noBreakHyphen/>
      </w:r>
      <w:r w:rsidR="0038188A" w:rsidRPr="0023284F">
        <w:rPr>
          <w:sz w:val="28"/>
          <w:szCs w:val="28"/>
          <w:lang w:val="uk-UA"/>
        </w:rPr>
        <w:t>20</w:t>
      </w:r>
      <w:r w:rsidR="0023284F" w:rsidRPr="0023284F">
        <w:rPr>
          <w:sz w:val="28"/>
          <w:szCs w:val="28"/>
          <w:lang w:val="uk-UA"/>
        </w:rPr>
        <w:t>21</w:t>
      </w:r>
      <w:r w:rsidR="0038188A" w:rsidRPr="0023284F">
        <w:rPr>
          <w:sz w:val="28"/>
          <w:szCs w:val="28"/>
          <w:lang w:val="uk-UA"/>
        </w:rPr>
        <w:t xml:space="preserve"> рр</w:t>
      </w:r>
      <w:r w:rsidRPr="0023284F">
        <w:rPr>
          <w:sz w:val="28"/>
          <w:szCs w:val="28"/>
          <w:lang w:val="uk-UA"/>
        </w:rPr>
        <w:t>.</w:t>
      </w:r>
      <w:r w:rsidR="00482E90" w:rsidRPr="0023284F">
        <w:rPr>
          <w:sz w:val="28"/>
          <w:szCs w:val="28"/>
          <w:lang w:val="uk-UA"/>
        </w:rPr>
        <w:t xml:space="preserve"> </w:t>
      </w:r>
    </w:p>
    <w:p w:rsidR="006E7E44" w:rsidRPr="00A11768" w:rsidRDefault="00FC0B2E" w:rsidP="0046295B">
      <w:pPr>
        <w:spacing w:line="360" w:lineRule="auto"/>
        <w:ind w:firstLine="567"/>
        <w:jc w:val="both"/>
        <w:rPr>
          <w:sz w:val="28"/>
          <w:lang w:val="uk-UA"/>
        </w:rPr>
      </w:pPr>
      <w:r w:rsidRPr="0023284F">
        <w:rPr>
          <w:sz w:val="28"/>
          <w:lang w:val="uk-UA"/>
        </w:rPr>
        <w:t xml:space="preserve">За додатковою інформацією слід звертатися до автора листа: </w:t>
      </w:r>
      <w:r w:rsidR="00085582" w:rsidRPr="0023284F">
        <w:rPr>
          <w:sz w:val="28"/>
          <w:lang w:val="uk-UA"/>
        </w:rPr>
        <w:t>Візір М. О., тел.</w:t>
      </w:r>
      <w:r w:rsidR="0023284F">
        <w:rPr>
          <w:sz w:val="28"/>
          <w:lang w:val="uk-UA"/>
        </w:rPr>
        <w:t> </w:t>
      </w:r>
      <w:r w:rsidR="00085582" w:rsidRPr="0023284F">
        <w:rPr>
          <w:sz w:val="28"/>
          <w:lang w:val="uk-UA"/>
        </w:rPr>
        <w:t xml:space="preserve">0662271188, кафедра внутрішньої медицини </w:t>
      </w:r>
      <w:r w:rsidR="00085582" w:rsidRPr="00A11768">
        <w:rPr>
          <w:sz w:val="28"/>
          <w:lang w:val="uk-UA"/>
        </w:rPr>
        <w:t>№1,</w:t>
      </w:r>
      <w:r w:rsidR="00085582">
        <w:rPr>
          <w:sz w:val="28"/>
          <w:lang w:val="uk-UA"/>
        </w:rPr>
        <w:t xml:space="preserve"> </w:t>
      </w:r>
      <w:r w:rsidRPr="00A11768">
        <w:rPr>
          <w:sz w:val="28"/>
          <w:lang w:val="uk-UA"/>
        </w:rPr>
        <w:t xml:space="preserve">Харківський національний медичний університет, </w:t>
      </w:r>
      <w:r w:rsidR="00085582">
        <w:rPr>
          <w:sz w:val="28"/>
          <w:lang w:val="uk-UA"/>
        </w:rPr>
        <w:t>проспект Науки, буд. 4, м. Харків, 61022.</w:t>
      </w:r>
    </w:p>
    <w:p w:rsidR="00D334EF" w:rsidRPr="00A11768" w:rsidRDefault="00D334EF" w:rsidP="0046295B">
      <w:pPr>
        <w:spacing w:line="360" w:lineRule="auto"/>
        <w:ind w:firstLine="567"/>
        <w:jc w:val="both"/>
        <w:rPr>
          <w:sz w:val="28"/>
          <w:lang w:val="uk-UA"/>
        </w:rPr>
      </w:pPr>
    </w:p>
    <w:sectPr w:rsidR="00D334EF" w:rsidRPr="00A11768">
      <w:headerReference w:type="even" r:id="rId7"/>
      <w:headerReference w:type="default" r:id="rId8"/>
      <w:pgSz w:w="12240" w:h="15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76" w:rsidRDefault="00DF3176">
      <w:r>
        <w:separator/>
      </w:r>
    </w:p>
  </w:endnote>
  <w:endnote w:type="continuationSeparator" w:id="0">
    <w:p w:rsidR="00DF3176" w:rsidRDefault="00DF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76" w:rsidRDefault="00DF3176">
      <w:r>
        <w:separator/>
      </w:r>
    </w:p>
  </w:footnote>
  <w:footnote w:type="continuationSeparator" w:id="0">
    <w:p w:rsidR="00DF3176" w:rsidRDefault="00DF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8E" w:rsidRDefault="00797B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B8E" w:rsidRDefault="00797B8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8E" w:rsidRDefault="00797B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826">
      <w:rPr>
        <w:rStyle w:val="a5"/>
        <w:noProof/>
      </w:rPr>
      <w:t>3</w:t>
    </w:r>
    <w:r>
      <w:rPr>
        <w:rStyle w:val="a5"/>
      </w:rPr>
      <w:fldChar w:fldCharType="end"/>
    </w:r>
  </w:p>
  <w:p w:rsidR="00797B8E" w:rsidRDefault="00797B8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584ED2"/>
    <w:multiLevelType w:val="hybridMultilevel"/>
    <w:tmpl w:val="33BC115C"/>
    <w:lvl w:ilvl="0" w:tplc="09404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C3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4A4D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AC3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E9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2408D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C8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AC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2AEB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CE3"/>
    <w:multiLevelType w:val="hybridMultilevel"/>
    <w:tmpl w:val="56101802"/>
    <w:lvl w:ilvl="0" w:tplc="F22877B4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A9802338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Tahoma" w:hint="default"/>
      </w:rPr>
    </w:lvl>
    <w:lvl w:ilvl="2" w:tplc="86BA2ED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3F6C53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B9661EE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ahoma" w:hint="default"/>
      </w:rPr>
    </w:lvl>
    <w:lvl w:ilvl="5" w:tplc="B67E7C8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B2E6D2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016148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ahoma" w:hint="default"/>
      </w:rPr>
    </w:lvl>
    <w:lvl w:ilvl="8" w:tplc="A2B0DB9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E96C72"/>
    <w:multiLevelType w:val="hybridMultilevel"/>
    <w:tmpl w:val="2C8C7E80"/>
    <w:lvl w:ilvl="0" w:tplc="2AD0D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2E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F27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8B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EF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03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89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A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DEA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F6B98"/>
    <w:multiLevelType w:val="singleLevel"/>
    <w:tmpl w:val="081EE6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C00FB8"/>
    <w:multiLevelType w:val="hybridMultilevel"/>
    <w:tmpl w:val="64AED6FC"/>
    <w:lvl w:ilvl="0" w:tplc="03982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 Demi" w:eastAsia="Berlin Sans FB Demi" w:hAnsi="Berlin Sans FB Demi" w:cs="Wingdings" w:hint="default"/>
      </w:rPr>
    </w:lvl>
    <w:lvl w:ilvl="1" w:tplc="A91C0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E1EA6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6B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83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C12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E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66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69BCE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72F80"/>
    <w:multiLevelType w:val="hybridMultilevel"/>
    <w:tmpl w:val="2DC89B00"/>
    <w:lvl w:ilvl="0" w:tplc="59ACAB8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57D85E3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2B4CE0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09AD76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EB0358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858202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DCC238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3CC8E3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330AAA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7C77D0F"/>
    <w:multiLevelType w:val="hybridMultilevel"/>
    <w:tmpl w:val="F2E6E304"/>
    <w:lvl w:ilvl="0" w:tplc="93FCC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E0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2828D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EC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27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89EC9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4A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6A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E3B43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1666"/>
    <w:multiLevelType w:val="multilevel"/>
    <w:tmpl w:val="56101802"/>
    <w:lvl w:ilvl="0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BA1C97"/>
    <w:multiLevelType w:val="hybridMultilevel"/>
    <w:tmpl w:val="25465C7A"/>
    <w:lvl w:ilvl="0" w:tplc="D820C19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BAA5CC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 w:tplc="C1CC4F0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CF80CE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A38AA4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 w:tplc="2B6893A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5E28A7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274A2C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 w:tplc="36583EC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F8B2A33"/>
    <w:multiLevelType w:val="hybridMultilevel"/>
    <w:tmpl w:val="33C45AFC"/>
    <w:lvl w:ilvl="0" w:tplc="2920FB98">
      <w:numFmt w:val="bullet"/>
      <w:lvlText w:val=""/>
      <w:lvlJc w:val="left"/>
      <w:pPr>
        <w:ind w:left="1857" w:hanging="375"/>
      </w:pPr>
      <w:rPr>
        <w:rFonts w:ascii="Symbol" w:eastAsia="Times New Roman" w:hAnsi="Symbol" w:cs="Tahoma" w:hint="default"/>
        <w:color w:val="003366"/>
        <w:sz w:val="24"/>
      </w:rPr>
    </w:lvl>
    <w:lvl w:ilvl="1" w:tplc="787EE108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Tahoma" w:hint="default"/>
      </w:rPr>
    </w:lvl>
    <w:lvl w:ilvl="2" w:tplc="76C87308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99445AF4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B33C931E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Tahoma" w:hint="default"/>
      </w:rPr>
    </w:lvl>
    <w:lvl w:ilvl="5" w:tplc="8D428318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AB22D3F8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5F8289EA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Tahoma" w:hint="default"/>
      </w:rPr>
    </w:lvl>
    <w:lvl w:ilvl="8" w:tplc="3EDAAF9C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3"/>
    <w:rsid w:val="000412D0"/>
    <w:rsid w:val="000470D2"/>
    <w:rsid w:val="0005248C"/>
    <w:rsid w:val="000727F9"/>
    <w:rsid w:val="000751BA"/>
    <w:rsid w:val="00085582"/>
    <w:rsid w:val="000A07CF"/>
    <w:rsid w:val="000A1246"/>
    <w:rsid w:val="000B2E38"/>
    <w:rsid w:val="000D5648"/>
    <w:rsid w:val="000D6234"/>
    <w:rsid w:val="00150A21"/>
    <w:rsid w:val="00152712"/>
    <w:rsid w:val="00167F42"/>
    <w:rsid w:val="0017278F"/>
    <w:rsid w:val="001C50D3"/>
    <w:rsid w:val="001D0050"/>
    <w:rsid w:val="00204F54"/>
    <w:rsid w:val="00205952"/>
    <w:rsid w:val="0022033B"/>
    <w:rsid w:val="0023284F"/>
    <w:rsid w:val="00291694"/>
    <w:rsid w:val="002A143F"/>
    <w:rsid w:val="002B6490"/>
    <w:rsid w:val="002F4006"/>
    <w:rsid w:val="00362786"/>
    <w:rsid w:val="003660D1"/>
    <w:rsid w:val="003727F3"/>
    <w:rsid w:val="0038188A"/>
    <w:rsid w:val="00384CD1"/>
    <w:rsid w:val="003E526C"/>
    <w:rsid w:val="0041727E"/>
    <w:rsid w:val="004243A9"/>
    <w:rsid w:val="004518CD"/>
    <w:rsid w:val="0046295B"/>
    <w:rsid w:val="00481B7F"/>
    <w:rsid w:val="00482E90"/>
    <w:rsid w:val="00496AD5"/>
    <w:rsid w:val="004A5E30"/>
    <w:rsid w:val="004A6D87"/>
    <w:rsid w:val="004C3314"/>
    <w:rsid w:val="004C5072"/>
    <w:rsid w:val="004D7797"/>
    <w:rsid w:val="004F000A"/>
    <w:rsid w:val="005631AC"/>
    <w:rsid w:val="005864F9"/>
    <w:rsid w:val="005B14AB"/>
    <w:rsid w:val="005C05E4"/>
    <w:rsid w:val="006049A7"/>
    <w:rsid w:val="0061014F"/>
    <w:rsid w:val="00631E22"/>
    <w:rsid w:val="00652F63"/>
    <w:rsid w:val="0065373F"/>
    <w:rsid w:val="00664968"/>
    <w:rsid w:val="00694D13"/>
    <w:rsid w:val="0069711F"/>
    <w:rsid w:val="006D3D3E"/>
    <w:rsid w:val="006E7E44"/>
    <w:rsid w:val="007069DB"/>
    <w:rsid w:val="00711D63"/>
    <w:rsid w:val="0073151D"/>
    <w:rsid w:val="007376E1"/>
    <w:rsid w:val="007535D3"/>
    <w:rsid w:val="00767BE5"/>
    <w:rsid w:val="00781752"/>
    <w:rsid w:val="00797B8E"/>
    <w:rsid w:val="007B2AEA"/>
    <w:rsid w:val="007B761F"/>
    <w:rsid w:val="007D20E4"/>
    <w:rsid w:val="00802DFE"/>
    <w:rsid w:val="008139A6"/>
    <w:rsid w:val="00821C34"/>
    <w:rsid w:val="00832D54"/>
    <w:rsid w:val="0085188B"/>
    <w:rsid w:val="00863F4C"/>
    <w:rsid w:val="00870F8A"/>
    <w:rsid w:val="008D0826"/>
    <w:rsid w:val="008F74AB"/>
    <w:rsid w:val="00903669"/>
    <w:rsid w:val="00957F65"/>
    <w:rsid w:val="009869E2"/>
    <w:rsid w:val="009C4992"/>
    <w:rsid w:val="009D047A"/>
    <w:rsid w:val="009D3D08"/>
    <w:rsid w:val="009E489E"/>
    <w:rsid w:val="00A11768"/>
    <w:rsid w:val="00A37DE1"/>
    <w:rsid w:val="00A47469"/>
    <w:rsid w:val="00A85217"/>
    <w:rsid w:val="00A954A6"/>
    <w:rsid w:val="00AA69FC"/>
    <w:rsid w:val="00AB61E3"/>
    <w:rsid w:val="00AC3D19"/>
    <w:rsid w:val="00B03335"/>
    <w:rsid w:val="00B35E58"/>
    <w:rsid w:val="00B60492"/>
    <w:rsid w:val="00B6696F"/>
    <w:rsid w:val="00B85475"/>
    <w:rsid w:val="00B979B5"/>
    <w:rsid w:val="00BB745B"/>
    <w:rsid w:val="00C046BB"/>
    <w:rsid w:val="00C04A49"/>
    <w:rsid w:val="00C1619A"/>
    <w:rsid w:val="00C35A14"/>
    <w:rsid w:val="00C6434D"/>
    <w:rsid w:val="00C87D29"/>
    <w:rsid w:val="00CA0660"/>
    <w:rsid w:val="00CD55CF"/>
    <w:rsid w:val="00CE15DC"/>
    <w:rsid w:val="00CE6EB0"/>
    <w:rsid w:val="00D16E30"/>
    <w:rsid w:val="00D334EF"/>
    <w:rsid w:val="00D41504"/>
    <w:rsid w:val="00D63EA4"/>
    <w:rsid w:val="00D93E2C"/>
    <w:rsid w:val="00DB4890"/>
    <w:rsid w:val="00DC18B5"/>
    <w:rsid w:val="00DD1BFB"/>
    <w:rsid w:val="00DE306E"/>
    <w:rsid w:val="00DF085A"/>
    <w:rsid w:val="00DF2280"/>
    <w:rsid w:val="00DF3176"/>
    <w:rsid w:val="00E11B47"/>
    <w:rsid w:val="00E23B4F"/>
    <w:rsid w:val="00E73084"/>
    <w:rsid w:val="00EB0DDB"/>
    <w:rsid w:val="00F22A5F"/>
    <w:rsid w:val="00F349DE"/>
    <w:rsid w:val="00F501D4"/>
    <w:rsid w:val="00F56DC0"/>
    <w:rsid w:val="00F65C0D"/>
    <w:rsid w:val="00F66152"/>
    <w:rsid w:val="00F944D1"/>
    <w:rsid w:val="00FC0B2E"/>
    <w:rsid w:val="00FD3EE2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EB080"/>
  <w15:docId w15:val="{8F9FAEE4-609F-445E-BCCF-736E0AB3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  <w:szCs w:val="20"/>
      <w:lang w:val="uk-UA"/>
    </w:rPr>
  </w:style>
  <w:style w:type="paragraph" w:styleId="a3">
    <w:name w:val="Body Text"/>
    <w:basedOn w:val="a"/>
    <w:semiHidden/>
    <w:pPr>
      <w:jc w:val="both"/>
    </w:pPr>
    <w:rPr>
      <w:szCs w:val="20"/>
    </w:rPr>
  </w:style>
  <w:style w:type="paragraph" w:customStyle="1" w:styleId="11">
    <w:name w:val="Основной текст1"/>
    <w:basedOn w:val="a"/>
    <w:pPr>
      <w:jc w:val="both"/>
    </w:pPr>
    <w:rPr>
      <w:szCs w:val="20"/>
    </w:rPr>
  </w:style>
  <w:style w:type="paragraph" w:styleId="20">
    <w:name w:val="Body Text 2"/>
    <w:basedOn w:val="a"/>
    <w:semiHidden/>
    <w:pPr>
      <w:jc w:val="center"/>
    </w:pPr>
    <w:rPr>
      <w:sz w:val="28"/>
      <w:szCs w:val="20"/>
      <w:lang w:val="uk-UA"/>
    </w:rPr>
  </w:style>
  <w:style w:type="paragraph" w:styleId="3">
    <w:name w:val="Body Text 3"/>
    <w:basedOn w:val="a"/>
    <w:semiHidden/>
    <w:pPr>
      <w:jc w:val="both"/>
    </w:pPr>
    <w:rPr>
      <w:sz w:val="28"/>
      <w:szCs w:val="20"/>
      <w:lang w:val="uk-UA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customStyle="1" w:styleId="21">
    <w:name w:val="Основной текст (2)_"/>
    <w:rPr>
      <w:b/>
      <w:bCs/>
      <w:i/>
      <w:iCs/>
      <w:sz w:val="21"/>
      <w:szCs w:val="21"/>
      <w:lang w:bidi="ar-SA"/>
    </w:rPr>
  </w:style>
  <w:style w:type="character" w:customStyle="1" w:styleId="22">
    <w:name w:val="Основной текст (2) + Не полужирный"/>
    <w:aliases w:val="Не курсив"/>
    <w:basedOn w:val="21"/>
    <w:rPr>
      <w:b/>
      <w:bCs/>
      <w:i/>
      <w:iCs/>
      <w:sz w:val="21"/>
      <w:szCs w:val="21"/>
      <w:lang w:bidi="ar-SA"/>
    </w:rPr>
  </w:style>
  <w:style w:type="paragraph" w:customStyle="1" w:styleId="210">
    <w:name w:val="Основной текст (2)1"/>
    <w:basedOn w:val="a"/>
    <w:pPr>
      <w:shd w:val="clear" w:color="auto" w:fill="FFFFFF"/>
      <w:spacing w:line="240" w:lineRule="exact"/>
      <w:ind w:firstLine="300"/>
      <w:jc w:val="both"/>
    </w:pPr>
    <w:rPr>
      <w:b/>
      <w:bCs/>
      <w:i/>
      <w:iCs/>
      <w:noProof/>
      <w:sz w:val="21"/>
      <w:szCs w:val="21"/>
    </w:rPr>
  </w:style>
  <w:style w:type="character" w:customStyle="1" w:styleId="a7">
    <w:name w:val="Основной текст + Полужирный"/>
    <w:aliases w:val="Курсив"/>
    <w:rPr>
      <w:b/>
      <w:bCs/>
      <w:i/>
      <w:iCs/>
      <w:sz w:val="21"/>
      <w:szCs w:val="21"/>
      <w:lang w:bidi="ar-SA"/>
    </w:rPr>
  </w:style>
  <w:style w:type="character" w:customStyle="1" w:styleId="12">
    <w:name w:val="Основной текст + Полужирный1"/>
    <w:aliases w:val="Курсив1"/>
    <w:rPr>
      <w:b/>
      <w:bCs/>
      <w:i/>
      <w:iCs/>
      <w:sz w:val="21"/>
      <w:szCs w:val="21"/>
      <w:lang w:bidi="ar-SA"/>
    </w:rPr>
  </w:style>
  <w:style w:type="character" w:customStyle="1" w:styleId="23">
    <w:name w:val="Основной текст (2)"/>
    <w:rPr>
      <w:b/>
      <w:bCs/>
      <w:i/>
      <w:iCs/>
      <w:sz w:val="21"/>
      <w:szCs w:val="21"/>
      <w:u w:val="single"/>
      <w:lang w:bidi="ar-SA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imesNewRoman"/>
      <w:sz w:val="20"/>
      <w:szCs w:val="20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character" w:customStyle="1" w:styleId="aa">
    <w:name w:val="Основной текст с отступом Знак"/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styleId="ab">
    <w:name w:val="Hyperlink"/>
    <w:unhideWhenUsed/>
    <w:rPr>
      <w:color w:val="0000FF"/>
      <w:u w:val="single"/>
    </w:rPr>
  </w:style>
  <w:style w:type="character" w:customStyle="1" w:styleId="FontStyle33">
    <w:name w:val="Font Style33"/>
    <w:rsid w:val="005B14A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D3EE2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rsid w:val="00FD3EE2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1">
    <w:name w:val="Font Style11"/>
    <w:rsid w:val="001D005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D0050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FF128A"/>
    <w:rPr>
      <w:rFonts w:ascii="Times New Roman" w:hAnsi="Times New Roman" w:cs="Times New Roman"/>
      <w:b/>
      <w:bCs/>
      <w:spacing w:val="-1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D20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D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>SPecialiST RePack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subject/>
  <dc:creator>Елена</dc:creator>
  <cp:keywords/>
  <cp:lastModifiedBy>Marusya</cp:lastModifiedBy>
  <cp:revision>18</cp:revision>
  <cp:lastPrinted>2016-09-05T13:59:00Z</cp:lastPrinted>
  <dcterms:created xsi:type="dcterms:W3CDTF">2020-02-29T12:46:00Z</dcterms:created>
  <dcterms:modified xsi:type="dcterms:W3CDTF">2020-06-27T11:44:00Z</dcterms:modified>
</cp:coreProperties>
</file>