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F1" w:rsidRPr="00D66F33" w:rsidRDefault="00D66F33" w:rsidP="00D66F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F33">
        <w:rPr>
          <w:rFonts w:ascii="Times New Roman" w:hAnsi="Times New Roman" w:cs="Times New Roman"/>
          <w:b/>
          <w:sz w:val="28"/>
          <w:szCs w:val="28"/>
        </w:rPr>
        <w:t>Применение гелий-неонового лазера в комплексном лечении воспалительных заболеваний женских половых органов.</w:t>
      </w:r>
    </w:p>
    <w:p w:rsidR="00D66F33" w:rsidRDefault="00233EE8" w:rsidP="00D66F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Паращук Ю.С.,</w:t>
      </w:r>
      <w:r w:rsidR="00D66F33">
        <w:rPr>
          <w:rFonts w:ascii="Times New Roman" w:hAnsi="Times New Roman" w:cs="Times New Roman"/>
          <w:sz w:val="28"/>
          <w:szCs w:val="28"/>
        </w:rPr>
        <w:t>Овчаренко</w:t>
      </w:r>
      <w:r w:rsidR="00D66F33" w:rsidRPr="00D66F33">
        <w:rPr>
          <w:rFonts w:ascii="Times New Roman" w:hAnsi="Times New Roman" w:cs="Times New Roman"/>
          <w:sz w:val="28"/>
          <w:szCs w:val="28"/>
        </w:rPr>
        <w:t xml:space="preserve"> </w:t>
      </w:r>
      <w:r w:rsidR="00D66F33">
        <w:rPr>
          <w:rFonts w:ascii="Times New Roman" w:hAnsi="Times New Roman" w:cs="Times New Roman"/>
          <w:sz w:val="28"/>
          <w:szCs w:val="28"/>
        </w:rPr>
        <w:t xml:space="preserve">О.Б., Самарская Е.И., Лященко О.А., </w:t>
      </w:r>
      <w:r>
        <w:rPr>
          <w:rFonts w:ascii="Times New Roman" w:hAnsi="Times New Roman" w:cs="Times New Roman"/>
          <w:sz w:val="28"/>
          <w:szCs w:val="28"/>
          <w:lang w:val="uk-UA"/>
        </w:rPr>
        <w:t>Ковтун Е.В</w:t>
      </w:r>
      <w:r w:rsidR="00D66F33">
        <w:rPr>
          <w:rFonts w:ascii="Times New Roman" w:hAnsi="Times New Roman" w:cs="Times New Roman"/>
          <w:sz w:val="28"/>
          <w:szCs w:val="28"/>
        </w:rPr>
        <w:t>.</w:t>
      </w:r>
    </w:p>
    <w:p w:rsidR="00D66F33" w:rsidRDefault="00D66F33" w:rsidP="00D66F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Харьковский национальный медицинский университет</w:t>
      </w:r>
    </w:p>
    <w:p w:rsidR="00D66F33" w:rsidRDefault="00D66F33" w:rsidP="00D66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F33" w:rsidRDefault="00D66F33" w:rsidP="00D66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достигнутом сегодня научном уровне эффективная врачебная помощь при гинекологических заболеваниях требует комплексного сочетания самых разнообразных лечебных воздействий. В лечении различных гинекологических заболеваний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видное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место начинают занимать методы немедикаментозного лечения.</w:t>
      </w:r>
    </w:p>
    <w:p w:rsidR="00A73721" w:rsidRDefault="00D66F33" w:rsidP="00D66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В своем исследовании мы использовали лазеротерапию в комплексе лечебных мероприятий у женщин с воспалительными</w:t>
      </w:r>
      <w:r w:rsidR="00A73721">
        <w:rPr>
          <w:rFonts w:ascii="Times New Roman" w:hAnsi="Times New Roman" w:cs="Times New Roman"/>
          <w:sz w:val="28"/>
          <w:szCs w:val="28"/>
        </w:rPr>
        <w:t xml:space="preserve"> заболеваниями гениталий для коррекции нарушенного иммунного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721">
        <w:rPr>
          <w:rFonts w:ascii="Times New Roman" w:hAnsi="Times New Roman" w:cs="Times New Roman"/>
          <w:sz w:val="28"/>
          <w:szCs w:val="28"/>
        </w:rPr>
        <w:t>статуса</w:t>
      </w:r>
      <w:bookmarkEnd w:id="0"/>
      <w:r w:rsidR="00A73721">
        <w:rPr>
          <w:rFonts w:ascii="Times New Roman" w:hAnsi="Times New Roman" w:cs="Times New Roman"/>
          <w:sz w:val="28"/>
          <w:szCs w:val="28"/>
        </w:rPr>
        <w:t>. Мы использовали гелий-неоновый лазер ЛГ-72, работающий в непрерывном режиме  с длиной волны 6300-6700 Å, выходной мощностью пучка 5мВт. Плотность мощности излучения  составила 1.5 мВт/см</w:t>
      </w:r>
      <w:proofErr w:type="gramStart"/>
      <w:r w:rsidR="00A7372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A73721">
        <w:rPr>
          <w:rFonts w:ascii="Times New Roman" w:hAnsi="Times New Roman" w:cs="Times New Roman"/>
          <w:sz w:val="28"/>
          <w:szCs w:val="28"/>
        </w:rPr>
        <w:t xml:space="preserve"> при диаметре  светового пятна 1 см. В процессе лечения проводили облучение вилочковой железы, подмышечных и паховых лимфатических узлов с расстояния 30 см. Облучение проводили в течение 25 минут (5 минут + 5 +5 + 5 +5). Курс лечения составил 7-10 сеансов.</w:t>
      </w:r>
    </w:p>
    <w:p w:rsidR="00A73721" w:rsidRDefault="00A73721" w:rsidP="00D66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Исследование показателей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иммунорезистентности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проводилось у двух групп больных. В первую группу вошли больные, прошедшие курс общепринятой противовоспалительной терапии. Вторую группу составили женщины, которым было проведено лечение по предложенной нами схеме с применением гелий-неонового лазера.</w:t>
      </w:r>
    </w:p>
    <w:p w:rsidR="00D66F33" w:rsidRDefault="00A73721" w:rsidP="00D66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пациенток I группы в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иммунорезистентности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наблюдалось снижение активности воспалительного процесса, которое сопровождалось снижением количества лейкоцитов (8,1 ± 0,29 г/л и 9,3 ±  0,54 г/л – до лечения;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&lt;0,05) и содержание иммуноглобулинов класса G (18,9±0,33 г/л и 22,4±0,57 г/л;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&lt;0,05), ответственных за стимуляцию фагоцитоза,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вследствие этого, наблюдалось незначительное снижение уровня реакции антиген-антитело, что не уменьшило активности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аллергизации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организма. В то же время, у женщин данной группы появлялась тенденция к активации первичного иммунного ответа – увеличение, хотя и недостаточное, иммуноглобулинов класса А (1,99±0,2 г/л и 0,84±0,14 г/л;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&gt;0,5), а также класса М (1,81±0,15 г/л и 1,79±0.24 г/л; р&gt;</w:t>
      </w:r>
      <w:r w:rsidR="003E1C93">
        <w:rPr>
          <w:rFonts w:ascii="Times New Roman" w:hAnsi="Times New Roman" w:cs="Times New Roman"/>
          <w:sz w:val="28"/>
          <w:szCs w:val="28"/>
        </w:rPr>
        <w:t>0,5).</w:t>
      </w:r>
    </w:p>
    <w:p w:rsidR="003E1C93" w:rsidRDefault="003E1C93" w:rsidP="00D66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пациенток II группы проведенные лечебные мероприятия по предложенной нами схеме вызвали в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иммунорезистентности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снижение  функциональной напряженности клеточного звена за счет повышения содержания лимфоцитов (35,4±0,73% и 24,5±0,99% - до лечения;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&lt;0,05) с одновременным уменьшением  общего числа лейкоцитов (5,4±0,27 г/л и 9,9±0,7 г/л;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&lt;0,05), а также за счет повышения содержания иммуноглобулинов  класса А (2,8±0,31 г/л и 1,77±0,22 г/л; р&lt;0,05) и снижения количества иммуноглобулинов класса М (1,24±0,1 г/л и 1,83±0,28 г/л; р &lt;0,05) и класса G (11,7±0,2 г/л и 23,1±0,87 г/л;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&lt;0,001) до уровня физиологических норм, т.е. наблюдалось восстановление равновесия соотношения данных показателей, что, в конечном итоге, нормализовало  уровень реакции антиген-антитело и способствовало нейтрализации реакции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аллергизации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 В свою очередь, нормализация уровня реакции антиген-антитело стабилизировал</w:t>
      </w:r>
      <w:r w:rsidR="00C511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активную модуляцию иммунного ответа.</w:t>
      </w:r>
    </w:p>
    <w:p w:rsidR="003E1C93" w:rsidRDefault="003E1C93" w:rsidP="00D66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Следовательно, лечение по предложенной нами схеме восстанавливает защитные свойства иммунной системы, способствует прекращению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аллергизации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стабилизирует адаптационные способности организма.</w:t>
      </w:r>
    </w:p>
    <w:p w:rsidR="003E1C93" w:rsidRPr="003E1C93" w:rsidRDefault="003E1C93" w:rsidP="00D66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E1C93" w:rsidRPr="003E1C93" w:rsidSect="00D66F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F33"/>
    <w:rsid w:val="000032C8"/>
    <w:rsid w:val="000B7FA6"/>
    <w:rsid w:val="0018099A"/>
    <w:rsid w:val="00197166"/>
    <w:rsid w:val="00210376"/>
    <w:rsid w:val="00233EE8"/>
    <w:rsid w:val="002B0D25"/>
    <w:rsid w:val="002E7E63"/>
    <w:rsid w:val="002F3F4A"/>
    <w:rsid w:val="00366AA6"/>
    <w:rsid w:val="003E1C93"/>
    <w:rsid w:val="004129B5"/>
    <w:rsid w:val="00472CA2"/>
    <w:rsid w:val="005758B7"/>
    <w:rsid w:val="00593014"/>
    <w:rsid w:val="00607B58"/>
    <w:rsid w:val="007146C5"/>
    <w:rsid w:val="009027F1"/>
    <w:rsid w:val="00971F95"/>
    <w:rsid w:val="00A105B3"/>
    <w:rsid w:val="00A51922"/>
    <w:rsid w:val="00A73721"/>
    <w:rsid w:val="00C51181"/>
    <w:rsid w:val="00C62150"/>
    <w:rsid w:val="00D02828"/>
    <w:rsid w:val="00D66F33"/>
    <w:rsid w:val="00D92A97"/>
    <w:rsid w:val="00E47BA4"/>
    <w:rsid w:val="00FD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2009-04-16T10:13:00Z</dcterms:created>
  <dcterms:modified xsi:type="dcterms:W3CDTF">2012-12-18T13:03:00Z</dcterms:modified>
</cp:coreProperties>
</file>